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DOCUMENT 1</w:t>
            </w:r>
          </w:p>
          <w:p>
            <w:pPr>
              <w:spacing w:before="40" w:after="40"/>
              <w:jc w:val="center"/>
            </w:pPr>
            <w:r>
              <w:rPr>
                <w:rFonts w:ascii="Arial" w:cs="Arial" w:eastAsia="Arial" w:hAnsi="Arial"/>
                <w:b w:val="false"/>
                <w:bCs w:val="false"/>
                <w:color w:val="C9D9F0"/>
                <w:sz w:val="28"/>
                <w:szCs w:val="28"/>
              </w:rPr>
              <w:t xml:space="preserve">FDA APPROVAL LETTER</w:t>
            </w:r>
          </w:p>
          <w:p>
            <w:pPr>
              <w:spacing w:before="20" w:after="60"/>
              <w:jc w:val="center"/>
            </w:pPr>
            <w:r>
              <w:rPr>
                <w:rFonts w:ascii="Arial" w:cs="Arial" w:eastAsia="Arial" w:hAnsi="Arial"/>
                <w:i/>
                <w:iCs/>
                <w:color w:val="A8C4E0"/>
                <w:sz w:val="22"/>
                <w:szCs w:val="22"/>
              </w:rPr>
              <w:t xml:space="preserve">NDA 761-XXX · CERVIMAB (anti-PD-1 monoclonal antibody) · dMMR/MSI-H mCRC</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bottom w:type="dxa" w:w="200"/>
        </w:tblCellMar>
      </w:tblPr>
      <w:tblGrid>
        <w:gridCol w:w="4680"/>
        <w:gridCol w:w="4680"/>
      </w:tblGrid>
      <w:tr>
        <w:tc>
          <w:tcPr>
            <w:tcBorders>
              <w:top w:val="none" w:color="FFFFFF" w:sz="0"/>
              <w:left w:val="none" w:color="FFFFFF" w:sz="0"/>
              <w:bottom w:val="none" w:color="FFFFFF" w:sz="0"/>
              <w:right w:val="none" w:color="FFFFFF" w:sz="0"/>
            </w:tcBorders>
            <w:tcMar>
              <w:top w:type="dxa" w:w="60"/>
              <w:left w:type="dxa" w:w="0"/>
              <w:bottom w:type="dxa" w:w="60"/>
              <w:right w:type="dxa" w:w="60"/>
            </w:tcMar>
          </w:tcPr>
          <w:p>
            <w:r>
              <w:rPr>
                <w:rFonts w:ascii="Arial" w:cs="Arial" w:eastAsia="Arial" w:hAnsi="Arial"/>
                <w:b/>
                <w:bCs/>
                <w:color w:val="1F3864"/>
                <w:sz w:val="18"/>
                <w:szCs w:val="18"/>
              </w:rPr>
              <w:t xml:space="preserve">DEPARTMENT OF HEALTH AND HUMAN SERVICES</w:t>
            </w:r>
          </w:p>
          <w:p>
            <w:r>
              <w:rPr>
                <w:rFonts w:ascii="Arial" w:cs="Arial" w:eastAsia="Arial" w:hAnsi="Arial"/>
                <w:b/>
                <w:bCs/>
                <w:color w:val="2E5DA0"/>
                <w:sz w:val="20"/>
                <w:szCs w:val="20"/>
              </w:rPr>
              <w:t xml:space="preserve">Food and Drug Administration</w:t>
            </w:r>
          </w:p>
          <w:p>
            <w:r>
              <w:rPr>
                <w:rFonts w:ascii="Arial" w:cs="Arial" w:eastAsia="Arial" w:hAnsi="Arial"/>
                <w:color w:val="444444"/>
                <w:sz w:val="18"/>
                <w:szCs w:val="18"/>
              </w:rPr>
              <w:t xml:space="preserve">Center for Drug Evaluation and Research</w:t>
            </w:r>
          </w:p>
          <w:p>
            <w:r>
              <w:rPr>
                <w:rFonts w:ascii="Arial" w:cs="Arial" w:eastAsia="Arial" w:hAnsi="Arial"/>
                <w:color w:val="444444"/>
                <w:sz w:val="18"/>
                <w:szCs w:val="18"/>
              </w:rPr>
              <w:t xml:space="preserve">Office of Oncology Products</w:t>
            </w:r>
          </w:p>
          <w:p>
            <w:r>
              <w:rPr>
                <w:rFonts w:ascii="Arial" w:cs="Arial" w:eastAsia="Arial" w:hAnsi="Arial"/>
                <w:color w:val="555555"/>
                <w:sz w:val="18"/>
                <w:szCs w:val="18"/>
              </w:rPr>
              <w:t xml:space="preserve">10903 New Hampshire Avenue</w:t>
            </w:r>
          </w:p>
          <w:p>
            <w:r>
              <w:rPr>
                <w:rFonts w:ascii="Arial" w:cs="Arial" w:eastAsia="Arial" w:hAnsi="Arial"/>
                <w:color w:val="555555"/>
                <w:sz w:val="18"/>
                <w:szCs w:val="18"/>
              </w:rPr>
              <w:t xml:space="preserve">Silver Spring, MD 20993-0002</w:t>
            </w:r>
          </w:p>
        </w:tc>
        <w:tc>
          <w:tcPr>
            <w:tcBorders>
              <w:top w:val="none" w:color="FFFFFF" w:sz="0"/>
              <w:left w:val="none" w:color="FFFFFF" w:sz="0"/>
              <w:bottom w:val="none" w:color="FFFFFF" w:sz="0"/>
              <w:right w:val="none" w:color="FFFFFF" w:sz="0"/>
            </w:tcBorders>
            <w:tcMar>
              <w:top w:type="dxa" w:w="60"/>
              <w:left w:type="dxa" w:w="60"/>
              <w:bottom w:type="dxa" w:w="60"/>
              <w:right w:type="dxa" w:w="0"/>
            </w:tcMar>
          </w:tcPr>
          <w:p>
            <w:pPr>
              <w:jc w:val="right"/>
            </w:pPr>
            <w:r>
              <w:rPr>
                <w:rFonts w:ascii="Arial" w:cs="Arial" w:eastAsia="Arial" w:hAnsi="Arial"/>
                <w:b/>
                <w:bCs/>
                <w:color w:val="1F3864"/>
                <w:sz w:val="20"/>
                <w:szCs w:val="20"/>
              </w:rPr>
              <w:t xml:space="preserve">NDA 761-XXX</w:t>
            </w:r>
          </w:p>
          <w:p>
            <w:pPr>
              <w:jc w:val="right"/>
            </w:pPr>
            <w:r>
              <w:rPr>
                <w:rFonts w:ascii="Arial" w:cs="Arial" w:eastAsia="Arial" w:hAnsi="Arial"/>
                <w:color w:val="555555"/>
                <w:sz w:val="18"/>
                <w:szCs w:val="18"/>
              </w:rPr>
              <w:t xml:space="preserve">Sequence Number: 0001</w:t>
            </w:r>
          </w:p>
          <w:p>
            <w:pPr>
              <w:jc w:val="right"/>
            </w:pPr>
            <w:r>
              <w:rPr>
                <w:rFonts w:ascii="Arial" w:cs="Arial" w:eastAsia="Arial" w:hAnsi="Arial"/>
                <w:i/>
                <w:iCs/>
                <w:color w:val="555555"/>
                <w:sz w:val="18"/>
                <w:szCs w:val="18"/>
              </w:rPr>
              <w:t xml:space="preserve">[DATE OF APPROVAL]</w:t>
            </w:r>
          </w:p>
        </w:tc>
      </w:tr>
    </w:tbl>
    <w:p>
      <w:pPr>
        <w:pBdr>
          <w:bottom w:val="single" w:color="2E5DA0" w:sz="6" w:space="1"/>
        </w:pBdr>
        <w:spacing w:before="120" w:after="120"/>
      </w:pPr>
      <w:r>
        <w:t xml:space="preserve"/>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bCs/>
          <w:i w:val="false"/>
          <w:iCs w:val="false"/>
          <w:color w:val="000000"/>
          <w:sz w:val="20"/>
          <w:szCs w:val="20"/>
        </w:rPr>
        <w:t xml:space="preserve">Zymera Biosciences, Inc.</w:t>
      </w:r>
    </w:p>
    <w:p>
      <w:pPr>
        <w:spacing w:before="80" w:after="80"/>
        <w:jc w:val="left"/>
      </w:pPr>
      <w:r>
        <w:rPr>
          <w:rFonts w:ascii="Arial" w:cs="Arial" w:eastAsia="Arial" w:hAnsi="Arial"/>
          <w:b w:val="false"/>
          <w:bCs w:val="false"/>
          <w:i w:val="false"/>
          <w:iCs w:val="false"/>
          <w:color w:val="000000"/>
          <w:sz w:val="20"/>
          <w:szCs w:val="20"/>
        </w:rPr>
        <w:t xml:space="preserve">Attention: [Regulatory Affairs Lead, Title]</w:t>
      </w:r>
    </w:p>
    <w:p>
      <w:pPr>
        <w:spacing w:before="80" w:after="80"/>
        <w:jc w:val="left"/>
      </w:pPr>
      <w:r>
        <w:rPr>
          <w:rFonts w:ascii="Arial" w:cs="Arial" w:eastAsia="Arial" w:hAnsi="Arial"/>
          <w:b w:val="false"/>
          <w:bCs w:val="false"/>
          <w:i w:val="false"/>
          <w:iCs w:val="false"/>
          <w:color w:val="000000"/>
          <w:sz w:val="20"/>
          <w:szCs w:val="20"/>
        </w:rPr>
        <w:t xml:space="preserve">[Company Address Line 1]</w:t>
      </w:r>
    </w:p>
    <w:p>
      <w:pPr>
        <w:spacing w:before="80" w:after="80"/>
        <w:jc w:val="left"/>
      </w:pPr>
      <w:r>
        <w:rPr>
          <w:rFonts w:ascii="Arial" w:cs="Arial" w:eastAsia="Arial" w:hAnsi="Arial"/>
          <w:b w:val="false"/>
          <w:bCs w:val="false"/>
          <w:i w:val="false"/>
          <w:iCs w:val="false"/>
          <w:color w:val="000000"/>
          <w:sz w:val="20"/>
          <w:szCs w:val="20"/>
        </w:rPr>
        <w:t xml:space="preserve">[City, State, ZIP]</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100" w:after="80"/>
        <w:jc w:val="left"/>
      </w:pPr>
      <w:r>
        <w:rPr>
          <w:rFonts w:ascii="Arial" w:cs="Arial" w:eastAsia="Arial" w:hAnsi="Arial"/>
          <w:b/>
          <w:bCs/>
          <w:sz w:val="20"/>
          <w:szCs w:val="20"/>
        </w:rPr>
        <w:t xml:space="preserve">Re: NDA 761-XXX — CERVIMAB (anti-PD-1 monoclonal antibody) — </w:t>
      </w:r>
      <w:r>
        <w:rPr>
          <w:rFonts w:ascii="Arial" w:cs="Arial" w:eastAsia="Arial" w:hAnsi="Arial"/>
          <w:b/>
          <w:bCs/>
          <w:color w:val="1A7340"/>
          <w:sz w:val="20"/>
          <w:szCs w:val="20"/>
        </w:rPr>
        <w:t xml:space="preserve">APPROVAL</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Dear [Regulatory Affairs Lead Name]:</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Please refer to your Biologics License Application (BLA) dated [Initial Submission Date], received [Receipt Date], and your amendments, submitted pursuant to section 351(a) of the Public Health Service Act (PHS Act) (42 U.S.C. § 262(a)) and 21 CFR part 601 for CERVIMAB (anti-PD-1 monoclonal antibody) injection, for intravenous use.</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1A734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APPROVED INDICATION</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100" w:after="80"/>
        <w:jc w:val="left"/>
      </w:pPr>
      <w:r>
        <w:rPr>
          <w:rFonts w:ascii="Arial" w:cs="Arial" w:eastAsia="Arial" w:hAnsi="Arial"/>
          <w:b w:val="false"/>
          <w:bCs w:val="false"/>
          <w:i w:val="false"/>
          <w:iCs w:val="false"/>
          <w:color w:val="000000"/>
          <w:sz w:val="20"/>
          <w:szCs w:val="20"/>
        </w:rPr>
        <w:t xml:space="preserve">We have completed our review of this application, as amended. It is approved, effective on the date of this letter, for use as described in the enclosed final approved labeling. This approval is based on the totality of evidence submitted to support the efficacy and safety of CERVIMAB for the following indication:</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thick" w:color="1A7340" w:sz="8"/>
              <w:left w:val="thick" w:color="1A7340" w:sz="20"/>
              <w:bottom w:val="thick" w:color="1A7340" w:sz="8"/>
              <w:right w:val="single" w:color="1A7340" w:sz="4"/>
            </w:tcBorders>
            <w:shd w:fill="EAF7EE" w:val="clear"/>
            <w:tcMar>
              <w:top w:type="dxa" w:w="140"/>
              <w:left w:type="dxa" w:w="200"/>
              <w:bottom w:type="dxa" w:w="140"/>
              <w:right w:type="dxa" w:w="160"/>
            </w:tcMar>
          </w:tcPr>
          <w:p>
            <w:r>
              <w:rPr>
                <w:rFonts w:ascii="Arial" w:cs="Arial" w:eastAsia="Arial" w:hAnsi="Arial"/>
                <w:b/>
                <w:bCs/>
                <w:color w:val="1A7340"/>
                <w:sz w:val="20"/>
                <w:szCs w:val="20"/>
              </w:rPr>
              <w:t xml:space="preserve">CERVIMAB (anti-PD-1 monoclonal antibody) is indicated for the treatment of adult patients with unresectable or metastatic mismatch repair deficient (dMMR) or microsatellite instability-high (MSI-H) colorectal cancer (CRC) that has progressed following fluoropyrimidine-, oxaliplatin-, and irinotecan-based chemotherapy.</w:t>
            </w:r>
          </w:p>
          <w:p>
            <w:pPr>
              <w:spacing w:before="80"/>
            </w:pPr>
            <w:r>
              <w:rPr>
                <w:rFonts w:ascii="Arial" w:cs="Arial" w:eastAsia="Arial" w:hAnsi="Arial"/>
                <w:i/>
                <w:iCs/>
                <w:color w:val="2D5A3A"/>
                <w:sz w:val="19"/>
                <w:szCs w:val="19"/>
              </w:rPr>
              <w:t xml:space="preserve">This indication is approved under accelerated approval based on overall response rate (ORR). Continued approval for this indication may be contingent upon verification and description of clinical benefit in confirmatory trials.</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BASIS FOR APPROVAL</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approval is based primarily on data from the randomized, open-label, multicenter Phase 3 clinical trial CERVIMAB-301 (NCT0X-XXXXXXX), which enrolled 520 adult patients with previously treated unresectable or metastatic dMMR/MSI-H colorectal cancer. The pivotal efficacy results supporting this approval are summarized below:</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Efficacy Endpoint</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CERVIMAB
(N=261)</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Investigator's Choice Chemotherapy
(N=259)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 Response Rate (ORR), % (95% CI)</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 (36.5, 48.8)</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 (7.5, 15.9)</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Response Rate</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8.4%</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1.5%</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 Duration of Response (months)</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Not reached (NR)</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 (6.1, 11.2)</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Progression-Free Survival, median (months)</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 (7.8, NR)</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 (3.2, 5.6)</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Overall Survival, median (months)</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NR (19.8, NR)</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 (12.2, 17.3)</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results demonstrated a statistically significant and clinically meaningful improvement in ORR (p &lt;0.0001), PFS (HR 0.38; 95% CI: 0.29, 0.50; p &lt;0.0001), and OS (HR 0.52; 95% CI: 0.38, 0.70; p &lt;0.0001) compared with investigator's choice chemotherapy.</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LABELING</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We have enclosed the following final approved labeling:</w:t>
      </w:r>
    </w:p>
    <w:p>
      <w:pPr>
        <w:pStyle w:val="ListParagraph"/>
        <w:numPr>
          <w:ilvl w:val="0"/>
          <w:numId w:val="2"/>
        </w:numPr>
        <w:spacing w:before="60" w:after="60"/>
      </w:pPr>
      <w:r>
        <w:rPr>
          <w:rFonts w:ascii="Arial" w:cs="Arial" w:eastAsia="Arial" w:hAnsi="Arial"/>
          <w:b w:val="false"/>
          <w:bCs w:val="false"/>
          <w:sz w:val="20"/>
          <w:szCs w:val="20"/>
        </w:rPr>
        <w:t xml:space="preserve">United States Prescribing Information (USPI)</w:t>
      </w:r>
    </w:p>
    <w:p>
      <w:pPr>
        <w:pStyle w:val="ListParagraph"/>
        <w:numPr>
          <w:ilvl w:val="0"/>
          <w:numId w:val="2"/>
        </w:numPr>
        <w:spacing w:before="60" w:after="60"/>
      </w:pPr>
      <w:r>
        <w:rPr>
          <w:rFonts w:ascii="Arial" w:cs="Arial" w:eastAsia="Arial" w:hAnsi="Arial"/>
          <w:b w:val="false"/>
          <w:bCs w:val="false"/>
          <w:sz w:val="20"/>
          <w:szCs w:val="20"/>
        </w:rPr>
        <w:t xml:space="preserve">Patient Package Insert (PPI)</w:t>
      </w:r>
    </w:p>
    <w:p>
      <w:pPr>
        <w:pStyle w:val="ListParagraph"/>
        <w:numPr>
          <w:ilvl w:val="0"/>
          <w:numId w:val="2"/>
        </w:numPr>
        <w:spacing w:before="60" w:after="60"/>
      </w:pPr>
      <w:r>
        <w:rPr>
          <w:rFonts w:ascii="Arial" w:cs="Arial" w:eastAsia="Arial" w:hAnsi="Arial"/>
          <w:b w:val="false"/>
          <w:bCs w:val="false"/>
          <w:sz w:val="20"/>
          <w:szCs w:val="20"/>
        </w:rPr>
        <w:t xml:space="preserve">Carton and Container Labels</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Submit final printed labeling in eCTD format no later than 30 days after this approval. The labeling must be identical to the approved labeling.</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POST-MARKETING REQUIREMENTS AND COMMITMENTS</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We are requiring you to conduct the following post-marketing studies and clinical trials required under 21 CFR 601.70 (Post-Marketing Requirements, or PMRs). These PMRs are based on data that were available or pending at the time of approval.</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5600"/>
        <w:gridCol w:w="1600"/>
        <w:gridCol w:w="1600"/>
      </w:tblGrid>
      <w:tr>
        <w:tc>
          <w:tcPr>
            <w:tcW w:type="dxa" w:w="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5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PMR Description</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Final Report Submission Date</w:t>
            </w:r>
          </w:p>
        </w:tc>
        <w:tc>
          <w:tcPr>
            <w:tcW w:type="dxa" w:w="1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PMR 1</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Conduct a randomized confirmatory trial (CERVIMAB-302) evaluating CERVIMAB vs. standard of care as first-line therapy in dMMR/MSI-H metastatic CRC to verify and describe clinical benefit under accelerated approval.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Q4 2027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Ongoing</w:t>
            </w:r>
          </w:p>
        </w:tc>
      </w:tr>
      <w:tr>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PMR 2</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a dedicated pharmacokinetics (PK) study in patients with severe hepatic impairment (Child-Pugh C) and severe renal impairment (eGFR &lt;15 mL/min/1.73 m²).</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Q2 2026</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Pending</w:t>
            </w:r>
          </w:p>
        </w:tc>
      </w:tr>
      <w:tr>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PMR 3</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Characterize the immunogenicity profile of CERVIMAB across diverse patient populations utilizing an assay validated in accordance with FDA guidance for immunogenicity testing.</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Q1 2027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Pending</w:t>
            </w:r>
          </w:p>
        </w:tc>
      </w:tr>
      <w:tr>
        <w:tc>
          <w:tcPr>
            <w:tcW w:type="dxa" w:w="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PMC 1</w:t>
            </w:r>
          </w:p>
        </w:tc>
        <w:tc>
          <w:tcPr>
            <w:tcW w:type="dxa" w:w="5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 a retrospective real-world evidence analysis characterizing outcomes in patients with dMMR/MSI-H mCRC who have received CERVIMAB in community oncology settings.</w:t>
            </w:r>
          </w:p>
        </w:tc>
        <w:tc>
          <w:tcPr>
            <w:tcW w:type="dxa" w:w="1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Q3 2027</w:t>
            </w:r>
          </w:p>
        </w:tc>
        <w:tc>
          <w:tcPr>
            <w:tcW w:type="dxa" w:w="1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Pending</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RISK EVALUATION AND MITIGATION STRATEGY (REMS)</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A Risk Evaluation and Mitigation Strategy (REMS) is required for CERVIMAB. The REMS for CERVIMAB will be used to inform healthcare providers and patients about the serious risks associated with the product, including immune-mediated adverse reactions and infusion-related reactions. You must develop the REMS in accordance with 21 CFR part 208 and the enclosed REMS requirements document, and submit the proposed REMS within 30 days of this approval letter.</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MANUFACTURING AND FACILITY INFORMATION</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manufacturing facilities listed in your application have been found to be acceptable per our pre-approval inspection findings. Any changes to manufacturing sites must be submitted as Prior Approval Supplements unless otherwise specified in 21 CFR 601.12.</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OTHER CONDITIONS OF APPROVAL</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before="60" w:after="60"/>
      </w:pPr>
      <w:r>
        <w:rPr>
          <w:rFonts w:ascii="Arial" w:cs="Arial" w:eastAsia="Arial" w:hAnsi="Arial"/>
          <w:b w:val="false"/>
          <w:bCs w:val="false"/>
          <w:sz w:val="20"/>
          <w:szCs w:val="20"/>
        </w:rPr>
        <w:t xml:space="preserve">This product is subject to the provisions of the Orphan Drug Act (21 U.S.C. § 360aa et seq.) for the treatment of dMMR/MSI-H mCRC. Orphan drug exclusivity of 7 years is granted from the date of this approval.</w:t>
      </w:r>
    </w:p>
    <w:p>
      <w:pPr>
        <w:pStyle w:val="ListParagraph"/>
        <w:numPr>
          <w:ilvl w:val="0"/>
          <w:numId w:val="2"/>
        </w:numPr>
        <w:spacing w:before="60" w:after="60"/>
      </w:pPr>
      <w:r>
        <w:rPr>
          <w:rFonts w:ascii="Arial" w:cs="Arial" w:eastAsia="Arial" w:hAnsi="Arial"/>
          <w:b w:val="false"/>
          <w:bCs w:val="false"/>
          <w:sz w:val="20"/>
          <w:szCs w:val="20"/>
        </w:rPr>
        <w:t xml:space="preserve">Annual safety reports must be submitted in accordance with 21 CFR 600.80.</w:t>
      </w:r>
    </w:p>
    <w:p>
      <w:pPr>
        <w:pStyle w:val="ListParagraph"/>
        <w:numPr>
          <w:ilvl w:val="0"/>
          <w:numId w:val="2"/>
        </w:numPr>
        <w:spacing w:before="60" w:after="60"/>
      </w:pPr>
      <w:r>
        <w:rPr>
          <w:rFonts w:ascii="Arial" w:cs="Arial" w:eastAsia="Arial" w:hAnsi="Arial"/>
          <w:b w:val="false"/>
          <w:bCs w:val="false"/>
          <w:sz w:val="20"/>
          <w:szCs w:val="20"/>
        </w:rPr>
        <w:t xml:space="preserve">Report all serious and unexpected adverse events as required by 21 CFR 600.80 within 15 days of receipt.</w:t>
      </w:r>
    </w:p>
    <w:p>
      <w:pPr>
        <w:pStyle w:val="ListParagraph"/>
        <w:numPr>
          <w:ilvl w:val="0"/>
          <w:numId w:val="2"/>
        </w:numPr>
        <w:spacing w:before="60" w:after="60"/>
      </w:pPr>
      <w:r>
        <w:rPr>
          <w:rFonts w:ascii="Arial" w:cs="Arial" w:eastAsia="Arial" w:hAnsi="Arial"/>
          <w:b w:val="false"/>
          <w:bCs w:val="false"/>
          <w:sz w:val="20"/>
          <w:szCs w:val="20"/>
        </w:rPr>
        <w:t xml:space="preserve">This product is subject to the Pediatric Research Equity Act (PREA). A Pediatric Study Plan (PSP) is required; submit proposed pediatric studies within 60 days of this letter.</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If you have questions, call your FDA project manager.</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Sincerely,</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__________________________________________</w:t>
      </w:r>
    </w:p>
    <w:p>
      <w:pPr>
        <w:spacing w:before="80" w:after="80"/>
        <w:jc w:val="left"/>
      </w:pPr>
      <w:r>
        <w:rPr>
          <w:rFonts w:ascii="Arial" w:cs="Arial" w:eastAsia="Arial" w:hAnsi="Arial"/>
          <w:b/>
          <w:bCs/>
          <w:i w:val="false"/>
          <w:iCs w:val="false"/>
          <w:color w:val="000000"/>
          <w:sz w:val="20"/>
          <w:szCs w:val="20"/>
        </w:rPr>
        <w:t xml:space="preserve">[Director Name], MD, PhD</w:t>
      </w:r>
    </w:p>
    <w:p>
      <w:pPr>
        <w:spacing w:before="80" w:after="80"/>
        <w:jc w:val="left"/>
      </w:pPr>
      <w:r>
        <w:rPr>
          <w:rFonts w:ascii="Arial" w:cs="Arial" w:eastAsia="Arial" w:hAnsi="Arial"/>
          <w:b w:val="false"/>
          <w:bCs w:val="false"/>
          <w:i w:val="false"/>
          <w:iCs w:val="false"/>
          <w:color w:val="000000"/>
          <w:sz w:val="20"/>
          <w:szCs w:val="20"/>
        </w:rPr>
        <w:t xml:space="preserve">Director, Division of Oncology Products 1</w:t>
      </w:r>
    </w:p>
    <w:p>
      <w:pPr>
        <w:spacing w:before="80" w:after="80"/>
        <w:jc w:val="left"/>
      </w:pPr>
      <w:r>
        <w:rPr>
          <w:rFonts w:ascii="Arial" w:cs="Arial" w:eastAsia="Arial" w:hAnsi="Arial"/>
          <w:b w:val="false"/>
          <w:bCs w:val="false"/>
          <w:i w:val="false"/>
          <w:iCs w:val="false"/>
          <w:color w:val="000000"/>
          <w:sz w:val="20"/>
          <w:szCs w:val="20"/>
        </w:rPr>
        <w:t xml:space="preserve">Office of Oncology Products</w:t>
      </w:r>
    </w:p>
    <w:p>
      <w:pPr>
        <w:spacing w:before="80" w:after="80"/>
        <w:jc w:val="left"/>
      </w:pPr>
      <w:r>
        <w:rPr>
          <w:rFonts w:ascii="Arial" w:cs="Arial" w:eastAsia="Arial" w:hAnsi="Arial"/>
          <w:b w:val="false"/>
          <w:bCs w:val="false"/>
          <w:i w:val="false"/>
          <w:iCs w:val="false"/>
          <w:color w:val="000000"/>
          <w:sz w:val="20"/>
          <w:szCs w:val="20"/>
        </w:rPr>
        <w:t xml:space="preserve">Center for Drug Evaluation and Research</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555555"/>
          <w:sz w:val="20"/>
          <w:szCs w:val="20"/>
        </w:rPr>
        <w:t xml:space="preserve">Enclosures: Final Approved USPI; REMS Requirements Document; Post-Marketing Commitment Schedule</w:t>
      </w:r>
    </w:p>
    <w:p>
      <w:pPr>
        <w:sectPr>
          <w:headerReference w:type="default" r:id="rId6"/>
          <w:footerReference w:type="default" r:id="rId7"/>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DOCUMENT 2</w:t>
            </w:r>
          </w:p>
          <w:p>
            <w:pPr>
              <w:spacing w:before="40" w:after="40"/>
              <w:jc w:val="center"/>
            </w:pPr>
            <w:r>
              <w:rPr>
                <w:rFonts w:ascii="Arial" w:cs="Arial" w:eastAsia="Arial" w:hAnsi="Arial"/>
                <w:b w:val="false"/>
                <w:bCs w:val="false"/>
                <w:color w:val="C9D9F0"/>
                <w:sz w:val="28"/>
                <w:szCs w:val="28"/>
              </w:rPr>
              <w:t xml:space="preserve">FINAL U.S. PRESCRIBING INFORMATION (USPI / SmPC)</w:t>
            </w:r>
          </w:p>
          <w:p>
            <w:pPr>
              <w:spacing w:before="20" w:after="60"/>
              <w:jc w:val="center"/>
            </w:pPr>
            <w:r>
              <w:rPr>
                <w:rFonts w:ascii="Arial" w:cs="Arial" w:eastAsia="Arial" w:hAnsi="Arial"/>
                <w:i/>
                <w:iCs/>
                <w:color w:val="A8C4E0"/>
                <w:sz w:val="22"/>
                <w:szCs w:val="22"/>
              </w:rPr>
              <w:t xml:space="preserve">CERVIMAB® (anti-PD-1 monoclonal antibody) injection · NDA 761-XXX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CERVIMAB®</w:t>
            </w:r>
          </w:p>
          <w:p>
            <w:pPr>
              <w:spacing w:before="40" w:after="40"/>
              <w:jc w:val="center"/>
            </w:pPr>
            <w:r>
              <w:rPr>
                <w:rFonts w:ascii="Arial" w:cs="Arial" w:eastAsia="Arial" w:hAnsi="Arial"/>
                <w:b w:val="false"/>
                <w:bCs w:val="false"/>
                <w:color w:val="C9D9F0"/>
                <w:sz w:val="28"/>
                <w:szCs w:val="28"/>
              </w:rPr>
              <w:t xml:space="preserve">(anti-PD-1 monoclonal antibody) injection, for intravenous use</w:t>
            </w:r>
          </w:p>
          <w:p>
            <w:pPr>
              <w:spacing w:before="20" w:after="60"/>
              <w:jc w:val="center"/>
            </w:pPr>
            <w:r>
              <w:rPr>
                <w:rFonts w:ascii="Arial" w:cs="Arial" w:eastAsia="Arial" w:hAnsi="Arial"/>
                <w:i/>
                <w:iCs/>
                <w:color w:val="A8C4E0"/>
                <w:sz w:val="22"/>
                <w:szCs w:val="22"/>
              </w:rPr>
              <w:t xml:space="preserve">UNITED STATES PRESCRIBING INFORMATION (USPI) — FINAL APPROVED LABELING</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thick" w:color="7B0000" w:sz="12"/>
              <w:left w:val="thick" w:color="7B0000" w:sz="24"/>
              <w:bottom w:val="thick" w:color="7B0000" w:sz="12"/>
              <w:right w:val="thick" w:color="7B0000" w:sz="12"/>
            </w:tcBorders>
            <w:shd w:fill="FFEBEB" w:val="clear"/>
            <w:tcMar>
              <w:top w:type="dxa" w:w="120"/>
              <w:left w:type="dxa" w:w="200"/>
              <w:bottom w:type="dxa" w:w="120"/>
              <w:right w:type="dxa" w:w="120"/>
            </w:tcMar>
          </w:tcPr>
          <w:p>
            <w:pPr>
              <w:spacing w:before="60" w:after="60"/>
            </w:pPr>
            <w:r>
              <w:rPr>
                <w:rFonts w:ascii="Arial" w:cs="Arial" w:eastAsia="Arial" w:hAnsi="Arial"/>
                <w:b/>
                <w:bCs/>
                <w:color w:val="7B0000"/>
                <w:sz w:val="20"/>
                <w:szCs w:val="20"/>
              </w:rPr>
              <w:t xml:space="preserve">WARNING: IMMUNE-MEDIATED ADVERSE REACTIONS AND INFUSION-RELATED REACTIONS</w:t>
            </w:r>
          </w:p>
          <w:p>
            <w:pPr>
              <w:spacing w:before="60" w:after="60"/>
            </w:pPr>
            <w:r>
              <w:rPr>
                <w:rFonts w:ascii="Arial" w:cs="Arial" w:eastAsia="Arial" w:hAnsi="Arial"/>
                <w:b w:val="false"/>
                <w:bCs w:val="false"/>
                <w:color w:val="7B0000"/>
                <w:sz w:val="20"/>
                <w:szCs w:val="20"/>
              </w:rPr>
              <w:t xml:space="preserve"/>
            </w:r>
          </w:p>
          <w:p>
            <w:pPr>
              <w:spacing w:before="60" w:after="60"/>
            </w:pPr>
            <w:r>
              <w:rPr>
                <w:rFonts w:ascii="Arial" w:cs="Arial" w:eastAsia="Arial" w:hAnsi="Arial"/>
                <w:b w:val="false"/>
                <w:bCs w:val="false"/>
                <w:color w:val="7B0000"/>
                <w:sz w:val="20"/>
                <w:szCs w:val="20"/>
              </w:rPr>
              <w:t xml:space="preserve">IMMUNE-MEDIATED ADVERSE REACTIONS — CERVIMAB is a monoclonal antibody that binds to programmed death receptor-1 (PD-1) and can result in immune-mediated adverse reactions. Immune-mediated adverse reactions, which may be severe or fatal, can occur in any organ system or tissue. Immune-mediated adverse reactions can occur at any time after starting treatment or after discontinuation. Monitor patients closely for symptoms and signs that may be clinical manifestations of underlying immune-mediated adverse reactions; evaluate clinical chemistries including liver enzymes, creatinine, adrenocorticotropic hormone (ACTH) level, and thyroid function at baseline and periodically during treatment. In cases of suspected immune-mediated adverse reactions, initiate appropriate workup to exclude alternative etiologies, including infection. Institute medical management promptly, including specialty consultation as appropriate [see Warnings and Precautions (5.1)].</w:t>
            </w:r>
          </w:p>
          <w:p>
            <w:pPr>
              <w:spacing w:before="60" w:after="60"/>
            </w:pPr>
            <w:r>
              <w:rPr>
                <w:rFonts w:ascii="Arial" w:cs="Arial" w:eastAsia="Arial" w:hAnsi="Arial"/>
                <w:b w:val="false"/>
                <w:bCs w:val="false"/>
                <w:color w:val="7B0000"/>
                <w:sz w:val="20"/>
                <w:szCs w:val="20"/>
              </w:rPr>
              <w:t xml:space="preserve"/>
            </w:r>
          </w:p>
          <w:p>
            <w:pPr>
              <w:spacing w:before="60" w:after="60"/>
            </w:pPr>
            <w:r>
              <w:rPr>
                <w:rFonts w:ascii="Arial" w:cs="Arial" w:eastAsia="Arial" w:hAnsi="Arial"/>
                <w:b w:val="false"/>
                <w:bCs w:val="false"/>
                <w:color w:val="7B0000"/>
                <w:sz w:val="20"/>
                <w:szCs w:val="20"/>
              </w:rPr>
              <w:t xml:space="preserve">INFUSION-RELATED REACTIONS — Severe infusion-related reactions, including anaphylaxis, have occurred with CERVIMAB. Monitor patients for signs and symptoms of infusion-related reactions. Interrupt or slow the rate of infusion for Grade 1 or Grade 2 infusion-related reactions. Stop the infusion for Grade 3 or Grade 4 infusion-related reactions and permanently discontinue CERVIMAB [see Warnings and Precautions (5.11)].</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HIGHLIGHTS OF PRESCRIBING INFORMATION</w:t>
      </w:r>
    </w:p>
    <w:p>
      <w:pPr>
        <w:spacing w:before="80" w:after="80"/>
        <w:jc w:val="left"/>
      </w:pPr>
      <w:r>
        <w:rPr>
          <w:rFonts w:ascii="Arial" w:cs="Arial" w:eastAsia="Arial" w:hAnsi="Arial"/>
          <w:b w:val="false"/>
          <w:bCs w:val="false"/>
          <w:i w:val="false"/>
          <w:iCs w:val="false"/>
          <w:color w:val="000000"/>
          <w:sz w:val="20"/>
          <w:szCs w:val="20"/>
        </w:rPr>
        <w:t xml:space="preserve">These highlights do not include all the information needed to use CERVIMAB safely and effectively. See full prescribing information for CERVIMAB.</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bCs/>
          <w:sz w:val="20"/>
          <w:szCs w:val="20"/>
        </w:rPr>
        <w:t xml:space="preserve">CERVIMAB® (anti-PD-1 monoclonal antibody) injection, for intravenous use</w:t>
      </w:r>
    </w:p>
    <w:p>
      <w:pPr>
        <w:spacing w:before="80" w:after="80"/>
        <w:jc w:val="left"/>
      </w:pPr>
      <w:r>
        <w:rPr>
          <w:rFonts w:ascii="Arial" w:cs="Arial" w:eastAsia="Arial" w:hAnsi="Arial"/>
          <w:b w:val="false"/>
          <w:bCs w:val="false"/>
          <w:i w:val="false"/>
          <w:iCs w:val="false"/>
          <w:color w:val="000000"/>
          <w:sz w:val="20"/>
          <w:szCs w:val="20"/>
        </w:rPr>
        <w:t xml:space="preserve">Initial U.S. Approval: [YEAR]</w:t>
      </w:r>
    </w:p>
    <w:p>
      <w:pPr>
        <w:pBdr>
          <w:bottom w:val="single" w:color="2E5DA0" w:sz="6" w:space="1"/>
        </w:pBdr>
        <w:spacing w:before="120" w:after="120"/>
      </w:pPr>
      <w:r>
        <w:t xml:space="preserve"/>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 INDICATIONS AND USAGE</w:t>
      </w:r>
    </w:p>
    <w:p>
      <w:pPr>
        <w:spacing w:before="80" w:after="80"/>
        <w:jc w:val="left"/>
      </w:pPr>
      <w:r>
        <w:rPr>
          <w:rFonts w:ascii="Arial" w:cs="Arial" w:eastAsia="Arial" w:hAnsi="Arial"/>
          <w:b w:val="false"/>
          <w:bCs w:val="false"/>
          <w:i w:val="false"/>
          <w:iCs w:val="false"/>
          <w:color w:val="000000"/>
          <w:sz w:val="20"/>
          <w:szCs w:val="20"/>
        </w:rPr>
        <w:t xml:space="preserve">CERVIMAB is a programmed death receptor-1 (PD-1) blocking antibody indicated for the treatment of adult patients with:</w:t>
      </w:r>
    </w:p>
    <w:p>
      <w:pPr>
        <w:pStyle w:val="ListParagraph"/>
        <w:numPr>
          <w:ilvl w:val="0"/>
          <w:numId w:val="2"/>
        </w:numPr>
        <w:spacing w:before="60" w:after="60"/>
      </w:pPr>
      <w:r>
        <w:rPr>
          <w:rFonts w:ascii="Arial" w:cs="Arial" w:eastAsia="Arial" w:hAnsi="Arial"/>
          <w:b w:val="false"/>
          <w:bCs w:val="false"/>
          <w:sz w:val="20"/>
          <w:szCs w:val="20"/>
        </w:rPr>
        <w:t xml:space="preserve">Unresectable or metastatic mismatch repair deficient (dMMR) or microsatellite instability-high (MSI-H) colorectal cancer (CRC) that has progressed following fluoropyrimidine-, oxaliplatin-, and irinotecan-based chemotherapy. (1.1)</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000000"/>
          <w:sz w:val="20"/>
          <w:szCs w:val="20"/>
        </w:rPr>
        <w:t xml:space="preserve">This indication is approved under accelerated approval based on overall response rate (ORR). Continued approval for this indication may be contingent upon verification and description of clinical benefit in the confirmatory trial. (1.1)</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2. DOSAGE AND ADMINISTRATION</w:t>
      </w:r>
    </w:p>
    <w:p>
      <w:pPr>
        <w:pStyle w:val="Heading3"/>
        <w:spacing w:before="280" w:after="120"/>
      </w:pPr>
      <w:r>
        <w:rPr>
          <w:rFonts w:ascii="Arial" w:cs="Arial" w:eastAsia="Arial" w:hAnsi="Arial"/>
          <w:b/>
          <w:bCs/>
          <w:color w:val="444444"/>
          <w:sz w:val="22"/>
          <w:szCs w:val="22"/>
        </w:rPr>
        <w:t xml:space="preserve">2.1 Patient Selection</w:t>
      </w:r>
    </w:p>
    <w:p>
      <w:pPr>
        <w:spacing w:before="80" w:after="80"/>
        <w:jc w:val="left"/>
      </w:pPr>
      <w:r>
        <w:rPr>
          <w:rFonts w:ascii="Arial" w:cs="Arial" w:eastAsia="Arial" w:hAnsi="Arial"/>
          <w:b w:val="false"/>
          <w:bCs w:val="false"/>
          <w:i w:val="false"/>
          <w:iCs w:val="false"/>
          <w:color w:val="000000"/>
          <w:sz w:val="20"/>
          <w:szCs w:val="20"/>
        </w:rPr>
        <w:t xml:space="preserve">Select patients for treatment based on dMMR or MSI-H tumor status. FDA-approved tests for dMMR or MSI-H status are available. Information on FDA-approved tests for the detection of dMMR and MSI-H tumor status is available at: http://www.fda.gov/CompanionDiagnostics.</w:t>
      </w:r>
    </w:p>
    <w:p>
      <w:pPr>
        <w:pStyle w:val="Heading3"/>
        <w:spacing w:before="280" w:after="120"/>
      </w:pPr>
      <w:r>
        <w:rPr>
          <w:rFonts w:ascii="Arial" w:cs="Arial" w:eastAsia="Arial" w:hAnsi="Arial"/>
          <w:b/>
          <w:bCs/>
          <w:color w:val="444444"/>
          <w:sz w:val="22"/>
          <w:szCs w:val="22"/>
        </w:rPr>
        <w:t xml:space="preserve">2.2 Recommended Dosage</w:t>
      </w:r>
    </w:p>
    <w:p>
      <w:pPr>
        <w:spacing w:before="80" w:after="80"/>
        <w:jc w:val="left"/>
      </w:pPr>
      <w:r>
        <w:rPr>
          <w:rFonts w:ascii="Arial" w:cs="Arial" w:eastAsia="Arial" w:hAnsi="Arial"/>
          <w:b w:val="false"/>
          <w:bCs w:val="false"/>
          <w:i w:val="false"/>
          <w:iCs w:val="false"/>
          <w:color w:val="000000"/>
          <w:sz w:val="20"/>
          <w:szCs w:val="20"/>
        </w:rPr>
        <w:t xml:space="preserve">The recommended dose of CERVIMAB is 400 mg administered as an intravenous infusion over 30 minutes every 6 weeks until disease progression or unacceptable toxicity.</w:t>
      </w:r>
    </w:p>
    <w:p>
      <w:pPr>
        <w:pStyle w:val="Heading3"/>
        <w:spacing w:before="280" w:after="120"/>
      </w:pPr>
      <w:r>
        <w:rPr>
          <w:rFonts w:ascii="Arial" w:cs="Arial" w:eastAsia="Arial" w:hAnsi="Arial"/>
          <w:b/>
          <w:bCs/>
          <w:color w:val="444444"/>
          <w:sz w:val="22"/>
          <w:szCs w:val="22"/>
        </w:rPr>
        <w:t xml:space="preserve">2.3 Dose Modifications for Adverse Reactions</w:t>
      </w:r>
    </w:p>
    <w:p>
      <w:pPr>
        <w:spacing w:before="80" w:after="80"/>
        <w:jc w:val="left"/>
      </w:pPr>
      <w:r>
        <w:rPr>
          <w:rFonts w:ascii="Arial" w:cs="Arial" w:eastAsia="Arial" w:hAnsi="Arial"/>
          <w:b w:val="false"/>
          <w:bCs w:val="false"/>
          <w:i w:val="false"/>
          <w:iCs w:val="false"/>
          <w:color w:val="000000"/>
          <w:sz w:val="20"/>
          <w:szCs w:val="20"/>
        </w:rPr>
        <w:t xml:space="preserve">No dose reductions of CERVIMAB are recommended. Dose modifications due to adverse reactions are described below:</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Adverse Reaction</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Severity</w:t>
            </w:r>
          </w:p>
        </w:tc>
        <w:tc>
          <w:tcPr>
            <w:tcW w:type="dxa" w:w="30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CERVIMAB Modification</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Immune-mediated pneumonitis</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2</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Withhold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3–4 or recurrent Grade 2</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Permanently discontinue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Immune-mediated colitis</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2 or 3</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Withhold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4 or recurrent Grade 3</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Permanently discontinue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Immune-mediated hepatitis (AST or ALT &gt;3–5× ULN or Total Bilirubin &gt;1.5–3× ULN)</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2</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Withhold</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3–4</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Permanently discontinue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Infusion-related reactions</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1–2</w:t>
            </w:r>
          </w:p>
        </w:tc>
        <w:tc>
          <w:tcPr>
            <w:tcW w:type="dxa" w:w="30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Interrupt or slow infusion rate</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Grade 3–4</w:t>
            </w:r>
          </w:p>
        </w:tc>
        <w:tc>
          <w:tcPr>
            <w:tcW w:type="dxa" w:w="30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Permanently discontinue</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2.4 Preparation and Administration</w:t>
      </w:r>
    </w:p>
    <w:p>
      <w:pPr>
        <w:spacing w:before="80" w:after="80"/>
        <w:jc w:val="left"/>
      </w:pPr>
      <w:r>
        <w:rPr>
          <w:rFonts w:ascii="Arial" w:cs="Arial" w:eastAsia="Arial" w:hAnsi="Arial"/>
          <w:b w:val="false"/>
          <w:bCs w:val="false"/>
          <w:i w:val="false"/>
          <w:iCs w:val="false"/>
          <w:color w:val="000000"/>
          <w:sz w:val="20"/>
          <w:szCs w:val="20"/>
        </w:rPr>
        <w:t xml:space="preserve">Prepare and administer CERVIMAB as follows:</w:t>
      </w:r>
    </w:p>
    <w:p>
      <w:pPr>
        <w:pStyle w:val="ListParagraph"/>
        <w:numPr>
          <w:ilvl w:val="0"/>
          <w:numId w:val="2"/>
        </w:numPr>
        <w:spacing w:before="60" w:after="60"/>
      </w:pPr>
      <w:r>
        <w:rPr>
          <w:rFonts w:ascii="Arial" w:cs="Arial" w:eastAsia="Arial" w:hAnsi="Arial"/>
          <w:b w:val="false"/>
          <w:bCs w:val="false"/>
          <w:sz w:val="20"/>
          <w:szCs w:val="20"/>
        </w:rPr>
        <w:t xml:space="preserve">Do not shake the vial.</w:t>
      </w:r>
    </w:p>
    <w:p>
      <w:pPr>
        <w:pStyle w:val="ListParagraph"/>
        <w:numPr>
          <w:ilvl w:val="0"/>
          <w:numId w:val="2"/>
        </w:numPr>
        <w:spacing w:before="60" w:after="60"/>
      </w:pPr>
      <w:r>
        <w:rPr>
          <w:rFonts w:ascii="Arial" w:cs="Arial" w:eastAsia="Arial" w:hAnsi="Arial"/>
          <w:b w:val="false"/>
          <w:bCs w:val="false"/>
          <w:sz w:val="20"/>
          <w:szCs w:val="20"/>
        </w:rPr>
        <w:t xml:space="preserve">Visually inspect for particulate matter and discoloration prior to administration. Discard if solution is cloudy, discolored, or if visible particles are observed.</w:t>
      </w:r>
    </w:p>
    <w:p>
      <w:pPr>
        <w:pStyle w:val="ListParagraph"/>
        <w:numPr>
          <w:ilvl w:val="0"/>
          <w:numId w:val="2"/>
        </w:numPr>
        <w:spacing w:before="60" w:after="60"/>
      </w:pPr>
      <w:r>
        <w:rPr>
          <w:rFonts w:ascii="Arial" w:cs="Arial" w:eastAsia="Arial" w:hAnsi="Arial"/>
          <w:b w:val="false"/>
          <w:bCs w:val="false"/>
          <w:sz w:val="20"/>
          <w:szCs w:val="20"/>
        </w:rPr>
        <w:t xml:space="preserve">Dilute CERVIMAB with 0.9% Sodium Chloride Injection, USP or 5% Dextrose Injection, USP to a final concentration ranging from 1 mg/mL to 10 mg/mL.</w:t>
      </w:r>
    </w:p>
    <w:p>
      <w:pPr>
        <w:pStyle w:val="ListParagraph"/>
        <w:numPr>
          <w:ilvl w:val="0"/>
          <w:numId w:val="2"/>
        </w:numPr>
        <w:spacing w:before="60" w:after="60"/>
      </w:pPr>
      <w:r>
        <w:rPr>
          <w:rFonts w:ascii="Arial" w:cs="Arial" w:eastAsia="Arial" w:hAnsi="Arial"/>
          <w:b w:val="false"/>
          <w:bCs w:val="false"/>
          <w:sz w:val="20"/>
          <w:szCs w:val="20"/>
        </w:rPr>
        <w:t xml:space="preserve">Administer diluted solution intravenously over 30 minutes through an IV line containing a sterile, non-pyrogenic, low-protein binding 0.2 or 0.22 micron in-line filter.</w:t>
      </w:r>
    </w:p>
    <w:p>
      <w:pPr>
        <w:pStyle w:val="ListParagraph"/>
        <w:numPr>
          <w:ilvl w:val="0"/>
          <w:numId w:val="2"/>
        </w:numPr>
        <w:spacing w:before="60" w:after="60"/>
      </w:pPr>
      <w:r>
        <w:rPr>
          <w:rFonts w:ascii="Arial" w:cs="Arial" w:eastAsia="Arial" w:hAnsi="Arial"/>
          <w:b w:val="false"/>
          <w:bCs w:val="false"/>
          <w:sz w:val="20"/>
          <w:szCs w:val="20"/>
        </w:rPr>
        <w:t xml:space="preserve">The diluted solution may be stored at room temperature for no more than 6 hours from the time of preparation. Alternatively, store at 2°C to 8°C (36°F to 46°F) for no more than 24 hours.</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3. DOSAGE FORMS AND STRENGTHS</w:t>
      </w:r>
    </w:p>
    <w:p>
      <w:pPr>
        <w:spacing w:before="80" w:after="80"/>
        <w:jc w:val="left"/>
      </w:pPr>
      <w:r>
        <w:rPr>
          <w:rFonts w:ascii="Arial" w:cs="Arial" w:eastAsia="Arial" w:hAnsi="Arial"/>
          <w:b w:val="false"/>
          <w:bCs w:val="false"/>
          <w:i w:val="false"/>
          <w:iCs w:val="false"/>
          <w:color w:val="000000"/>
          <w:sz w:val="20"/>
          <w:szCs w:val="20"/>
        </w:rPr>
        <w:t xml:space="preserve">Injection: 800 mg/16 mL (50 mg/mL) solution in a single-dose vial.</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4. CONTRAINDICATIONS</w:t>
      </w:r>
    </w:p>
    <w:p>
      <w:pPr>
        <w:spacing w:before="80" w:after="80"/>
        <w:jc w:val="left"/>
      </w:pPr>
      <w:r>
        <w:rPr>
          <w:rFonts w:ascii="Arial" w:cs="Arial" w:eastAsia="Arial" w:hAnsi="Arial"/>
          <w:b w:val="false"/>
          <w:bCs w:val="false"/>
          <w:i w:val="false"/>
          <w:iCs w:val="false"/>
          <w:color w:val="000000"/>
          <w:sz w:val="20"/>
          <w:szCs w:val="20"/>
        </w:rPr>
        <w:t xml:space="preserve">None.</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5. WARNINGS AND PRECAUTIONS</w:t>
      </w:r>
    </w:p>
    <w:p>
      <w:pPr>
        <w:pStyle w:val="Heading3"/>
        <w:spacing w:before="280" w:after="120"/>
      </w:pPr>
      <w:r>
        <w:rPr>
          <w:rFonts w:ascii="Arial" w:cs="Arial" w:eastAsia="Arial" w:hAnsi="Arial"/>
          <w:b/>
          <w:bCs/>
          <w:color w:val="444444"/>
          <w:sz w:val="22"/>
          <w:szCs w:val="22"/>
        </w:rPr>
        <w:t xml:space="preserve">5.1 Immune-Mediated Pneumonitis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pneumonitis, which is fatal in some cases. Monitor patients for signs and symptoms of pneumonitis. Evaluate patients with suspected pneumonitis with radiographic imaging. Administer corticosteroids (prednisone 1–2 mg/kg/day or equivalent) followed by corticosteroid taper for Grade 2 or greater pneumonitis. Withhold CERVIMAB for Grade 2 and permanently discontinue for Grade 3 or 4 or recurrent Grade 2 pneumonitis [see Dosage and Administration (2.3)].</w:t>
      </w:r>
    </w:p>
    <w:p>
      <w:pPr>
        <w:spacing w:before="80" w:after="80"/>
        <w:jc w:val="left"/>
      </w:pPr>
      <w:r>
        <w:rPr>
          <w:rFonts w:ascii="Arial" w:cs="Arial" w:eastAsia="Arial" w:hAnsi="Arial"/>
          <w:b w:val="false"/>
          <w:bCs w:val="false"/>
          <w:i w:val="false"/>
          <w:iCs w:val="false"/>
          <w:color w:val="000000"/>
          <w:sz w:val="20"/>
          <w:szCs w:val="20"/>
        </w:rPr>
        <w:t xml:space="preserve">In CERVIMAB-301, immune-mediated pneumonitis occurred in 3.4% (9/261) of patients receiving CERVIMAB, including Grade 3 (0.8%), with no Grade 4 or fatal cases reported.</w:t>
      </w:r>
    </w:p>
    <w:p>
      <w:pPr>
        <w:pStyle w:val="Heading3"/>
        <w:spacing w:before="280" w:after="120"/>
      </w:pPr>
      <w:r>
        <w:rPr>
          <w:rFonts w:ascii="Arial" w:cs="Arial" w:eastAsia="Arial" w:hAnsi="Arial"/>
          <w:b/>
          <w:bCs/>
          <w:color w:val="444444"/>
          <w:sz w:val="22"/>
          <w:szCs w:val="22"/>
        </w:rPr>
        <w:t xml:space="preserve">5.2 Immune-Mediated Colitis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colitis. Monitor patients for signs and symptoms of colitis. Administer corticosteroids for Grade 2 or greater colitis. Withhold CERVIMAB for Grade 2–3 and permanently discontinue for Grade 4 or recurrent Grade 3 colitis [see Dosage and Administration (2.3)].</w:t>
      </w:r>
    </w:p>
    <w:p>
      <w:pPr>
        <w:spacing w:before="80" w:after="80"/>
        <w:jc w:val="left"/>
      </w:pPr>
      <w:r>
        <w:rPr>
          <w:rFonts w:ascii="Arial" w:cs="Arial" w:eastAsia="Arial" w:hAnsi="Arial"/>
          <w:b w:val="false"/>
          <w:bCs w:val="false"/>
          <w:i w:val="false"/>
          <w:iCs w:val="false"/>
          <w:color w:val="000000"/>
          <w:sz w:val="20"/>
          <w:szCs w:val="20"/>
        </w:rPr>
        <w:t xml:space="preserve">In CERVIMAB-301, immune-mediated colitis occurred in 4.6% (12/261) of patients receiving CERVIMAB, including Grade 3 (1.5%) and Grade 4 (0.4%).</w:t>
      </w:r>
    </w:p>
    <w:p>
      <w:pPr>
        <w:pStyle w:val="Heading3"/>
        <w:spacing w:before="280" w:after="120"/>
      </w:pPr>
      <w:r>
        <w:rPr>
          <w:rFonts w:ascii="Arial" w:cs="Arial" w:eastAsia="Arial" w:hAnsi="Arial"/>
          <w:b/>
          <w:bCs/>
          <w:color w:val="444444"/>
          <w:sz w:val="22"/>
          <w:szCs w:val="22"/>
        </w:rPr>
        <w:t xml:space="preserve">5.3 Immune-Mediated Hepatitis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hepatitis. Monitor patients for changes in liver function tests. Administer corticosteroids for Grade 2 or greater hepatitis and permanently discontinue CERVIMAB for Grade 3 or 4 hepatitis [see Dosage and Administration (2.3), Adverse Reactions (6.1)].</w:t>
      </w:r>
    </w:p>
    <w:p>
      <w:pPr>
        <w:pStyle w:val="Heading3"/>
        <w:spacing w:before="280" w:after="120"/>
      </w:pPr>
      <w:r>
        <w:rPr>
          <w:rFonts w:ascii="Arial" w:cs="Arial" w:eastAsia="Arial" w:hAnsi="Arial"/>
          <w:b/>
          <w:bCs/>
          <w:color w:val="444444"/>
          <w:sz w:val="22"/>
          <w:szCs w:val="22"/>
        </w:rPr>
        <w:t xml:space="preserve">5.4 Immune-Mediated Endocrinopathies</w:t>
      </w:r>
    </w:p>
    <w:p>
      <w:pPr>
        <w:spacing w:before="80" w:after="80"/>
        <w:jc w:val="left"/>
      </w:pPr>
      <w:r>
        <w:rPr>
          <w:rFonts w:ascii="Arial" w:cs="Arial" w:eastAsia="Arial" w:hAnsi="Arial"/>
          <w:b w:val="false"/>
          <w:bCs w:val="false"/>
          <w:i w:val="false"/>
          <w:iCs w:val="false"/>
          <w:color w:val="000000"/>
          <w:sz w:val="20"/>
          <w:szCs w:val="20"/>
        </w:rPr>
        <w:t xml:space="preserve">CERVIMAB can cause primary or secondary adrenal insufficiency, immune-mediated hypophysitis, immune-mediated thyroid disorders, and Type 1 diabetes mellitus. Administer hormone replacement therapy as needed. Withhold CERVIMAB for Grade 2 or higher adrenal insufficiency or hypophysitis. Withhold CERVIMAB for Grade 3 or 4 hyperglycemia.</w:t>
      </w:r>
    </w:p>
    <w:p>
      <w:pPr>
        <w:pStyle w:val="Heading3"/>
        <w:spacing w:before="280" w:after="120"/>
      </w:pPr>
      <w:r>
        <w:rPr>
          <w:rFonts w:ascii="Arial" w:cs="Arial" w:eastAsia="Arial" w:hAnsi="Arial"/>
          <w:b/>
          <w:bCs/>
          <w:color w:val="444444"/>
          <w:sz w:val="22"/>
          <w:szCs w:val="22"/>
        </w:rPr>
        <w:t xml:space="preserve">5.5 Immune-Mediated Nephritis with Renal Dysfunction</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nephritis. Monitor patients for elevated serum creatinine. Administer corticosteroids for Grade 2 or greater nephritis. Permanently discontinue CERVIMAB for Grade 4 nephritis.</w:t>
      </w:r>
    </w:p>
    <w:p>
      <w:pPr>
        <w:pStyle w:val="Heading3"/>
        <w:spacing w:before="280" w:after="120"/>
      </w:pPr>
      <w:r>
        <w:rPr>
          <w:rFonts w:ascii="Arial" w:cs="Arial" w:eastAsia="Arial" w:hAnsi="Arial"/>
          <w:b/>
          <w:bCs/>
          <w:color w:val="444444"/>
          <w:sz w:val="22"/>
          <w:szCs w:val="22"/>
        </w:rPr>
        <w:t xml:space="preserve">5.6 Immune-Mediated Dermatologic Reactions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rash or dermatitis. Exfoliative dermatitis, including Stevens-Johnson syndrome (SJS), toxic epidermal necrolysis (TEN), drug rash with eosinophilia and systemic symptoms (DRESS), and bullous pemphigoid have been reported. Topical emollients and/or topical corticosteroids may be adequate to treat mild to moderate non-exfoliative rashes. Withhold or permanently discontinue CERVIMAB depending on severity.</w:t>
      </w:r>
    </w:p>
    <w:p>
      <w:pPr>
        <w:pStyle w:val="Heading3"/>
        <w:spacing w:before="280" w:after="120"/>
      </w:pPr>
      <w:r>
        <w:rPr>
          <w:rFonts w:ascii="Arial" w:cs="Arial" w:eastAsia="Arial" w:hAnsi="Arial"/>
          <w:b/>
          <w:bCs/>
          <w:color w:val="444444"/>
          <w:sz w:val="22"/>
          <w:szCs w:val="22"/>
        </w:rPr>
        <w:t xml:space="preserve">5.7 Immune-Mediated Myocarditis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myocarditis, which may be fatal. Monitor patients with cardiac symptoms and troponin levels. Permanently discontinue CERVIMAB for Grade 2 or greater myocarditis.</w:t>
      </w:r>
    </w:p>
    <w:p>
      <w:pPr>
        <w:pStyle w:val="Heading3"/>
        <w:spacing w:before="280" w:after="120"/>
      </w:pPr>
      <w:r>
        <w:rPr>
          <w:rFonts w:ascii="Arial" w:cs="Arial" w:eastAsia="Arial" w:hAnsi="Arial"/>
          <w:b/>
          <w:bCs/>
          <w:color w:val="444444"/>
          <w:sz w:val="22"/>
          <w:szCs w:val="22"/>
        </w:rPr>
        <w:t xml:space="preserve">5.8 Immune-Mediated Neurological Toxicities</w:t>
      </w:r>
    </w:p>
    <w:p>
      <w:pPr>
        <w:spacing w:before="80" w:after="80"/>
        <w:jc w:val="left"/>
      </w:pPr>
      <w:r>
        <w:rPr>
          <w:rFonts w:ascii="Arial" w:cs="Arial" w:eastAsia="Arial" w:hAnsi="Arial"/>
          <w:b w:val="false"/>
          <w:bCs w:val="false"/>
          <w:i w:val="false"/>
          <w:iCs w:val="false"/>
          <w:color w:val="000000"/>
          <w:sz w:val="20"/>
          <w:szCs w:val="20"/>
        </w:rPr>
        <w:t xml:space="preserve">CERVIMAB can cause immune-mediated neurological toxicities, including myasthenic syndrome/myasthenia gravis, Guillain-Barré syndrome, encephalitis, and meningitis. Withhold CERVIMAB for Grade 2 neurological toxicities. Permanently discontinue CERVIMAB for Grade 3 or 4 toxicities.</w:t>
      </w:r>
    </w:p>
    <w:p>
      <w:pPr>
        <w:pStyle w:val="Heading3"/>
        <w:spacing w:before="280" w:after="120"/>
      </w:pPr>
      <w:r>
        <w:rPr>
          <w:rFonts w:ascii="Arial" w:cs="Arial" w:eastAsia="Arial" w:hAnsi="Arial"/>
          <w:b/>
          <w:bCs/>
          <w:color w:val="444444"/>
          <w:sz w:val="22"/>
          <w:szCs w:val="22"/>
        </w:rPr>
        <w:t xml:space="preserve">5.9 Other Immune-Mediated Adverse Reactions</w:t>
      </w:r>
    </w:p>
    <w:p>
      <w:pPr>
        <w:spacing w:before="80" w:after="80"/>
        <w:jc w:val="left"/>
      </w:pPr>
      <w:r>
        <w:rPr>
          <w:rFonts w:ascii="Arial" w:cs="Arial" w:eastAsia="Arial" w:hAnsi="Arial"/>
          <w:b w:val="false"/>
          <w:bCs w:val="false"/>
          <w:i w:val="false"/>
          <w:iCs w:val="false"/>
          <w:color w:val="000000"/>
          <w:sz w:val="20"/>
          <w:szCs w:val="20"/>
        </w:rPr>
        <w:t xml:space="preserve">Other clinically significant immune-mediated adverse reactions, including uveitis/iritis, pancreatitis, arthritis, hemolytic anemia, sarcoidosis, and vasculitis have been reported. Evaluate patients based on clinical presentation, initiate appropriate workup, and administer corticosteroids as clinically indicated.</w:t>
      </w:r>
    </w:p>
    <w:p>
      <w:pPr>
        <w:pStyle w:val="Heading3"/>
        <w:spacing w:before="280" w:after="120"/>
      </w:pPr>
      <w:r>
        <w:rPr>
          <w:rFonts w:ascii="Arial" w:cs="Arial" w:eastAsia="Arial" w:hAnsi="Arial"/>
          <w:b/>
          <w:bCs/>
          <w:color w:val="444444"/>
          <w:sz w:val="22"/>
          <w:szCs w:val="22"/>
        </w:rPr>
        <w:t xml:space="preserve">5.10 Immune-Mediated Adverse Reactions in Solid Organ Transplant Recipients</w:t>
      </w:r>
    </w:p>
    <w:p>
      <w:pPr>
        <w:spacing w:before="80" w:after="80"/>
        <w:jc w:val="left"/>
      </w:pPr>
      <w:r>
        <w:rPr>
          <w:rFonts w:ascii="Arial" w:cs="Arial" w:eastAsia="Arial" w:hAnsi="Arial"/>
          <w:b w:val="false"/>
          <w:bCs w:val="false"/>
          <w:i w:val="false"/>
          <w:iCs w:val="false"/>
          <w:color w:val="000000"/>
          <w:sz w:val="20"/>
          <w:szCs w:val="20"/>
        </w:rPr>
        <w:t xml:space="preserve">Fatal and other serious complications of immune-mediated adverse reactions have occurred in patients receiving PD-1 blocking antibodies as allografts. These complications included acute and hyperacute allograft rejection. Advise patients of the risk of organ transplant rejection.</w:t>
      </w:r>
    </w:p>
    <w:p>
      <w:pPr>
        <w:pStyle w:val="Heading3"/>
        <w:spacing w:before="280" w:after="120"/>
      </w:pPr>
      <w:r>
        <w:rPr>
          <w:rFonts w:ascii="Arial" w:cs="Arial" w:eastAsia="Arial" w:hAnsi="Arial"/>
          <w:b/>
          <w:bCs/>
          <w:color w:val="444444"/>
          <w:sz w:val="22"/>
          <w:szCs w:val="22"/>
        </w:rPr>
        <w:t xml:space="preserve">5.11 Infusion-Related Reactions</w:t>
      </w:r>
    </w:p>
    <w:p>
      <w:pPr>
        <w:spacing w:before="80" w:after="80"/>
        <w:jc w:val="left"/>
      </w:pPr>
      <w:r>
        <w:rPr>
          <w:rFonts w:ascii="Arial" w:cs="Arial" w:eastAsia="Arial" w:hAnsi="Arial"/>
          <w:b w:val="false"/>
          <w:bCs w:val="false"/>
          <w:i w:val="false"/>
          <w:iCs w:val="false"/>
          <w:color w:val="000000"/>
          <w:sz w:val="20"/>
          <w:szCs w:val="20"/>
        </w:rPr>
        <w:t xml:space="preserve">Severe or life-threatening infusion-related reactions occurred in patients receiving CERVIMAB. Monitor patients for signs and symptoms. For Grade 1–2 infusion-related reactions, interrupt or slow the rate of infusion. For Grade 3–4 reactions, permanently discontinue CERVIMAB and administer epinephrine as indicated.</w:t>
      </w:r>
    </w:p>
    <w:p>
      <w:pPr>
        <w:pStyle w:val="Heading3"/>
        <w:spacing w:before="280" w:after="120"/>
      </w:pPr>
      <w:r>
        <w:rPr>
          <w:rFonts w:ascii="Arial" w:cs="Arial" w:eastAsia="Arial" w:hAnsi="Arial"/>
          <w:b/>
          <w:bCs/>
          <w:color w:val="444444"/>
          <w:sz w:val="22"/>
          <w:szCs w:val="22"/>
        </w:rPr>
        <w:t xml:space="preserve">5.12 Complications of Allogeneic Hematopoietic Stem Cell Transplantation</w:t>
      </w:r>
    </w:p>
    <w:p>
      <w:pPr>
        <w:spacing w:before="80" w:after="80"/>
        <w:jc w:val="left"/>
      </w:pPr>
      <w:r>
        <w:rPr>
          <w:rFonts w:ascii="Arial" w:cs="Arial" w:eastAsia="Arial" w:hAnsi="Arial"/>
          <w:b w:val="false"/>
          <w:bCs w:val="false"/>
          <w:i w:val="false"/>
          <w:iCs w:val="false"/>
          <w:color w:val="000000"/>
          <w:sz w:val="20"/>
          <w:szCs w:val="20"/>
        </w:rPr>
        <w:t xml:space="preserve">Fatal and other serious complications can occur in patients who receive allogeneic hematopoietic stem cell transplantation (HSCT) before or after being treated with a PD-1 receptor blocking antibody. Graft-versus-host disease (GVHD), hepatic veno-occlusive disease (VOD), and graft failure have been observed. Follow patients closely for evidence of these complications.</w:t>
      </w:r>
    </w:p>
    <w:p>
      <w:pPr>
        <w:pStyle w:val="Heading3"/>
        <w:spacing w:before="280" w:after="120"/>
      </w:pPr>
      <w:r>
        <w:rPr>
          <w:rFonts w:ascii="Arial" w:cs="Arial" w:eastAsia="Arial" w:hAnsi="Arial"/>
          <w:b/>
          <w:bCs/>
          <w:color w:val="444444"/>
          <w:sz w:val="22"/>
          <w:szCs w:val="22"/>
        </w:rPr>
        <w:t xml:space="preserve">5.13 Embryo-Fetal Toxicity</w:t>
      </w:r>
    </w:p>
    <w:p>
      <w:pPr>
        <w:spacing w:before="80" w:after="80"/>
        <w:jc w:val="left"/>
      </w:pPr>
      <w:r>
        <w:rPr>
          <w:rFonts w:ascii="Arial" w:cs="Arial" w:eastAsia="Arial" w:hAnsi="Arial"/>
          <w:b w:val="false"/>
          <w:bCs w:val="false"/>
          <w:i w:val="false"/>
          <w:iCs w:val="false"/>
          <w:color w:val="000000"/>
          <w:sz w:val="20"/>
          <w:szCs w:val="20"/>
        </w:rPr>
        <w:t xml:space="preserve">Based on its mechanism of action and data from animal studies, CERVIMAB can cause fetal harm when administered to a pregnant woman. Advise females of reproductive potential to use effective contraception during treatment with CERVIMAB and for 4 months after the last dose.</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6. ADVERSE REACTIONS</w:t>
      </w:r>
    </w:p>
    <w:p>
      <w:pPr>
        <w:pStyle w:val="Heading3"/>
        <w:spacing w:before="280" w:after="120"/>
      </w:pPr>
      <w:r>
        <w:rPr>
          <w:rFonts w:ascii="Arial" w:cs="Arial" w:eastAsia="Arial" w:hAnsi="Arial"/>
          <w:b/>
          <w:bCs/>
          <w:color w:val="444444"/>
          <w:sz w:val="22"/>
          <w:szCs w:val="22"/>
        </w:rPr>
        <w:t xml:space="preserve">6.1 Clinical Trials Experience</w:t>
      </w:r>
    </w:p>
    <w:p>
      <w:pPr>
        <w:spacing w:before="80" w:after="80"/>
        <w:jc w:val="left"/>
      </w:pPr>
      <w:r>
        <w:rPr>
          <w:rFonts w:ascii="Arial" w:cs="Arial" w:eastAsia="Arial" w:hAnsi="Arial"/>
          <w:b w:val="false"/>
          <w:bCs w:val="false"/>
          <w:i w:val="false"/>
          <w:iCs w:val="false"/>
          <w:color w:val="000000"/>
          <w:sz w:val="20"/>
          <w:szCs w:val="20"/>
        </w:rPr>
        <w:t xml:space="preserve">Because clinical trials are conducted under widely varying conditions, adverse reaction rates observed in the clinical trials of a drug cannot be directly compared to rates in the clinical trials of another drug and may not reflect the rates observed in practice.</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data below reflect exposure to CERVIMAB in 261 patients with dMMR/MSI-H metastatic CRC in the Phase 3 CERVIMAB-301 trial. The median duration of exposure to CERVIMAB was 11.3 months (range: 0.1 to 32.4 months).</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490"/>
        <w:gridCol w:w="980"/>
        <w:gridCol w:w="1490"/>
        <w:gridCol w:w="980"/>
        <w:gridCol w:w="1020"/>
      </w:tblGrid>
      <w:tr>
        <w:tc>
          <w:tcPr>
            <w:tcW w:type="dxa" w:w="3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Adverse Reaction</w:t>
            </w:r>
          </w:p>
        </w:tc>
        <w:tc>
          <w:tcPr>
            <w:tcW w:type="dxa" w:w="149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CERVIMAB
All Grades (%)</w:t>
            </w:r>
          </w:p>
        </w:tc>
        <w:tc>
          <w:tcPr>
            <w:tcW w:type="dxa" w:w="9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3–4 (%)</w:t>
            </w:r>
          </w:p>
        </w:tc>
        <w:tc>
          <w:tcPr>
            <w:tcW w:type="dxa" w:w="149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Chemotherapy
All Grades (%)</w:t>
            </w:r>
          </w:p>
        </w:tc>
        <w:tc>
          <w:tcPr>
            <w:tcW w:type="dxa" w:w="9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Grade 3–4 (%)</w:t>
            </w:r>
          </w:p>
        </w:tc>
        <w:tc>
          <w:tcPr>
            <w:tcW w:type="dxa" w:w="10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Fatal (%)</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Fatigue</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39</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34</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Diarrhea/Colitis</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28</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36</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Pruritus</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26</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&lt;1</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Rash</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Nausea</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48</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Hypothyroidism</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&lt;1</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Decreased appetite</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16</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Arthralgia/Arthritis</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Infusion-related reactions</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r>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Pneumonitis</w:t>
            </w:r>
          </w:p>
        </w:tc>
        <w:tc>
          <w:tcPr>
            <w:tcW w:type="dxa" w:w="149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9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149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&lt;1</w:t>
            </w:r>
          </w:p>
        </w:tc>
        <w:tc>
          <w:tcPr>
            <w:tcW w:type="dxa" w:w="9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10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6.2 Immunogenicity</w:t>
      </w:r>
    </w:p>
    <w:p>
      <w:pPr>
        <w:spacing w:before="80" w:after="80"/>
        <w:jc w:val="left"/>
      </w:pPr>
      <w:r>
        <w:rPr>
          <w:rFonts w:ascii="Arial" w:cs="Arial" w:eastAsia="Arial" w:hAnsi="Arial"/>
          <w:b w:val="false"/>
          <w:bCs w:val="false"/>
          <w:i w:val="false"/>
          <w:iCs w:val="false"/>
          <w:color w:val="000000"/>
          <w:sz w:val="20"/>
          <w:szCs w:val="20"/>
        </w:rPr>
        <w:t xml:space="preserve">As with all therapeutic proteins, there is potential for immunogenicity. The detection of antibody formation is highly dependent on the sensitivity and specificity of the assay. Additionally, the observed incidence of antibody (including neutralizing antibody) positivity in an assay may be influenced by several factors. In CERVIMAB-301, 2.3% of patients (6/261) tested positive for anti-cervimab antibodies; none of the anti-cervimab antibody-positive patients tested positive for neutralizing antibodies.</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7. DRUG INTERACTIONS</w:t>
      </w:r>
    </w:p>
    <w:p>
      <w:pPr>
        <w:spacing w:before="80" w:after="80"/>
        <w:jc w:val="left"/>
      </w:pPr>
      <w:r>
        <w:rPr>
          <w:rFonts w:ascii="Arial" w:cs="Arial" w:eastAsia="Arial" w:hAnsi="Arial"/>
          <w:b w:val="false"/>
          <w:bCs w:val="false"/>
          <w:i w:val="false"/>
          <w:iCs w:val="false"/>
          <w:color w:val="000000"/>
          <w:sz w:val="20"/>
          <w:szCs w:val="20"/>
        </w:rPr>
        <w:t xml:space="preserve">No formal drug interaction studies have been conducted with CERVIMAB.</w:t>
      </w:r>
    </w:p>
    <w:p>
      <w:pPr>
        <w:pStyle w:val="Heading3"/>
        <w:spacing w:before="280" w:after="120"/>
      </w:pPr>
      <w:r>
        <w:rPr>
          <w:rFonts w:ascii="Arial" w:cs="Arial" w:eastAsia="Arial" w:hAnsi="Arial"/>
          <w:b/>
          <w:bCs/>
          <w:color w:val="444444"/>
          <w:sz w:val="22"/>
          <w:szCs w:val="22"/>
        </w:rPr>
        <w:t xml:space="preserve">7.1 Effect of Other Drugs on CERVIMAB</w:t>
      </w:r>
    </w:p>
    <w:p>
      <w:pPr>
        <w:spacing w:before="80" w:after="80"/>
        <w:jc w:val="left"/>
      </w:pPr>
      <w:r>
        <w:rPr>
          <w:rFonts w:ascii="Arial" w:cs="Arial" w:eastAsia="Arial" w:hAnsi="Arial"/>
          <w:b w:val="false"/>
          <w:bCs w:val="false"/>
          <w:i w:val="false"/>
          <w:iCs w:val="false"/>
          <w:color w:val="000000"/>
          <w:sz w:val="20"/>
          <w:szCs w:val="20"/>
        </w:rPr>
        <w:t xml:space="preserve">Systemic corticosteroids or immunosuppressants administered prior to starting CERVIMAB may reduce the pharmacodynamic activity of CERVIMAB and therefore should be used only with caution prior to initiating CERVIMAB.</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8. USE IN SPECIFIC POPULATIONS</w:t>
      </w:r>
    </w:p>
    <w:p>
      <w:pPr>
        <w:pStyle w:val="Heading3"/>
        <w:spacing w:before="280" w:after="120"/>
      </w:pPr>
      <w:r>
        <w:rPr>
          <w:rFonts w:ascii="Arial" w:cs="Arial" w:eastAsia="Arial" w:hAnsi="Arial"/>
          <w:b/>
          <w:bCs/>
          <w:color w:val="444444"/>
          <w:sz w:val="22"/>
          <w:szCs w:val="22"/>
        </w:rPr>
        <w:t xml:space="preserve">8.1 Pregnancy</w:t>
      </w:r>
    </w:p>
    <w:p>
      <w:pPr>
        <w:spacing w:before="80" w:after="80"/>
        <w:jc w:val="left"/>
      </w:pPr>
      <w:r>
        <w:rPr>
          <w:rFonts w:ascii="Arial" w:cs="Arial" w:eastAsia="Arial" w:hAnsi="Arial"/>
          <w:b w:val="false"/>
          <w:bCs w:val="false"/>
          <w:i w:val="false"/>
          <w:iCs w:val="false"/>
          <w:color w:val="000000"/>
          <w:sz w:val="20"/>
          <w:szCs w:val="20"/>
        </w:rPr>
        <w:t xml:space="preserve">Risk Summary: Based on its mechanism of action, CERVIMAB can cause fetal harm when administered to a pregnant woman. There are no available data on CERVIMAB in pregnant women. Animal models link disruption of the PD-1/PD-L1 pathway to an increased risk of immune-mediated rejection of the developing fetus resulting in fetal death. Advise women of the potential risk to a fetus.</w:t>
      </w:r>
    </w:p>
    <w:p>
      <w:pPr>
        <w:pStyle w:val="Heading3"/>
        <w:spacing w:before="280" w:after="120"/>
      </w:pPr>
      <w:r>
        <w:rPr>
          <w:rFonts w:ascii="Arial" w:cs="Arial" w:eastAsia="Arial" w:hAnsi="Arial"/>
          <w:b/>
          <w:bCs/>
          <w:color w:val="444444"/>
          <w:sz w:val="22"/>
          <w:szCs w:val="22"/>
        </w:rPr>
        <w:t xml:space="preserve">8.2 Lactation</w:t>
      </w:r>
    </w:p>
    <w:p>
      <w:pPr>
        <w:spacing w:before="80" w:after="80"/>
        <w:jc w:val="left"/>
      </w:pPr>
      <w:r>
        <w:rPr>
          <w:rFonts w:ascii="Arial" w:cs="Arial" w:eastAsia="Arial" w:hAnsi="Arial"/>
          <w:b w:val="false"/>
          <w:bCs w:val="false"/>
          <w:i w:val="false"/>
          <w:iCs w:val="false"/>
          <w:color w:val="000000"/>
          <w:sz w:val="20"/>
          <w:szCs w:val="20"/>
        </w:rPr>
        <w:t xml:space="preserve">Risk Summary: There are no data on the presence of CERVIMAB in human milk, the effects on the breastfed infant, or the effects on milk production. Because of the potential for serious adverse reactions in breastfed infants, advise patients not to breastfeed during treatment and for 4 months after the last dose.</w:t>
      </w:r>
    </w:p>
    <w:p>
      <w:pPr>
        <w:pStyle w:val="Heading3"/>
        <w:spacing w:before="280" w:after="120"/>
      </w:pPr>
      <w:r>
        <w:rPr>
          <w:rFonts w:ascii="Arial" w:cs="Arial" w:eastAsia="Arial" w:hAnsi="Arial"/>
          <w:b/>
          <w:bCs/>
          <w:color w:val="444444"/>
          <w:sz w:val="22"/>
          <w:szCs w:val="22"/>
        </w:rPr>
        <w:t xml:space="preserve">8.3 Females and Males of Reproductive Potential</w:t>
      </w:r>
    </w:p>
    <w:p>
      <w:pPr>
        <w:spacing w:before="80" w:after="80"/>
        <w:jc w:val="left"/>
      </w:pPr>
      <w:r>
        <w:rPr>
          <w:rFonts w:ascii="Arial" w:cs="Arial" w:eastAsia="Arial" w:hAnsi="Arial"/>
          <w:b w:val="false"/>
          <w:bCs w:val="false"/>
          <w:i w:val="false"/>
          <w:iCs w:val="false"/>
          <w:color w:val="000000"/>
          <w:sz w:val="20"/>
          <w:szCs w:val="20"/>
        </w:rPr>
        <w:t xml:space="preserve">Pregnancy Testing: Verify pregnancy status in females of reproductive potential prior to initiating CERVIMAB. Contraception: Advise females of reproductive potential to use effective contraception during treatment and for 4 months after the last dose.</w:t>
      </w:r>
    </w:p>
    <w:p>
      <w:pPr>
        <w:pStyle w:val="Heading3"/>
        <w:spacing w:before="280" w:after="120"/>
      </w:pPr>
      <w:r>
        <w:rPr>
          <w:rFonts w:ascii="Arial" w:cs="Arial" w:eastAsia="Arial" w:hAnsi="Arial"/>
          <w:b/>
          <w:bCs/>
          <w:color w:val="444444"/>
          <w:sz w:val="22"/>
          <w:szCs w:val="22"/>
        </w:rPr>
        <w:t xml:space="preserve">8.4 Pediatric Use</w:t>
      </w:r>
    </w:p>
    <w:p>
      <w:pPr>
        <w:spacing w:before="80" w:after="80"/>
        <w:jc w:val="left"/>
      </w:pPr>
      <w:r>
        <w:rPr>
          <w:rFonts w:ascii="Arial" w:cs="Arial" w:eastAsia="Arial" w:hAnsi="Arial"/>
          <w:b w:val="false"/>
          <w:bCs w:val="false"/>
          <w:i w:val="false"/>
          <w:iCs w:val="false"/>
          <w:color w:val="000000"/>
          <w:sz w:val="20"/>
          <w:szCs w:val="20"/>
        </w:rPr>
        <w:t xml:space="preserve">Safety and effectiveness of CERVIMAB have not been established in pediatric patients.</w:t>
      </w:r>
    </w:p>
    <w:p>
      <w:pPr>
        <w:pStyle w:val="Heading3"/>
        <w:spacing w:before="280" w:after="120"/>
      </w:pPr>
      <w:r>
        <w:rPr>
          <w:rFonts w:ascii="Arial" w:cs="Arial" w:eastAsia="Arial" w:hAnsi="Arial"/>
          <w:b/>
          <w:bCs/>
          <w:color w:val="444444"/>
          <w:sz w:val="22"/>
          <w:szCs w:val="22"/>
        </w:rPr>
        <w:t xml:space="preserve">8.5 Geriatric Use</w:t>
      </w:r>
    </w:p>
    <w:p>
      <w:pPr>
        <w:spacing w:before="80" w:after="80"/>
        <w:jc w:val="left"/>
      </w:pPr>
      <w:r>
        <w:rPr>
          <w:rFonts w:ascii="Arial" w:cs="Arial" w:eastAsia="Arial" w:hAnsi="Arial"/>
          <w:b w:val="false"/>
          <w:bCs w:val="false"/>
          <w:i w:val="false"/>
          <w:iCs w:val="false"/>
          <w:color w:val="000000"/>
          <w:sz w:val="20"/>
          <w:szCs w:val="20"/>
        </w:rPr>
        <w:t xml:space="preserve">Of the 261 patients who received CERVIMAB in CERVIMAB-301, 34% were 65 years or older and 9% were 75 years or older. No clinically meaningful differences in safety and efficacy were observed between older and younger patients.</w:t>
      </w:r>
    </w:p>
    <w:p>
      <w:pPr>
        <w:pStyle w:val="Heading3"/>
        <w:spacing w:before="280" w:after="120"/>
      </w:pPr>
      <w:r>
        <w:rPr>
          <w:rFonts w:ascii="Arial" w:cs="Arial" w:eastAsia="Arial" w:hAnsi="Arial"/>
          <w:b/>
          <w:bCs/>
          <w:color w:val="444444"/>
          <w:sz w:val="22"/>
          <w:szCs w:val="22"/>
        </w:rPr>
        <w:t xml:space="preserve">8.6 Hepatic Impairment</w:t>
      </w:r>
    </w:p>
    <w:p>
      <w:pPr>
        <w:spacing w:before="80" w:after="80"/>
        <w:jc w:val="left"/>
      </w:pPr>
      <w:r>
        <w:rPr>
          <w:rFonts w:ascii="Arial" w:cs="Arial" w:eastAsia="Arial" w:hAnsi="Arial"/>
          <w:b w:val="false"/>
          <w:bCs w:val="false"/>
          <w:i w:val="false"/>
          <w:iCs w:val="false"/>
          <w:color w:val="000000"/>
          <w:sz w:val="20"/>
          <w:szCs w:val="20"/>
        </w:rPr>
        <w:t xml:space="preserve">No dosage modification is recommended for patients with mild (total bilirubin ≤ ULN and AST &gt; ULN, or total bilirubin 1–1.5× ULN) or moderate (total bilirubin 1.5–3× ULN and any AST) hepatic impairment. CERVIMAB has not been studied in patients with severe hepatic impairment (Child-Pugh C).</w:t>
      </w:r>
    </w:p>
    <w:p>
      <w:pPr>
        <w:pStyle w:val="Heading3"/>
        <w:spacing w:before="280" w:after="120"/>
      </w:pPr>
      <w:r>
        <w:rPr>
          <w:rFonts w:ascii="Arial" w:cs="Arial" w:eastAsia="Arial" w:hAnsi="Arial"/>
          <w:b/>
          <w:bCs/>
          <w:color w:val="444444"/>
          <w:sz w:val="22"/>
          <w:szCs w:val="22"/>
        </w:rPr>
        <w:t xml:space="preserve">8.7 Renal Impairment</w:t>
      </w:r>
    </w:p>
    <w:p>
      <w:pPr>
        <w:spacing w:before="80" w:after="80"/>
        <w:jc w:val="left"/>
      </w:pPr>
      <w:r>
        <w:rPr>
          <w:rFonts w:ascii="Arial" w:cs="Arial" w:eastAsia="Arial" w:hAnsi="Arial"/>
          <w:b w:val="false"/>
          <w:bCs w:val="false"/>
          <w:i w:val="false"/>
          <w:iCs w:val="false"/>
          <w:color w:val="000000"/>
          <w:sz w:val="20"/>
          <w:szCs w:val="20"/>
        </w:rPr>
        <w:t xml:space="preserve">No clinically significant differences in the pharmacokinetics of CERVIMAB were observed in patients with mild to moderate renal impairment (eGFR 30–89 mL/min/1.73 m²). CERVIMAB has not been studied in patients with severe renal impairment.</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11. DESCRIPTION</w:t>
      </w:r>
    </w:p>
    <w:p>
      <w:pPr>
        <w:spacing w:before="80" w:after="80"/>
        <w:jc w:val="left"/>
      </w:pPr>
      <w:r>
        <w:rPr>
          <w:rFonts w:ascii="Arial" w:cs="Arial" w:eastAsia="Arial" w:hAnsi="Arial"/>
          <w:b w:val="false"/>
          <w:bCs w:val="false"/>
          <w:i w:val="false"/>
          <w:iCs w:val="false"/>
          <w:color w:val="000000"/>
          <w:sz w:val="20"/>
          <w:szCs w:val="20"/>
        </w:rPr>
        <w:t xml:space="preserve">CERVIMAB is a humanized immunoglobulin G4 (IgG4) kappa monoclonal antibody that binds to the programmed death receptor-1 (PD-1). CERVIMAB is produced in Chinese Hamster Ovary (CHO) cells and has an approximate molecular weight of 146 kDa.</w:t>
      </w:r>
    </w:p>
    <w:p>
      <w:pPr>
        <w:spacing w:before="80" w:after="80"/>
        <w:jc w:val="left"/>
      </w:pPr>
      <w:r>
        <w:rPr>
          <w:rFonts w:ascii="Arial" w:cs="Arial" w:eastAsia="Arial" w:hAnsi="Arial"/>
          <w:b w:val="false"/>
          <w:bCs w:val="false"/>
          <w:i w:val="false"/>
          <w:iCs w:val="false"/>
          <w:color w:val="000000"/>
          <w:sz w:val="20"/>
          <w:szCs w:val="20"/>
        </w:rPr>
        <w:t xml:space="preserve">CERVIMAB injection is a sterile, preservative-free, clear to slightly opalescent, colorless to slightly yellow solution at pH 5.8 ± 0.5. Each single-dose vial contains 800 mg/16 mL (50 mg/mL) cervimab, L-histidine (0.45 mg/mL), L-histidine monohydrochloride monohydrate (1.76 mg/mL), sucrose (84.6 mg/mL), polysorbate 80 (0.2 mg/mL), and Water for Injection, USP.</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12. CLINICAL PHARMACOLOGY</w:t>
      </w:r>
    </w:p>
    <w:p>
      <w:pPr>
        <w:pStyle w:val="Heading3"/>
        <w:spacing w:before="280" w:after="120"/>
      </w:pPr>
      <w:r>
        <w:rPr>
          <w:rFonts w:ascii="Arial" w:cs="Arial" w:eastAsia="Arial" w:hAnsi="Arial"/>
          <w:b/>
          <w:bCs/>
          <w:color w:val="444444"/>
          <w:sz w:val="22"/>
          <w:szCs w:val="22"/>
        </w:rPr>
        <w:t xml:space="preserve">12.1 Mechanism of Action</w:t>
      </w:r>
    </w:p>
    <w:p>
      <w:pPr>
        <w:spacing w:before="80" w:after="80"/>
        <w:jc w:val="left"/>
      </w:pPr>
      <w:r>
        <w:rPr>
          <w:rFonts w:ascii="Arial" w:cs="Arial" w:eastAsia="Arial" w:hAnsi="Arial"/>
          <w:b w:val="false"/>
          <w:bCs w:val="false"/>
          <w:i w:val="false"/>
          <w:iCs w:val="false"/>
          <w:color w:val="000000"/>
          <w:sz w:val="20"/>
          <w:szCs w:val="20"/>
        </w:rPr>
        <w:t xml:space="preserve">Programmed death receptor-1 (PD-1) is a negative regulator of T-cell activity. Engagement of PD-1 by its ligands, PD-L1 and PD-L2, results in inhibition of T-cell proliferation, cytokine secretion, and cytolytic activity. In tumor microenvironments, PD-1 pathway signaling allows tumors to evade immune surveillance. CERVIMAB is a humanized anti-PD-1 IgG4 antibody that blocks the interaction between PD-1 and its ligands, PD-L1 and PD-L2, thereby restoring anti-tumor immune activity.</w:t>
      </w:r>
    </w:p>
    <w:p>
      <w:pPr>
        <w:pStyle w:val="Heading3"/>
        <w:spacing w:before="280" w:after="120"/>
      </w:pPr>
      <w:r>
        <w:rPr>
          <w:rFonts w:ascii="Arial" w:cs="Arial" w:eastAsia="Arial" w:hAnsi="Arial"/>
          <w:b/>
          <w:bCs/>
          <w:color w:val="444444"/>
          <w:sz w:val="22"/>
          <w:szCs w:val="22"/>
        </w:rPr>
        <w:t xml:space="preserve">12.3 Pharmacokinetics</w:t>
      </w:r>
    </w:p>
    <w:p>
      <w:pPr>
        <w:spacing w:before="80" w:after="80"/>
        <w:jc w:val="left"/>
      </w:pPr>
      <w:r>
        <w:rPr>
          <w:rFonts w:ascii="Arial" w:cs="Arial" w:eastAsia="Arial" w:hAnsi="Arial"/>
          <w:b w:val="false"/>
          <w:bCs w:val="false"/>
          <w:i w:val="false"/>
          <w:iCs w:val="false"/>
          <w:color w:val="000000"/>
          <w:sz w:val="20"/>
          <w:szCs w:val="20"/>
        </w:rPr>
        <w:t xml:space="preserve">Following administration of 400 mg CERVIMAB Q6W, steady-state was reached by approximately Cycle 3 (12 weeks). At steady-state, the mean (CV%) peak concentration (Cmax) was 286 (31%) μg/mL and the mean trough concentration (Cmin) was 28 (48%) μg/mL. The estimated terminal half-life (t½) was approximately 27 days. CERVIMAB pharmacokinetics are dose-proportional over a dose range of 1–20 mg/kg.</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13. NONCLINICAL TOXICOLOGY</w:t>
      </w:r>
    </w:p>
    <w:p>
      <w:pPr>
        <w:pStyle w:val="Heading3"/>
        <w:spacing w:before="280" w:after="120"/>
      </w:pPr>
      <w:r>
        <w:rPr>
          <w:rFonts w:ascii="Arial" w:cs="Arial" w:eastAsia="Arial" w:hAnsi="Arial"/>
          <w:b/>
          <w:bCs/>
          <w:color w:val="444444"/>
          <w:sz w:val="22"/>
          <w:szCs w:val="22"/>
        </w:rPr>
        <w:t xml:space="preserve">13.1 Carcinogenesis, Mutagenesis, Impairment of Fertility</w:t>
      </w:r>
    </w:p>
    <w:p>
      <w:pPr>
        <w:spacing w:before="80" w:after="80"/>
        <w:jc w:val="left"/>
      </w:pPr>
      <w:r>
        <w:rPr>
          <w:rFonts w:ascii="Arial" w:cs="Arial" w:eastAsia="Arial" w:hAnsi="Arial"/>
          <w:b w:val="false"/>
          <w:bCs w:val="false"/>
          <w:i w:val="false"/>
          <w:iCs w:val="false"/>
          <w:color w:val="000000"/>
          <w:sz w:val="20"/>
          <w:szCs w:val="20"/>
        </w:rPr>
        <w:t xml:space="preserve">No studies have been performed to evaluate the carcinogenic or mutagenic potential of CERVIMAB. Based on its mechanism of action, CERVIMAB may impair fertility in males and females of reproductive potential.</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14. CLINICAL STUDIES</w:t>
      </w:r>
    </w:p>
    <w:p>
      <w:pPr>
        <w:pStyle w:val="Heading3"/>
        <w:spacing w:before="280" w:after="120"/>
      </w:pPr>
      <w:r>
        <w:rPr>
          <w:rFonts w:ascii="Arial" w:cs="Arial" w:eastAsia="Arial" w:hAnsi="Arial"/>
          <w:b/>
          <w:bCs/>
          <w:color w:val="444444"/>
          <w:sz w:val="22"/>
          <w:szCs w:val="22"/>
        </w:rPr>
        <w:t xml:space="preserve">14.1 dMMR/MSI-H Metastatic Colorectal Cancer — CERVIMAB-301</w:t>
      </w:r>
    </w:p>
    <w:p>
      <w:pPr>
        <w:spacing w:before="80" w:after="80"/>
        <w:jc w:val="left"/>
      </w:pPr>
      <w:r>
        <w:rPr>
          <w:rFonts w:ascii="Arial" w:cs="Arial" w:eastAsia="Arial" w:hAnsi="Arial"/>
          <w:b w:val="false"/>
          <w:bCs w:val="false"/>
          <w:i w:val="false"/>
          <w:iCs w:val="false"/>
          <w:color w:val="000000"/>
          <w:sz w:val="20"/>
          <w:szCs w:val="20"/>
        </w:rPr>
        <w:t xml:space="preserve">The efficacy of CERVIMAB was evaluated in CERVIMAB-301 (NCT0X-XXXXXXX), a randomized (1:1), open-label, multicenter, Phase 3 study of CERVIMAB versus investigator's choice chemotherapy (ICC; FOLFOX, FOLFIRI, or irinotecan monotherapy) in 520 adult patients with unresectable or metastatic dMMR/MSI-H CRC who had previously received fluoropyrimidine-, oxaliplatin-, and irinotecan-containing chemotherapy regimens. dMMR/MSI-H tumor status was determined locally using polymerase chain reaction (PCR), immunohistochemistry (IHC), or next-generation sequencing (NGS).</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major efficacy outcomes were ORR, PFS, and OS. The primary efficacy endpoint was PFS as assessed by blinded independent central review (BICR). Secondary endpoints included ORR (BICR), OS, and DOR.</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Efficacy Measure</w:t>
            </w:r>
          </w:p>
        </w:tc>
        <w:tc>
          <w:tcPr>
            <w:tcW w:type="dxa" w:w="28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CERVIMAB 400 mg Q6W
(N=261)</w:t>
            </w:r>
          </w:p>
        </w:tc>
        <w:tc>
          <w:tcPr>
            <w:tcW w:type="dxa" w:w="28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Investigator's Choice
Chemotherapy (N=259)</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PROGRESSION-FREE SURVIVAL</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events, n (%)</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104 (39.8%)</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183 (70.7%)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 (months)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9.7 [7.8, NR]</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4.1 [3.2, 5.6]</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Hazard Ratio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0.38 [0.29, 0.50]</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Reference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p-value</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&lt;0.0001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 SURVIVAL</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Number of events, n (%)</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72 (27.6%)</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134 (51.7%)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 (months)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NR [19.8, NR]</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14.6 [12.2, 17.3]</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Hazard Ratio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0.52 [0.38, 0.70]</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Reference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p-value</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&lt;0.0001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OVERALL RESPONSE RATE (BICR)</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ORR %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42.5% [36.5, 48.8]</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11.2% [7.5, 15.9]</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Response, n (%)</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22 (8.4%)</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 (1.5%)</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Partial Response, n (%)</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89 (34.1%)</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 (9.7%)</w:t>
            </w:r>
          </w:p>
        </w:tc>
      </w:tr>
      <w:tr>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Median DOR (months) [95% CI]</w:t>
            </w:r>
          </w:p>
        </w:tc>
        <w:tc>
          <w:tcPr>
            <w:tcW w:type="dxa" w:w="28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NR [16.2, NR]</w:t>
            </w:r>
          </w:p>
        </w:tc>
        <w:tc>
          <w:tcPr>
            <w:tcW w:type="dxa" w:w="28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8.3 [6.1, 11.2]</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16. HOW SUPPLIED / STORAGE AND HANDLING</w:t>
      </w:r>
    </w:p>
    <w:p>
      <w:pPr>
        <w:spacing w:before="80" w:after="80"/>
        <w:jc w:val="left"/>
      </w:pPr>
      <w:r>
        <w:rPr>
          <w:rFonts w:ascii="Arial" w:cs="Arial" w:eastAsia="Arial" w:hAnsi="Arial"/>
          <w:b w:val="false"/>
          <w:bCs w:val="false"/>
          <w:i w:val="false"/>
          <w:iCs w:val="false"/>
          <w:color w:val="000000"/>
          <w:sz w:val="20"/>
          <w:szCs w:val="20"/>
        </w:rPr>
        <w:t xml:space="preserve">CERVIMAB (anti-PD-1 monoclonal antibody) injection, 800 mg/16 mL (50 mg/mL) is supplied as a sterile solution in a single-dose, glass vial, individually packaged.</w:t>
      </w:r>
    </w:p>
    <w:p>
      <w:pPr>
        <w:spacing w:before="80" w:after="80"/>
        <w:jc w:val="left"/>
      </w:pPr>
      <w:r>
        <w:rPr>
          <w:rFonts w:ascii="Arial" w:cs="Arial" w:eastAsia="Arial" w:hAnsi="Arial"/>
          <w:b w:val="false"/>
          <w:bCs w:val="false"/>
          <w:i w:val="false"/>
          <w:iCs w:val="false"/>
          <w:color w:val="000000"/>
          <w:sz w:val="20"/>
          <w:szCs w:val="20"/>
        </w:rPr>
        <w:t xml:space="preserve">NDC: XXXXX-XXX-01 — 800 mg/16 mL single-dose vial, carton of 1</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Storage: Store at 2°C to 8°C (36°F to 46°F) in original carton to protect from light. Do not freeze. Do not shake.</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17. PATIENT COUNSELING INFORMATION</w:t>
      </w:r>
    </w:p>
    <w:p>
      <w:pPr>
        <w:spacing w:before="80" w:after="80"/>
        <w:jc w:val="left"/>
      </w:pPr>
      <w:r>
        <w:rPr>
          <w:rFonts w:ascii="Arial" w:cs="Arial" w:eastAsia="Arial" w:hAnsi="Arial"/>
          <w:b w:val="false"/>
          <w:bCs w:val="false"/>
          <w:i w:val="false"/>
          <w:iCs w:val="false"/>
          <w:color w:val="000000"/>
          <w:sz w:val="20"/>
          <w:szCs w:val="20"/>
        </w:rPr>
        <w:t xml:space="preserve">Advise the patient to read the FDA-approved patient labeling (Patient Package Insert).</w:t>
      </w:r>
    </w:p>
    <w:p>
      <w:pPr>
        <w:pStyle w:val="ListParagraph"/>
        <w:numPr>
          <w:ilvl w:val="0"/>
          <w:numId w:val="2"/>
        </w:numPr>
        <w:spacing w:before="60" w:after="60"/>
      </w:pPr>
      <w:r>
        <w:rPr>
          <w:rFonts w:ascii="Arial" w:cs="Arial" w:eastAsia="Arial" w:hAnsi="Arial"/>
          <w:b w:val="false"/>
          <w:bCs w:val="false"/>
          <w:sz w:val="20"/>
          <w:szCs w:val="20"/>
        </w:rPr>
        <w:t xml:space="preserve">Inform patients of the risk of immune-mediated adverse reactions that may require corticosteroid treatment and interruption or discontinuation of CERVIMAB.</w:t>
      </w:r>
    </w:p>
    <w:p>
      <w:pPr>
        <w:pStyle w:val="ListParagraph"/>
        <w:numPr>
          <w:ilvl w:val="0"/>
          <w:numId w:val="2"/>
        </w:numPr>
        <w:spacing w:before="60" w:after="60"/>
      </w:pPr>
      <w:r>
        <w:rPr>
          <w:rFonts w:ascii="Arial" w:cs="Arial" w:eastAsia="Arial" w:hAnsi="Arial"/>
          <w:b w:val="false"/>
          <w:bCs w:val="false"/>
          <w:sz w:val="20"/>
          <w:szCs w:val="20"/>
        </w:rPr>
        <w:t xml:space="preserve">Advise patients to contact their healthcare provider immediately for new or worsening cough, chest pain, shortness of breath (pneumonitis); diarrhea, severe abdominal pain (colitis); yellowing of skin or whites of eyes, dark urine (hepatitis); rapid weight gain or loss, feeling hot or cold all the time, excessive tiredness, hair loss (endocrinopathies).</w:t>
      </w:r>
    </w:p>
    <w:p>
      <w:pPr>
        <w:pStyle w:val="ListParagraph"/>
        <w:numPr>
          <w:ilvl w:val="0"/>
          <w:numId w:val="2"/>
        </w:numPr>
        <w:spacing w:before="60" w:after="60"/>
      </w:pPr>
      <w:r>
        <w:rPr>
          <w:rFonts w:ascii="Arial" w:cs="Arial" w:eastAsia="Arial" w:hAnsi="Arial"/>
          <w:b w:val="false"/>
          <w:bCs w:val="false"/>
          <w:sz w:val="20"/>
          <w:szCs w:val="20"/>
        </w:rPr>
        <w:t xml:space="preserve">Advise patients that infusion-related reactions can occur and to immediately report chills, shaking, fever, flushing, rash, hypotension, or shortness of breath during or following an infusion.</w:t>
      </w:r>
    </w:p>
    <w:p>
      <w:pPr>
        <w:pStyle w:val="ListParagraph"/>
        <w:numPr>
          <w:ilvl w:val="0"/>
          <w:numId w:val="2"/>
        </w:numPr>
        <w:spacing w:before="60" w:after="60"/>
      </w:pPr>
      <w:r>
        <w:rPr>
          <w:rFonts w:ascii="Arial" w:cs="Arial" w:eastAsia="Arial" w:hAnsi="Arial"/>
          <w:b w:val="false"/>
          <w:bCs w:val="false"/>
          <w:sz w:val="20"/>
          <w:szCs w:val="20"/>
        </w:rPr>
        <w:t xml:space="preserve">Advise females of reproductive potential to use effective contraception during treatment and for 4 months after the last dose.</w:t>
      </w:r>
    </w:p>
    <w:p>
      <w:pPr>
        <w:pStyle w:val="ListParagraph"/>
        <w:numPr>
          <w:ilvl w:val="0"/>
          <w:numId w:val="2"/>
        </w:numPr>
        <w:spacing w:before="60" w:after="60"/>
      </w:pPr>
      <w:r>
        <w:rPr>
          <w:rFonts w:ascii="Arial" w:cs="Arial" w:eastAsia="Arial" w:hAnsi="Arial"/>
          <w:b w:val="false"/>
          <w:bCs w:val="false"/>
          <w:sz w:val="20"/>
          <w:szCs w:val="20"/>
        </w:rPr>
        <w:t xml:space="preserve">Advise pregnant women that CERVIMAB can cause fetal harm.</w:t>
      </w:r>
    </w:p>
    <w:p>
      <w:pPr>
        <w:pStyle w:val="ListParagraph"/>
        <w:numPr>
          <w:ilvl w:val="0"/>
          <w:numId w:val="2"/>
        </w:numPr>
        <w:spacing w:before="60" w:after="60"/>
      </w:pPr>
      <w:r>
        <w:rPr>
          <w:rFonts w:ascii="Arial" w:cs="Arial" w:eastAsia="Arial" w:hAnsi="Arial"/>
          <w:b w:val="false"/>
          <w:bCs w:val="false"/>
          <w:sz w:val="20"/>
          <w:szCs w:val="20"/>
        </w:rPr>
        <w:t xml:space="preserve">Advise patients not to breastfeed during treatment and for 4 months after the last dose.</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666666"/>
          <w:sz w:val="20"/>
          <w:szCs w:val="20"/>
        </w:rPr>
        <w:t xml:space="preserve">Manufactured by: Zymera Biosciences, Inc. | [Address] | US License No. XXXX</w:t>
      </w:r>
    </w:p>
    <w:p>
      <w:pPr>
        <w:spacing w:before="80" w:after="80"/>
        <w:jc w:val="left"/>
      </w:pPr>
      <w:r>
        <w:rPr>
          <w:rFonts w:ascii="Arial" w:cs="Arial" w:eastAsia="Arial" w:hAnsi="Arial"/>
          <w:b w:val="false"/>
          <w:bCs w:val="false"/>
          <w:i/>
          <w:iCs/>
          <w:color w:val="666666"/>
          <w:sz w:val="20"/>
          <w:szCs w:val="20"/>
        </w:rPr>
        <w:t xml:space="preserve">CERVIMAB® is a registered trademark of Zymera Biosciences, Inc.</w:t>
      </w:r>
    </w:p>
    <w:p>
      <w:pPr>
        <w:spacing w:before="80" w:after="80"/>
        <w:jc w:val="left"/>
      </w:pPr>
      <w:r>
        <w:rPr>
          <w:rFonts w:ascii="Arial" w:cs="Arial" w:eastAsia="Arial" w:hAnsi="Arial"/>
          <w:b w:val="false"/>
          <w:bCs w:val="false"/>
          <w:i/>
          <w:iCs/>
          <w:color w:val="666666"/>
          <w:sz w:val="20"/>
          <w:szCs w:val="20"/>
        </w:rPr>
        <w:t xml:space="preserve">USPI Revision: [Month Year]</w:t>
      </w:r>
    </w:p>
    <w:p>
      <w:pPr>
        <w:sectPr>
          <w:headerReference w:type="default" r:id="rId8"/>
          <w:footerReference w:type="default" r:id="rId9"/>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DOCUMENT 3</w:t>
            </w:r>
          </w:p>
          <w:p>
            <w:pPr>
              <w:spacing w:before="40" w:after="40"/>
              <w:jc w:val="center"/>
            </w:pPr>
            <w:r>
              <w:rPr>
                <w:rFonts w:ascii="Arial" w:cs="Arial" w:eastAsia="Arial" w:hAnsi="Arial"/>
                <w:b w:val="false"/>
                <w:bCs w:val="false"/>
                <w:color w:val="C9D9F0"/>
                <w:sz w:val="28"/>
                <w:szCs w:val="28"/>
              </w:rPr>
              <w:t xml:space="preserve">POST-MARKETING REQUIREMENTS &amp; COMMITMENTS SCHEDULE</w:t>
            </w:r>
          </w:p>
          <w:p>
            <w:pPr>
              <w:spacing w:before="20" w:after="60"/>
              <w:jc w:val="center"/>
            </w:pPr>
            <w:r>
              <w:rPr>
                <w:rFonts w:ascii="Arial" w:cs="Arial" w:eastAsia="Arial" w:hAnsi="Arial"/>
                <w:i/>
                <w:iCs/>
                <w:color w:val="A8C4E0"/>
                <w:sz w:val="22"/>
                <w:szCs w:val="22"/>
              </w:rPr>
              <w:t xml:space="preserve">CERVIMAB® (anti-PD-1 monoclonal antibody) · NDA 761-XXX</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CERVIMAB® (anti-PD-1 monoclonal antibody)</w:t>
            </w:r>
          </w:p>
          <w:p>
            <w:pPr>
              <w:spacing w:before="40" w:after="40"/>
              <w:jc w:val="center"/>
            </w:pPr>
            <w:r>
              <w:rPr>
                <w:rFonts w:ascii="Arial" w:cs="Arial" w:eastAsia="Arial" w:hAnsi="Arial"/>
                <w:b w:val="false"/>
                <w:bCs w:val="false"/>
                <w:color w:val="C9D9F0"/>
                <w:sz w:val="28"/>
                <w:szCs w:val="28"/>
              </w:rPr>
              <w:t xml:space="preserve">Post-Marketing Requirements &amp; Commitments Schedule</w:t>
            </w:r>
          </w:p>
          <w:p>
            <w:pPr>
              <w:spacing w:before="20" w:after="60"/>
              <w:jc w:val="center"/>
            </w:pPr>
            <w:r>
              <w:rPr>
                <w:rFonts w:ascii="Arial" w:cs="Arial" w:eastAsia="Arial" w:hAnsi="Arial"/>
                <w:i/>
                <w:iCs/>
                <w:color w:val="A8C4E0"/>
                <w:sz w:val="22"/>
                <w:szCs w:val="22"/>
              </w:rPr>
              <w:t xml:space="preserve">NDA 761-XXX · Submitted to: FDA/CDER/Division of Oncology Products 1</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C7A800" w:sz="8"/>
              <w:left w:val="thick" w:color="C7A800" w:sz="16"/>
              <w:bottom w:val="single" w:color="C7A800" w:sz="8"/>
              <w:right w:val="single" w:color="C7A800" w:sz="8"/>
            </w:tcBorders>
            <w:shd w:fill="FFF2CC" w:val="clear"/>
            <w:tcMar>
              <w:top w:type="dxa" w:w="120"/>
              <w:left w:type="dxa" w:w="160"/>
              <w:bottom w:type="dxa" w:w="120"/>
              <w:right w:type="dxa" w:w="120"/>
            </w:tcMar>
          </w:tcPr>
          <w:p>
            <w:r>
              <w:rPr>
                <w:rFonts w:ascii="Arial" w:cs="Arial" w:eastAsia="Arial" w:hAnsi="Arial"/>
                <w:b/>
                <w:bCs/>
                <w:color w:val="7B5900"/>
                <w:sz w:val="20"/>
                <w:szCs w:val="20"/>
              </w:rPr>
              <w:t xml:space="preserve">NOTICE: This document constitutes the formal Post-Marketing Requirements (PMRs) and Commitments (PMCs) submitted by Zymera Biosciences, Inc. in accordance with 21 CFR Part 601 and 21 CFR 314.81(b)(2). All milestones, timelines, and protocols are subject to FDA concurrence.</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 Overview and Regulatory Context</w:t>
      </w:r>
    </w:p>
    <w:p>
      <w:pPr>
        <w:spacing w:before="80" w:after="80"/>
        <w:jc w:val="left"/>
      </w:pPr>
      <w:r>
        <w:rPr>
          <w:rFonts w:ascii="Arial" w:cs="Arial" w:eastAsia="Arial" w:hAnsi="Arial"/>
          <w:b w:val="false"/>
          <w:bCs w:val="false"/>
          <w:i w:val="false"/>
          <w:iCs w:val="false"/>
          <w:color w:val="000000"/>
          <w:sz w:val="20"/>
          <w:szCs w:val="20"/>
        </w:rPr>
        <w:t xml:space="preserve">Pursuant to the Approval Letter for NDA 761-XXX (CERVIMAB, anti-PD-1 monoclonal antibody, 400 mg Q6W IV), Zymera Biosciences, Inc. ("Sponsor") commits to conducting the following post-marketing studies and analyses. These studies are required under 21 U.S.C. § 356(c) and 21 CFR § 601.70, or are voluntarily committed in recognition of information gaps relevant to product safety and optimal utilization.</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Accelerated Approval Basis: This approval was granted under 21 CFR § 601.41 (accelerated approval) based on ORR as a surrogate endpoint reasonably likely to predict clinical benefit. The PMR program is designed to verify and describe clinical benefit through confirmatory evidence.</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2. Post-Marketing Requirements (PMRs)</w:t>
      </w:r>
    </w:p>
    <w:p>
      <w:pPr>
        <w:spacing w:before="80" w:after="80"/>
        <w:jc w:val="left"/>
      </w:pPr>
      <w:r>
        <w:rPr>
          <w:rFonts w:ascii="Arial" w:cs="Arial" w:eastAsia="Arial" w:hAnsi="Arial"/>
          <w:b w:val="false"/>
          <w:bCs w:val="false"/>
          <w:i w:val="false"/>
          <w:iCs w:val="false"/>
          <w:color w:val="000000"/>
          <w:sz w:val="20"/>
          <w:szCs w:val="20"/>
        </w:rPr>
        <w:t xml:space="preserve">The following studies are Required under 21 CFR § 601.70. Non-compliance may result in FDA enforcement action including withdrawal of approval.</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PMR-1: CERVIMAB-302 — Confirmatory Phase 3 Trial (First-Line dMMR/MSI-H mCRC)</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Study Objective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 verify and describe clinical benefit of CERVIMAB vs. standard of care (mFOLFOX6 or FOLFIRI + bevacizumab/cetuximab) as first-line therapy in patients with previously untreated unresectable or metastatic dMMR/MSI-H CRC.</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Design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Randomized (2:1), open-label, multicenter, global Phase 3. Target enrollment: N=420 (280 CERVIMAB, 140 SOC). Stratification by ECOG PS (0 vs. 1) and geographic region.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Primary Endpoint</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Progression-free survival (PFS) by BICR (RECIST v1.1)</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Key Secondary Endpoints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Overall Survival (OS), ORR, DOR, Disease Control Rate (DCR), Patient-Reported Outcomes (PRO: EORTC QLQ-C30, EQ-5D-5L)</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Biomarker Substudies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Tumor Mutational Burden (TMB), Lynch syndrome status, ctDNA dynamics, immune cell infiltration (CD8+ TIL density), exploratory genomic profiling</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Status</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Ongoing — Trial initiation Q1 [Approval Year+1]; First Patient In (FPI) Q2 [Approval Year+1]</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Milestones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submission to FDA: Within 60 days of approval
FPI: Q2 [Year+1]
50% Enrollment: Q2 [Year+2]
Primary Analysis Readout: Q2 [Year+3]
Final Report Submission: Q4 [Year+3 / Year+4]</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PMR-2: Pharmacokinetics in Organ Impairment</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Study Objective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Characterize the PK of CERVIMAB in patients with severe hepatic impairment (Child-Pugh C; total bilirubin &gt;3× ULN) and severe renal impairment (eGFR &lt;15 mL/min/1.73 m²) to inform dosing guidance.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Design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Open-label, multi-cohort PK study. Approximately 24 patients per impairment cohort, with matched normal hepatic/renal function control cohort. Single 400 mg IV dose; PK sampling over 8 weeks.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Endpoints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AUC0-∞, Cmax, t½, CL, Vd. Comparison of PK parameters: impaired vs. normal function.</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Report Deadline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Q2 [Approval Year+2]</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PMR-3: Immunogenicity Characterization Study</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Study Objective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Characterize the incidence, titer, and clinical impact of anti-drug antibodies (ADAs) and neutralizing antibodies (NAbs) to CERVIMAB in diverse patient populations, utilizing validated assay methods per FDA immunogenicity guidance.</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Design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Prospective immunogenicity sub-study embedded in CERVIMAB-302. Samples collected at baseline, Cycle 3, Cycle 6, and end of treatment. Bridging analysis to compare CERVIMAB-301 immunogenicity data.</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Endpoints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ADA incidence and titer; NAb prevalence; correlation of ADA status with PK, efficacy (ORR, PFS), and safety outcomes (infusion-related reactions, immune-mediated AEs)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Report Deadline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Q1 [Approval Year+3]</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3. Post-Marketing Commitments (PMCs)</w:t>
      </w:r>
    </w:p>
    <w:p>
      <w:pPr>
        <w:spacing w:before="80" w:after="80"/>
        <w:jc w:val="left"/>
      </w:pPr>
      <w:r>
        <w:rPr>
          <w:rFonts w:ascii="Arial" w:cs="Arial" w:eastAsia="Arial" w:hAnsi="Arial"/>
          <w:b w:val="false"/>
          <w:bCs w:val="false"/>
          <w:i w:val="false"/>
          <w:iCs w:val="false"/>
          <w:color w:val="000000"/>
          <w:sz w:val="20"/>
          <w:szCs w:val="20"/>
        </w:rPr>
        <w:t xml:space="preserve">The following studies are voluntarily committed by the Sponsor. PMCs are not legally mandated but are conducted in recognition of clinically important information gaps.</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5A6A7A"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PMC-1: Real-World Evidence (RWE) Study in Community Oncology Settings</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Evaluate real-world outcomes including OS, treatment patterns, dose modifications, and safety in patients with dMMR/MSI-H mCRC receiving CERVIMAB in community oncology settings.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Data Source</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Retrospective and prospective EHR-based analysis using de-identified data from participating community oncology networks (target N ≥ 300 patients over 3 years).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Final Report Deadline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Q3 [Approval Year+3]</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5A6A7A"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PMC-2: Pediatric Study Plan (PSP)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Regulatory Basis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Required under the Pediatric Research Equity Act (PREA). dMMR/MSI-H CRC is rare in pediatric patients; however, a waiver or deferral request will be submitted within 60 days of approval.</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PSP Submission</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Within 60 days of approval date per PREA requirements.</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5A6A7A"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PMC-3: Long-Term Registry — CERVIMAB OUTCOMES REGISTRY (COR)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Objective</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Prospective 5-year outcomes registry tracking long-term safety events (delayed immune-mediated reactions), time to and duration of response, subsequent lines of therapy, and survival in CERVIMAB-treated patients.</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Target Enrollment</w:t>
            </w:r>
          </w:p>
        </w:tc>
        <w:tc>
          <w:tcPr>
            <w:tcW w:type="dxa" w:w="6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 = 500 patients across academic and community centers in the US and EU.</w:t>
            </w:r>
          </w:p>
        </w:tc>
      </w:tr>
      <w:tr>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Annual Reports</w:t>
            </w:r>
          </w:p>
        </w:tc>
        <w:tc>
          <w:tcPr>
            <w:tcW w:type="dxa" w:w="6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Submitted annually to FDA beginning 12 months post-enrollment initiation. Final 5-year report Q4 [Approval Year+6].</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4. Milestone Summary Table</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060"/>
        <w:gridCol w:w="2000"/>
        <w:gridCol w:w="1200"/>
        <w:gridCol w:w="1200"/>
      </w:tblGrid>
      <w:tr>
        <w:tc>
          <w:tcPr>
            <w:tcW w:type="dxa" w:w="9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ID</w:t>
            </w:r>
          </w:p>
        </w:tc>
        <w:tc>
          <w:tcPr>
            <w:tcW w:type="dxa" w:w="40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Study / Commitment</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Key Milestone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Date</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Type</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PMR-1</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CERVIMAB-302 confirmatory trial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Protocol submission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D+60 days</w:t>
            </w:r>
          </w:p>
        </w:tc>
        <w:tc>
          <w:tcPr>
            <w:tcW w:type="dxa" w:w="1200"/>
            <w:tcBorders>
              <w:top w:val="single" w:color="BBBBBB" w:sz="1"/>
              <w:left w:val="single" w:color="BBBBBB" w:sz="1"/>
              <w:bottom w:val="single" w:color="BBBBBB" w:sz="1"/>
              <w:right w:val="single" w:color="BBBBBB" w:sz="1"/>
            </w:tcBorders>
            <w:shd w:fill="FF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PMR-1</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Patient In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Q2 Y+1</w:t>
            </w:r>
          </w:p>
        </w:tc>
        <w:tc>
          <w:tcPr>
            <w:tcW w:type="dxa" w:w="1200"/>
            <w:tcBorders>
              <w:top w:val="single" w:color="BBBBBB" w:sz="1"/>
              <w:left w:val="single" w:color="BBBBBB" w:sz="1"/>
              <w:bottom w:val="single" w:color="BBBBBB" w:sz="1"/>
              <w:right w:val="single" w:color="BBBBBB" w:sz="1"/>
            </w:tcBorders>
            <w:shd w:fill="FF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PMR-1</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Report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Q4 Y+3</w:t>
            </w:r>
          </w:p>
        </w:tc>
        <w:tc>
          <w:tcPr>
            <w:tcW w:type="dxa" w:w="1200"/>
            <w:tcBorders>
              <w:top w:val="single" w:color="BBBBBB" w:sz="1"/>
              <w:left w:val="single" w:color="BBBBBB" w:sz="1"/>
              <w:bottom w:val="single" w:color="BBBBBB" w:sz="1"/>
              <w:right w:val="single" w:color="BBBBBB" w:sz="1"/>
            </w:tcBorders>
            <w:shd w:fill="FF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PMR-2</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 impairment PK study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Report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Q2 Y+2</w:t>
            </w:r>
          </w:p>
        </w:tc>
        <w:tc>
          <w:tcPr>
            <w:tcW w:type="dxa" w:w="1200"/>
            <w:tcBorders>
              <w:top w:val="single" w:color="BBBBBB" w:sz="1"/>
              <w:left w:val="single" w:color="BBBBBB" w:sz="1"/>
              <w:bottom w:val="single" w:color="BBBBBB" w:sz="1"/>
              <w:right w:val="single" w:color="BBBBBB" w:sz="1"/>
            </w:tcBorders>
            <w:shd w:fill="FF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PMR-3</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Immunogenicity characterization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Report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Q1 Y+3</w:t>
            </w:r>
          </w:p>
        </w:tc>
        <w:tc>
          <w:tcPr>
            <w:tcW w:type="dxa" w:w="1200"/>
            <w:tcBorders>
              <w:top w:val="single" w:color="BBBBBB" w:sz="1"/>
              <w:left w:val="single" w:color="BBBBBB" w:sz="1"/>
              <w:bottom w:val="single" w:color="BBBBBB" w:sz="1"/>
              <w:right w:val="single" w:color="BBBBBB" w:sz="1"/>
            </w:tcBorders>
            <w:shd w:fill="FFE8E8"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PMR</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PMC-1</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Real-world evidence study (RWE)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Report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Q3 Y+3</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PMC</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PMC-2</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Pediatric Study Plan (PSP)</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PSP Submission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D+60 days</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PMC</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PMC-3</w:t>
            </w:r>
          </w:p>
        </w:tc>
        <w:tc>
          <w:tcPr>
            <w:tcW w:type="dxa" w:w="4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COR outcomes registry (5-year)</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Annual reports; Final Y+6</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Annual</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PMC</w:t>
            </w:r>
          </w:p>
        </w:tc>
      </w:tr>
    </w:tbl>
    <w:p>
      <w:pPr>
        <w:spacing w:before="80" w:after="80"/>
        <w:jc w:val="left"/>
      </w:pPr>
      <w:r>
        <w:rPr>
          <w:rFonts w:ascii="Arial" w:cs="Arial" w:eastAsia="Arial" w:hAnsi="Arial"/>
          <w:b w:val="false"/>
          <w:bCs w:val="false"/>
          <w:i/>
          <w:iCs/>
          <w:color w:val="666666"/>
          <w:sz w:val="20"/>
          <w:szCs w:val="20"/>
        </w:rPr>
        <w:t xml:space="preserve">D = Date of Approval; Y = Year of Approval. All dates subject to FDA agreement.</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5. Reporting Requirements</w:t>
      </w:r>
    </w:p>
    <w:p>
      <w:pPr>
        <w:spacing w:before="80" w:after="80"/>
        <w:jc w:val="left"/>
      </w:pPr>
      <w:r>
        <w:rPr>
          <w:rFonts w:ascii="Arial" w:cs="Arial" w:eastAsia="Arial" w:hAnsi="Arial"/>
          <w:b w:val="false"/>
          <w:bCs w:val="false"/>
          <w:i w:val="false"/>
          <w:iCs w:val="false"/>
          <w:color w:val="000000"/>
          <w:sz w:val="20"/>
          <w:szCs w:val="20"/>
        </w:rPr>
        <w:t xml:space="preserve">The Sponsor shall submit annual progress reports to FDA for each PMR and PMC study in accordance with 21 CFR 314.81(b)(2)(vii). Each report shall include:</w:t>
      </w:r>
    </w:p>
    <w:p>
      <w:pPr>
        <w:pStyle w:val="ListParagraph"/>
        <w:numPr>
          <w:ilvl w:val="0"/>
          <w:numId w:val="2"/>
        </w:numPr>
        <w:spacing w:before="60" w:after="60"/>
      </w:pPr>
      <w:r>
        <w:rPr>
          <w:rFonts w:ascii="Arial" w:cs="Arial" w:eastAsia="Arial" w:hAnsi="Arial"/>
          <w:b w:val="false"/>
          <w:bCs w:val="false"/>
          <w:sz w:val="20"/>
          <w:szCs w:val="20"/>
        </w:rPr>
        <w:t xml:space="preserve">Current enrollment/subject numbers and updated protocol status</w:t>
      </w:r>
    </w:p>
    <w:p>
      <w:pPr>
        <w:pStyle w:val="ListParagraph"/>
        <w:numPr>
          <w:ilvl w:val="0"/>
          <w:numId w:val="2"/>
        </w:numPr>
        <w:spacing w:before="60" w:after="60"/>
      </w:pPr>
      <w:r>
        <w:rPr>
          <w:rFonts w:ascii="Arial" w:cs="Arial" w:eastAsia="Arial" w:hAnsi="Arial"/>
          <w:b w:val="false"/>
          <w:bCs w:val="false"/>
          <w:sz w:val="20"/>
          <w:szCs w:val="20"/>
        </w:rPr>
        <w:t xml:space="preserve">Description of any protocol amendments with rationale</w:t>
      </w:r>
    </w:p>
    <w:p>
      <w:pPr>
        <w:pStyle w:val="ListParagraph"/>
        <w:numPr>
          <w:ilvl w:val="0"/>
          <w:numId w:val="2"/>
        </w:numPr>
        <w:spacing w:before="60" w:after="60"/>
      </w:pPr>
      <w:r>
        <w:rPr>
          <w:rFonts w:ascii="Arial" w:cs="Arial" w:eastAsia="Arial" w:hAnsi="Arial"/>
          <w:b w:val="false"/>
          <w:bCs w:val="false"/>
          <w:sz w:val="20"/>
          <w:szCs w:val="20"/>
        </w:rPr>
        <w:t xml:space="preserve">Interim safety and efficacy findings (if applicable)</w:t>
      </w:r>
    </w:p>
    <w:p>
      <w:pPr>
        <w:pStyle w:val="ListParagraph"/>
        <w:numPr>
          <w:ilvl w:val="0"/>
          <w:numId w:val="2"/>
        </w:numPr>
        <w:spacing w:before="60" w:after="60"/>
      </w:pPr>
      <w:r>
        <w:rPr>
          <w:rFonts w:ascii="Arial" w:cs="Arial" w:eastAsia="Arial" w:hAnsi="Arial"/>
          <w:b w:val="false"/>
          <w:bCs w:val="false"/>
          <w:sz w:val="20"/>
          <w:szCs w:val="20"/>
        </w:rPr>
        <w:t xml:space="preserve">Timeline revisions with justification and proposed revised dates</w:t>
      </w:r>
    </w:p>
    <w:p>
      <w:pPr>
        <w:pStyle w:val="ListParagraph"/>
        <w:numPr>
          <w:ilvl w:val="0"/>
          <w:numId w:val="2"/>
        </w:numPr>
        <w:spacing w:before="60" w:after="60"/>
      </w:pPr>
      <w:r>
        <w:rPr>
          <w:rFonts w:ascii="Arial" w:cs="Arial" w:eastAsia="Arial" w:hAnsi="Arial"/>
          <w:b w:val="false"/>
          <w:bCs w:val="false"/>
          <w:sz w:val="20"/>
          <w:szCs w:val="20"/>
        </w:rPr>
        <w:t xml:space="preserve">Anticipated date for study completion and final report submission</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All annual progress reports shall be submitted via FDA's eCTD electronic submission system no later than 60 days following the anniversary date of this approval.</w:t>
      </w:r>
    </w:p>
    <w:p>
      <w:pPr>
        <w:sectPr>
          <w:headerReference w:type="default" r:id="rId10"/>
          <w:footerReference w:type="default" r:id="rId11"/>
          <w:pgSz w:w="12240" w:h="15840" w:orient="portrait"/>
          <w:pgMar w:top="1440" w:right="1440" w:bottom="1440" w:left="1440" w:header="708" w:footer="708" w:gutter="0"/>
          <w:pgNumType/>
          <w:docGrid w:linePitch="360"/>
        </w:sectPr>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DOCUMENT 4</w:t>
            </w:r>
          </w:p>
          <w:p>
            <w:pPr>
              <w:spacing w:before="40" w:after="40"/>
              <w:jc w:val="center"/>
            </w:pPr>
            <w:r>
              <w:rPr>
                <w:rFonts w:ascii="Arial" w:cs="Arial" w:eastAsia="Arial" w:hAnsi="Arial"/>
                <w:b w:val="false"/>
                <w:bCs w:val="false"/>
                <w:color w:val="C9D9F0"/>
                <w:sz w:val="28"/>
                <w:szCs w:val="28"/>
              </w:rPr>
              <w:t xml:space="preserve">RISK EVALUATION AND MITIGATION STRATEGY (REMS)</w:t>
            </w:r>
          </w:p>
          <w:p>
            <w:pPr>
              <w:spacing w:before="20" w:after="60"/>
              <w:jc w:val="center"/>
            </w:pPr>
            <w:r>
              <w:rPr>
                <w:rFonts w:ascii="Arial" w:cs="Arial" w:eastAsia="Arial" w:hAnsi="Arial"/>
                <w:i/>
                <w:iCs/>
                <w:color w:val="A8C4E0"/>
                <w:sz w:val="22"/>
                <w:szCs w:val="22"/>
              </w:rPr>
              <w:t xml:space="preserve">CERVIMAB® (anti-PD-1 monoclonal antibody) · NDA 761-XXX · Pursuant to 21 U.S.C. § 355-1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240"/>
        </w:tblCellMar>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pPr>
              <w:spacing w:before="100" w:after="60"/>
              <w:jc w:val="center"/>
            </w:pPr>
            <w:r>
              <w:rPr>
                <w:rFonts w:ascii="Arial" w:cs="Arial" w:eastAsia="Arial" w:hAnsi="Arial"/>
                <w:b/>
                <w:bCs/>
                <w:color w:val="FFFFFF"/>
                <w:sz w:val="36"/>
                <w:szCs w:val="36"/>
              </w:rPr>
              <w:t xml:space="preserve">CERVIMAB® REMS</w:t>
            </w:r>
          </w:p>
          <w:p>
            <w:pPr>
              <w:spacing w:before="40" w:after="40"/>
              <w:jc w:val="center"/>
            </w:pPr>
            <w:r>
              <w:rPr>
                <w:rFonts w:ascii="Arial" w:cs="Arial" w:eastAsia="Arial" w:hAnsi="Arial"/>
                <w:b w:val="false"/>
                <w:bCs w:val="false"/>
                <w:color w:val="C9D9F0"/>
                <w:sz w:val="28"/>
                <w:szCs w:val="28"/>
              </w:rPr>
              <w:t xml:space="preserve">Risk Evaluation and Mitigation Strategy</w:t>
            </w:r>
          </w:p>
          <w:p>
            <w:pPr>
              <w:spacing w:before="20" w:after="60"/>
              <w:jc w:val="center"/>
            </w:pPr>
            <w:r>
              <w:rPr>
                <w:rFonts w:ascii="Arial" w:cs="Arial" w:eastAsia="Arial" w:hAnsi="Arial"/>
                <w:i/>
                <w:iCs/>
                <w:color w:val="A8C4E0"/>
                <w:sz w:val="22"/>
                <w:szCs w:val="22"/>
              </w:rPr>
              <w:t xml:space="preserve">NDA 761-XXX · Zymera Biosciences, Inc. · Pursuant to 21 U.S.C. § 355-1</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thick" w:color="7B0000" w:sz="12"/>
              <w:left w:val="thick" w:color="7B0000" w:sz="24"/>
              <w:bottom w:val="thick" w:color="7B0000" w:sz="12"/>
              <w:right w:val="thick" w:color="7B0000" w:sz="12"/>
            </w:tcBorders>
            <w:shd w:fill="FFEBEB" w:val="clear"/>
            <w:tcMar>
              <w:top w:type="dxa" w:w="120"/>
              <w:left w:type="dxa" w:w="200"/>
              <w:bottom w:type="dxa" w:w="120"/>
              <w:right w:type="dxa" w:w="120"/>
            </w:tcMar>
          </w:tcPr>
          <w:p>
            <w:pPr>
              <w:spacing w:before="60" w:after="60"/>
            </w:pPr>
            <w:r>
              <w:rPr>
                <w:rFonts w:ascii="Arial" w:cs="Arial" w:eastAsia="Arial" w:hAnsi="Arial"/>
                <w:b w:val="false"/>
                <w:bCs w:val="false"/>
                <w:color w:val="7B0000"/>
                <w:sz w:val="20"/>
                <w:szCs w:val="20"/>
              </w:rPr>
              <w:t xml:space="preserve">REMS REQUIRED — SERIOUS RISKS REQUIRING RISK MINIMIZATION</w:t>
            </w:r>
          </w:p>
          <w:p>
            <w:pPr>
              <w:spacing w:before="60" w:after="60"/>
            </w:pPr>
            <w:r>
              <w:rPr>
                <w:rFonts w:ascii="Arial" w:cs="Arial" w:eastAsia="Arial" w:hAnsi="Arial"/>
                <w:b w:val="false"/>
                <w:bCs w:val="false"/>
                <w:color w:val="7B0000"/>
                <w:sz w:val="20"/>
                <w:szCs w:val="20"/>
              </w:rPr>
              <w:t xml:space="preserve">CERVIMAB can cause severe, life-threatening, or fatal immune-mediated adverse reactions affecting any organ system. Immune-mediated reactions may be irreversible or require prolonged systemic immunosuppression. Infusion-related reactions, including anaphylaxis, have also been reported.</w:t>
            </w:r>
          </w:p>
          <w:p>
            <w:pPr>
              <w:spacing w:before="60" w:after="60"/>
            </w:pPr>
            <w:r>
              <w:rPr>
                <w:rFonts w:ascii="Arial" w:cs="Arial" w:eastAsia="Arial" w:hAnsi="Arial"/>
                <w:b w:val="false"/>
                <w:bCs w:val="false"/>
                <w:color w:val="7B0000"/>
                <w:sz w:val="20"/>
                <w:szCs w:val="20"/>
              </w:rPr>
              <w:t xml:space="preserve">This REMS program is designed to inform healthcare providers and patients about these serious risks and the steps needed to reduce them.</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1. Goals of the REMS</w:t>
      </w:r>
    </w:p>
    <w:p>
      <w:pPr>
        <w:spacing w:before="80" w:after="80"/>
        <w:jc w:val="left"/>
      </w:pPr>
      <w:r>
        <w:rPr>
          <w:rFonts w:ascii="Arial" w:cs="Arial" w:eastAsia="Arial" w:hAnsi="Arial"/>
          <w:b w:val="false"/>
          <w:bCs w:val="false"/>
          <w:i w:val="false"/>
          <w:iCs w:val="false"/>
          <w:color w:val="000000"/>
          <w:sz w:val="20"/>
          <w:szCs w:val="20"/>
        </w:rPr>
        <w:t xml:space="preserve">The REMS for CERVIMAB is designed to:</w:t>
      </w:r>
    </w:p>
    <w:p>
      <w:pPr>
        <w:pStyle w:val="ListParagraph"/>
        <w:numPr>
          <w:ilvl w:val="0"/>
          <w:numId w:val="2"/>
        </w:numPr>
        <w:spacing w:before="60" w:after="60"/>
      </w:pPr>
      <w:r>
        <w:rPr>
          <w:rFonts w:ascii="Arial" w:cs="Arial" w:eastAsia="Arial" w:hAnsi="Arial"/>
          <w:b w:val="false"/>
          <w:bCs w:val="false"/>
          <w:sz w:val="20"/>
          <w:szCs w:val="20"/>
        </w:rPr>
        <w:t xml:space="preserve">Inform healthcare providers (HCPs) prescribing and administering CERVIMAB about the serious risks of immune-mediated adverse reactions and infusion-related reactions associated with CERVIMAB;</w:t>
      </w:r>
    </w:p>
    <w:p>
      <w:pPr>
        <w:pStyle w:val="ListParagraph"/>
        <w:numPr>
          <w:ilvl w:val="0"/>
          <w:numId w:val="2"/>
        </w:numPr>
        <w:spacing w:before="60" w:after="60"/>
      </w:pPr>
      <w:r>
        <w:rPr>
          <w:rFonts w:ascii="Arial" w:cs="Arial" w:eastAsia="Arial" w:hAnsi="Arial"/>
          <w:b w:val="false"/>
          <w:bCs w:val="false"/>
          <w:sz w:val="20"/>
          <w:szCs w:val="20"/>
        </w:rPr>
        <w:t xml:space="preserve">Inform HCPs of evidence-based management recommendations for these adverse reactions, including corticosteroid dosing, withholding criteria, and permanent discontinuation criteria;</w:t>
      </w:r>
    </w:p>
    <w:p>
      <w:pPr>
        <w:pStyle w:val="ListParagraph"/>
        <w:numPr>
          <w:ilvl w:val="0"/>
          <w:numId w:val="2"/>
        </w:numPr>
        <w:spacing w:before="60" w:after="60"/>
      </w:pPr>
      <w:r>
        <w:rPr>
          <w:rFonts w:ascii="Arial" w:cs="Arial" w:eastAsia="Arial" w:hAnsi="Arial"/>
          <w:b w:val="false"/>
          <w:bCs w:val="false"/>
          <w:sz w:val="20"/>
          <w:szCs w:val="20"/>
        </w:rPr>
        <w:t xml:space="preserve">Ensure that patients are aware of the serious risks associated with CERVIMAB and know when to seek medical attention;</w:t>
      </w:r>
    </w:p>
    <w:p>
      <w:pPr>
        <w:pStyle w:val="ListParagraph"/>
        <w:numPr>
          <w:ilvl w:val="0"/>
          <w:numId w:val="2"/>
        </w:numPr>
        <w:spacing w:before="60" w:after="60"/>
      </w:pPr>
      <w:r>
        <w:rPr>
          <w:rFonts w:ascii="Arial" w:cs="Arial" w:eastAsia="Arial" w:hAnsi="Arial"/>
          <w:b w:val="false"/>
          <w:bCs w:val="false"/>
          <w:sz w:val="20"/>
          <w:szCs w:val="20"/>
        </w:rPr>
        <w:t xml:space="preserve">Mitigate the risks of immune-mediated adverse reactions through monitoring, early identification, and prompt treatment;</w:t>
      </w:r>
    </w:p>
    <w:p>
      <w:pPr>
        <w:pStyle w:val="ListParagraph"/>
        <w:numPr>
          <w:ilvl w:val="0"/>
          <w:numId w:val="2"/>
        </w:numPr>
        <w:spacing w:before="60" w:after="60"/>
      </w:pPr>
      <w:r>
        <w:rPr>
          <w:rFonts w:ascii="Arial" w:cs="Arial" w:eastAsia="Arial" w:hAnsi="Arial"/>
          <w:b w:val="false"/>
          <w:bCs w:val="false"/>
          <w:sz w:val="20"/>
          <w:szCs w:val="20"/>
        </w:rPr>
        <w:t xml:space="preserve">Evaluate the effectiveness of the REMS program through assessments at specified intervals.</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2. REMS Program Components</w:t>
      </w:r>
    </w:p>
    <w:p>
      <w:pPr>
        <w:spacing w:before="80" w:after="80"/>
        <w:jc w:val="left"/>
      </w:pPr>
      <w:r>
        <w:rPr>
          <w:rFonts w:ascii="Arial" w:cs="Arial" w:eastAsia="Arial" w:hAnsi="Arial"/>
          <w:b w:val="false"/>
          <w:bCs w:val="false"/>
          <w:i w:val="false"/>
          <w:iCs w:val="false"/>
          <w:color w:val="000000"/>
          <w:sz w:val="20"/>
          <w:szCs w:val="20"/>
        </w:rPr>
        <w:t xml:space="preserve">The CERVIMAB REMS consists of the following elements to assure safe use (ETASU):</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2.1 Healthcare Provider Communication and Education</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2.1.1 HCP Education and Training Program</w:t>
      </w:r>
    </w:p>
    <w:p>
      <w:pPr>
        <w:spacing w:before="80" w:after="80"/>
        <w:jc w:val="left"/>
      </w:pPr>
      <w:r>
        <w:rPr>
          <w:rFonts w:ascii="Arial" w:cs="Arial" w:eastAsia="Arial" w:hAnsi="Arial"/>
          <w:b w:val="false"/>
          <w:bCs w:val="false"/>
          <w:i w:val="false"/>
          <w:iCs w:val="false"/>
          <w:color w:val="000000"/>
          <w:sz w:val="20"/>
          <w:szCs w:val="20"/>
        </w:rPr>
        <w:t xml:space="preserve">All healthcare providers who prescribe or administer CERVIMAB must complete an HCP Education and Training Program prior to prescribing or administering CERVIMAB. This program shall include:</w:t>
      </w:r>
    </w:p>
    <w:p>
      <w:pPr>
        <w:pStyle w:val="ListParagraph"/>
        <w:numPr>
          <w:ilvl w:val="0"/>
          <w:numId w:val="2"/>
        </w:numPr>
        <w:spacing w:before="60" w:after="60"/>
      </w:pPr>
      <w:r>
        <w:rPr>
          <w:rFonts w:ascii="Arial" w:cs="Arial" w:eastAsia="Arial" w:hAnsi="Arial"/>
          <w:b w:val="false"/>
          <w:bCs w:val="false"/>
          <w:sz w:val="20"/>
          <w:szCs w:val="20"/>
        </w:rPr>
        <w:t xml:space="preserve">Online training module (estimated 30–45 minutes, completion confirmation required)</w:t>
      </w:r>
    </w:p>
    <w:p>
      <w:pPr>
        <w:pStyle w:val="ListParagraph"/>
        <w:numPr>
          <w:ilvl w:val="0"/>
          <w:numId w:val="2"/>
        </w:numPr>
        <w:spacing w:before="60" w:after="60"/>
      </w:pPr>
      <w:r>
        <w:rPr>
          <w:rFonts w:ascii="Arial" w:cs="Arial" w:eastAsia="Arial" w:hAnsi="Arial"/>
          <w:b w:val="false"/>
          <w:bCs w:val="false"/>
          <w:sz w:val="20"/>
          <w:szCs w:val="20"/>
        </w:rPr>
        <w:t xml:space="preserve">Review of the CERVIMAB USPI and REMS materials</w:t>
      </w:r>
    </w:p>
    <w:p>
      <w:pPr>
        <w:pStyle w:val="ListParagraph"/>
        <w:numPr>
          <w:ilvl w:val="0"/>
          <w:numId w:val="2"/>
        </w:numPr>
        <w:spacing w:before="60" w:after="60"/>
      </w:pPr>
      <w:r>
        <w:rPr>
          <w:rFonts w:ascii="Arial" w:cs="Arial" w:eastAsia="Arial" w:hAnsi="Arial"/>
          <w:b w:val="false"/>
          <w:bCs w:val="false"/>
          <w:sz w:val="20"/>
          <w:szCs w:val="20"/>
        </w:rPr>
        <w:t xml:space="preserve">Attestation that they have read and understand the REMS requirements</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The HCP Training Module shall cover:</w:t>
      </w:r>
    </w:p>
    <w:p>
      <w:pPr>
        <w:pStyle w:val="ListParagraph"/>
        <w:numPr>
          <w:ilvl w:val="0"/>
          <w:numId w:val="2"/>
        </w:numPr>
        <w:spacing w:before="60" w:after="60"/>
      </w:pPr>
      <w:r>
        <w:rPr>
          <w:rFonts w:ascii="Arial" w:cs="Arial" w:eastAsia="Arial" w:hAnsi="Arial"/>
          <w:b w:val="false"/>
          <w:bCs w:val="false"/>
          <w:sz w:val="20"/>
          <w:szCs w:val="20"/>
        </w:rPr>
        <w:t xml:space="preserve">The mechanism of action and rationale for immune-mediated adverse reactions with PD-1 inhibition</w:t>
      </w:r>
    </w:p>
    <w:p>
      <w:pPr>
        <w:pStyle w:val="ListParagraph"/>
        <w:numPr>
          <w:ilvl w:val="0"/>
          <w:numId w:val="2"/>
        </w:numPr>
        <w:spacing w:before="60" w:after="60"/>
      </w:pPr>
      <w:r>
        <w:rPr>
          <w:rFonts w:ascii="Arial" w:cs="Arial" w:eastAsia="Arial" w:hAnsi="Arial"/>
          <w:b w:val="false"/>
          <w:bCs w:val="false"/>
          <w:sz w:val="20"/>
          <w:szCs w:val="20"/>
        </w:rPr>
        <w:t xml:space="preserve">The full spectrum of immune-mediated adverse reactions, including immune-mediated pneumonitis, colitis, hepatitis, endocrinopathies (including adrenal insufficiency, hypophysitis, hypothyroidism, hyperthyroidism, Type 1 diabetes mellitus), nephritis, dermatologic reactions, myocarditis, and neurological toxicities</w:t>
      </w:r>
    </w:p>
    <w:p>
      <w:pPr>
        <w:pStyle w:val="ListParagraph"/>
        <w:numPr>
          <w:ilvl w:val="0"/>
          <w:numId w:val="2"/>
        </w:numPr>
        <w:spacing w:before="60" w:after="60"/>
      </w:pPr>
      <w:r>
        <w:rPr>
          <w:rFonts w:ascii="Arial" w:cs="Arial" w:eastAsia="Arial" w:hAnsi="Arial"/>
          <w:b w:val="false"/>
          <w:bCs w:val="false"/>
          <w:sz w:val="20"/>
          <w:szCs w:val="20"/>
        </w:rPr>
        <w:t xml:space="preserve">Evidence-based clinical management algorithms for each organ system, including grading per CTCAE v5.0</w:t>
      </w:r>
    </w:p>
    <w:p>
      <w:pPr>
        <w:pStyle w:val="ListParagraph"/>
        <w:numPr>
          <w:ilvl w:val="0"/>
          <w:numId w:val="2"/>
        </w:numPr>
        <w:spacing w:before="60" w:after="60"/>
      </w:pPr>
      <w:r>
        <w:rPr>
          <w:rFonts w:ascii="Arial" w:cs="Arial" w:eastAsia="Arial" w:hAnsi="Arial"/>
          <w:b w:val="false"/>
          <w:bCs w:val="false"/>
          <w:sz w:val="20"/>
          <w:szCs w:val="20"/>
        </w:rPr>
        <w:t xml:space="preserve">Corticosteroid dosing guidance (prednisone 1–2 mg/kg/day or equivalent) and tapering protocols</w:t>
      </w:r>
    </w:p>
    <w:p>
      <w:pPr>
        <w:pStyle w:val="ListParagraph"/>
        <w:numPr>
          <w:ilvl w:val="0"/>
          <w:numId w:val="2"/>
        </w:numPr>
        <w:spacing w:before="60" w:after="60"/>
      </w:pPr>
      <w:r>
        <w:rPr>
          <w:rFonts w:ascii="Arial" w:cs="Arial" w:eastAsia="Arial" w:hAnsi="Arial"/>
          <w:b w:val="false"/>
          <w:bCs w:val="false"/>
          <w:sz w:val="20"/>
          <w:szCs w:val="20"/>
        </w:rPr>
        <w:t xml:space="preserve">Criteria for withholding vs. permanently discontinuing CERVIMAB</w:t>
      </w:r>
    </w:p>
    <w:p>
      <w:pPr>
        <w:pStyle w:val="ListParagraph"/>
        <w:numPr>
          <w:ilvl w:val="0"/>
          <w:numId w:val="2"/>
        </w:numPr>
        <w:spacing w:before="60" w:after="60"/>
      </w:pPr>
      <w:r>
        <w:rPr>
          <w:rFonts w:ascii="Arial" w:cs="Arial" w:eastAsia="Arial" w:hAnsi="Arial"/>
          <w:b w:val="false"/>
          <w:bCs w:val="false"/>
          <w:sz w:val="20"/>
          <w:szCs w:val="20"/>
        </w:rPr>
        <w:t xml:space="preserve">Infusion-related reaction recognition and management (including epinephrine use)</w:t>
      </w:r>
    </w:p>
    <w:p>
      <w:pPr>
        <w:pStyle w:val="ListParagraph"/>
        <w:numPr>
          <w:ilvl w:val="0"/>
          <w:numId w:val="2"/>
        </w:numPr>
        <w:spacing w:before="60" w:after="60"/>
      </w:pPr>
      <w:r>
        <w:rPr>
          <w:rFonts w:ascii="Arial" w:cs="Arial" w:eastAsia="Arial" w:hAnsi="Arial"/>
          <w:b w:val="false"/>
          <w:bCs w:val="false"/>
          <w:sz w:val="20"/>
          <w:szCs w:val="20"/>
        </w:rPr>
        <w:t xml:space="preserve">Patient monitoring schedule requirements</w:t>
      </w:r>
    </w:p>
    <w:p>
      <w:pPr>
        <w:pStyle w:val="ListParagraph"/>
        <w:numPr>
          <w:ilvl w:val="0"/>
          <w:numId w:val="2"/>
        </w:numPr>
        <w:spacing w:before="60" w:after="60"/>
      </w:pPr>
      <w:r>
        <w:rPr>
          <w:rFonts w:ascii="Arial" w:cs="Arial" w:eastAsia="Arial" w:hAnsi="Arial"/>
          <w:b w:val="false"/>
          <w:bCs w:val="false"/>
          <w:sz w:val="20"/>
          <w:szCs w:val="20"/>
        </w:rPr>
        <w:t xml:space="preserve">Required patient counseling prior to initiation and during treatment</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2.1.2 HCP Reference Materials</w:t>
      </w:r>
    </w:p>
    <w:p>
      <w:pPr>
        <w:spacing w:before="80" w:after="80"/>
        <w:jc w:val="left"/>
      </w:pPr>
      <w:r>
        <w:rPr>
          <w:rFonts w:ascii="Arial" w:cs="Arial" w:eastAsia="Arial" w:hAnsi="Arial"/>
          <w:b w:val="false"/>
          <w:bCs w:val="false"/>
          <w:i w:val="false"/>
          <w:iCs w:val="false"/>
          <w:color w:val="000000"/>
          <w:sz w:val="20"/>
          <w:szCs w:val="20"/>
        </w:rPr>
        <w:t xml:space="preserve">Zymera Biosciences shall provide the following materials to all CERVIMAB-prescribing HCPs: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4160"/>
        <w:gridCol w:w="2000"/>
      </w:tblGrid>
      <w:tr>
        <w:tc>
          <w:tcPr>
            <w:tcW w:type="dxa" w:w="3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Material</w:t>
            </w:r>
          </w:p>
        </w:tc>
        <w:tc>
          <w:tcPr>
            <w:tcW w:type="dxa" w:w="4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Content Summary</w:t>
            </w:r>
          </w:p>
        </w:tc>
        <w:tc>
          <w:tcPr>
            <w:tcW w:type="dxa" w:w="20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Format</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HCP Communication Letter</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Summary of serious risks; management guidance; when to permanently discontinue</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PDF / Direct Mail</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Immune-Mediated Reaction Management Guide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Organ-system-specific algorithms for managing irAEs; CTCAE grading reference; corticosteroid dosing table</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Laminated Quick Reference Card + PDF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Infusion Reaction Response Protocol</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Step-by-step protocol for recognizing and managing infusion reactions Grade 1–4; anaphylaxis algorithm</w:t>
            </w:r>
          </w:p>
        </w:tc>
        <w:tc>
          <w:tcPr>
            <w:tcW w:type="dxa" w:w="20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Wall Chart + PDF</w:t>
            </w:r>
          </w:p>
        </w:tc>
      </w:tr>
      <w:tr>
        <w:tc>
          <w:tcPr>
            <w:tcW w:type="dxa" w:w="3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Lab Monitoring Algorithm</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and on-treatment monitoring schedule (LFTs, thyroid, creatinine, ACTH, glucose, CBC, troponin)</w:t>
            </w:r>
          </w:p>
        </w:tc>
        <w:tc>
          <w:tcPr>
            <w:tcW w:type="dxa" w:w="2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PDF</w:t>
            </w:r>
          </w:p>
        </w:tc>
      </w:tr>
    </w:tbl>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2.2 Patient Education and Communication</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2.2.1 Medication Guide</w:t>
      </w:r>
    </w:p>
    <w:p>
      <w:pPr>
        <w:spacing w:before="80" w:after="80"/>
        <w:jc w:val="left"/>
      </w:pPr>
      <w:r>
        <w:rPr>
          <w:rFonts w:ascii="Arial" w:cs="Arial" w:eastAsia="Arial" w:hAnsi="Arial"/>
          <w:b w:val="false"/>
          <w:bCs w:val="false"/>
          <w:i w:val="false"/>
          <w:iCs w:val="false"/>
          <w:color w:val="000000"/>
          <w:sz w:val="20"/>
          <w:szCs w:val="20"/>
        </w:rPr>
        <w:t xml:space="preserve">A Medication Guide (MedGuide) approved under 21 CFR Part 208 must be dispensed with each dispensing of CERVIMAB. The MedGuide will include:</w:t>
      </w:r>
    </w:p>
    <w:p>
      <w:pPr>
        <w:pStyle w:val="ListParagraph"/>
        <w:numPr>
          <w:ilvl w:val="0"/>
          <w:numId w:val="2"/>
        </w:numPr>
        <w:spacing w:before="60" w:after="60"/>
      </w:pPr>
      <w:r>
        <w:rPr>
          <w:rFonts w:ascii="Arial" w:cs="Arial" w:eastAsia="Arial" w:hAnsi="Arial"/>
          <w:b w:val="false"/>
          <w:bCs w:val="false"/>
          <w:sz w:val="20"/>
          <w:szCs w:val="20"/>
        </w:rPr>
        <w:t xml:space="preserve">Description of serious immune-mediated adverse reactions with symptoms requiring immediate medical attention</w:t>
      </w:r>
    </w:p>
    <w:p>
      <w:pPr>
        <w:pStyle w:val="ListParagraph"/>
        <w:numPr>
          <w:ilvl w:val="0"/>
          <w:numId w:val="2"/>
        </w:numPr>
        <w:spacing w:before="60" w:after="60"/>
      </w:pPr>
      <w:r>
        <w:rPr>
          <w:rFonts w:ascii="Arial" w:cs="Arial" w:eastAsia="Arial" w:hAnsi="Arial"/>
          <w:b w:val="false"/>
          <w:bCs w:val="false"/>
          <w:sz w:val="20"/>
          <w:szCs w:val="20"/>
        </w:rPr>
        <w:t xml:space="preserve">Description of infusion-related reaction symptoms</w:t>
      </w:r>
    </w:p>
    <w:p>
      <w:pPr>
        <w:pStyle w:val="ListParagraph"/>
        <w:numPr>
          <w:ilvl w:val="0"/>
          <w:numId w:val="2"/>
        </w:numPr>
        <w:spacing w:before="60" w:after="60"/>
      </w:pPr>
      <w:r>
        <w:rPr>
          <w:rFonts w:ascii="Arial" w:cs="Arial" w:eastAsia="Arial" w:hAnsi="Arial"/>
          <w:b w:val="false"/>
          <w:bCs w:val="false"/>
          <w:sz w:val="20"/>
          <w:szCs w:val="20"/>
        </w:rPr>
        <w:t xml:space="preserve">Instructions to avoid immunosuppressants unless specifically prescribed for immune-related AEs</w:t>
      </w:r>
    </w:p>
    <w:p>
      <w:pPr>
        <w:pStyle w:val="ListParagraph"/>
        <w:numPr>
          <w:ilvl w:val="0"/>
          <w:numId w:val="2"/>
        </w:numPr>
        <w:spacing w:before="60" w:after="60"/>
      </w:pPr>
      <w:r>
        <w:rPr>
          <w:rFonts w:ascii="Arial" w:cs="Arial" w:eastAsia="Arial" w:hAnsi="Arial"/>
          <w:b w:val="false"/>
          <w:bCs w:val="false"/>
          <w:sz w:val="20"/>
          <w:szCs w:val="20"/>
        </w:rPr>
        <w:t xml:space="preserve">Guidance on contraception requirements and embryo-fetal toxicity</w:t>
      </w:r>
    </w:p>
    <w:p>
      <w:pPr>
        <w:pStyle w:val="ListParagraph"/>
        <w:numPr>
          <w:ilvl w:val="0"/>
          <w:numId w:val="2"/>
        </w:numPr>
        <w:spacing w:before="60" w:after="60"/>
      </w:pPr>
      <w:r>
        <w:rPr>
          <w:rFonts w:ascii="Arial" w:cs="Arial" w:eastAsia="Arial" w:hAnsi="Arial"/>
          <w:b w:val="false"/>
          <w:bCs w:val="false"/>
          <w:sz w:val="20"/>
          <w:szCs w:val="20"/>
        </w:rPr>
        <w:t xml:space="preserve">Instructions to inform all treating healthcare providers about CERVIMAB use, including dentists and surgeons</w:t>
      </w:r>
    </w:p>
    <w:p>
      <w:pPr>
        <w:pStyle w:val="ListParagraph"/>
        <w:numPr>
          <w:ilvl w:val="0"/>
          <w:numId w:val="2"/>
        </w:numPr>
        <w:spacing w:before="60" w:after="60"/>
      </w:pPr>
      <w:r>
        <w:rPr>
          <w:rFonts w:ascii="Arial" w:cs="Arial" w:eastAsia="Arial" w:hAnsi="Arial"/>
          <w:b w:val="false"/>
          <w:bCs w:val="false"/>
          <w:sz w:val="20"/>
          <w:szCs w:val="20"/>
        </w:rPr>
        <w:t xml:space="preserve">Contact information for reporting adverse events to Zymera Biosciences and to FDA MedWatch</w:t>
      </w:r>
    </w:p>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2.2.2 Patient Alert Card</w:t>
      </w:r>
    </w:p>
    <w:p>
      <w:pPr>
        <w:spacing w:before="80" w:after="80"/>
        <w:jc w:val="left"/>
      </w:pPr>
      <w:r>
        <w:rPr>
          <w:rFonts w:ascii="Arial" w:cs="Arial" w:eastAsia="Arial" w:hAnsi="Arial"/>
          <w:b w:val="false"/>
          <w:bCs w:val="false"/>
          <w:i w:val="false"/>
          <w:iCs w:val="false"/>
          <w:color w:val="000000"/>
          <w:sz w:val="20"/>
          <w:szCs w:val="20"/>
        </w:rPr>
        <w:t xml:space="preserve">A Patient Alert Card (wallet card) shall be provided to each patient at the first infusion and at each subsequent cycle. The card shall include:</w:t>
      </w:r>
    </w:p>
    <w:p>
      <w:pPr>
        <w:pStyle w:val="ListParagraph"/>
        <w:numPr>
          <w:ilvl w:val="0"/>
          <w:numId w:val="2"/>
        </w:numPr>
        <w:spacing w:before="60" w:after="60"/>
      </w:pPr>
      <w:r>
        <w:rPr>
          <w:rFonts w:ascii="Arial" w:cs="Arial" w:eastAsia="Arial" w:hAnsi="Arial"/>
          <w:b w:val="false"/>
          <w:bCs w:val="false"/>
          <w:sz w:val="20"/>
          <w:szCs w:val="20"/>
        </w:rPr>
        <w:t xml:space="preserve">Patient name and treating oncologist contact information</w:t>
      </w:r>
    </w:p>
    <w:p>
      <w:pPr>
        <w:pStyle w:val="ListParagraph"/>
        <w:numPr>
          <w:ilvl w:val="0"/>
          <w:numId w:val="2"/>
        </w:numPr>
        <w:spacing w:before="60" w:after="60"/>
      </w:pPr>
      <w:r>
        <w:rPr>
          <w:rFonts w:ascii="Arial" w:cs="Arial" w:eastAsia="Arial" w:hAnsi="Arial"/>
          <w:b w:val="false"/>
          <w:bCs w:val="false"/>
          <w:sz w:val="20"/>
          <w:szCs w:val="20"/>
        </w:rPr>
        <w:t xml:space="preserve">Drug name (CERVIMAB) and indication that patient is receiving a PD-1 inhibitor</w:t>
      </w:r>
    </w:p>
    <w:p>
      <w:pPr>
        <w:pStyle w:val="ListParagraph"/>
        <w:numPr>
          <w:ilvl w:val="0"/>
          <w:numId w:val="2"/>
        </w:numPr>
        <w:spacing w:before="60" w:after="60"/>
      </w:pPr>
      <w:r>
        <w:rPr>
          <w:rFonts w:ascii="Arial" w:cs="Arial" w:eastAsia="Arial" w:hAnsi="Arial"/>
          <w:b w:val="false"/>
          <w:bCs w:val="false"/>
          <w:sz w:val="20"/>
          <w:szCs w:val="20"/>
        </w:rPr>
        <w:t xml:space="preserve">Abbreviated list of immune-mediated reaction symptoms requiring emergency medical attention</w:t>
      </w:r>
    </w:p>
    <w:p>
      <w:pPr>
        <w:pStyle w:val="ListParagraph"/>
        <w:numPr>
          <w:ilvl w:val="0"/>
          <w:numId w:val="2"/>
        </w:numPr>
        <w:spacing w:before="60" w:after="60"/>
      </w:pPr>
      <w:r>
        <w:rPr>
          <w:rFonts w:ascii="Arial" w:cs="Arial" w:eastAsia="Arial" w:hAnsi="Arial"/>
          <w:b w:val="false"/>
          <w:bCs w:val="false"/>
          <w:sz w:val="20"/>
          <w:szCs w:val="20"/>
        </w:rPr>
        <w:t xml:space="preserve">Instructions for emergency/urgent care providers to contact the treating oncologist before administering corticosteroids or immunosuppressants</w:t>
      </w:r>
    </w:p>
    <w:p>
      <w:pPr>
        <w:pStyle w:val="ListParagraph"/>
        <w:numPr>
          <w:ilvl w:val="0"/>
          <w:numId w:val="2"/>
        </w:numPr>
        <w:spacing w:before="60" w:after="60"/>
      </w:pPr>
      <w:r>
        <w:rPr>
          <w:rFonts w:ascii="Arial" w:cs="Arial" w:eastAsia="Arial" w:hAnsi="Arial"/>
          <w:b w:val="false"/>
          <w:bCs w:val="false"/>
          <w:sz w:val="20"/>
          <w:szCs w:val="20"/>
        </w:rPr>
        <w:t xml:space="preserve">CERVIMAB REMS hotline number: 1-800-XXX-XXXX</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2.3 Infusion Center/Dispensing Requirements</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3"/>
        <w:spacing w:before="280" w:after="120"/>
      </w:pPr>
      <w:r>
        <w:rPr>
          <w:rFonts w:ascii="Arial" w:cs="Arial" w:eastAsia="Arial" w:hAnsi="Arial"/>
          <w:b/>
          <w:bCs/>
          <w:color w:val="444444"/>
          <w:sz w:val="22"/>
          <w:szCs w:val="22"/>
        </w:rPr>
        <w:t xml:space="preserve">2.3.1 Certified Healthcare Setting Requirements</w:t>
      </w:r>
    </w:p>
    <w:p>
      <w:pPr>
        <w:spacing w:before="80" w:after="80"/>
        <w:jc w:val="left"/>
      </w:pPr>
      <w:r>
        <w:rPr>
          <w:rFonts w:ascii="Arial" w:cs="Arial" w:eastAsia="Arial" w:hAnsi="Arial"/>
          <w:b w:val="false"/>
          <w:bCs w:val="false"/>
          <w:i w:val="false"/>
          <w:iCs w:val="false"/>
          <w:color w:val="000000"/>
          <w:sz w:val="20"/>
          <w:szCs w:val="20"/>
        </w:rPr>
        <w:t xml:space="preserve">CERVIMAB must be administered only in healthcare settings (hospitals, clinics, infusion centers) that are certified in the CERVIMAB REMS program. To become certified, the healthcare setting must:</w:t>
      </w:r>
    </w:p>
    <w:p>
      <w:pPr>
        <w:pStyle w:val="ListParagraph"/>
        <w:numPr>
          <w:ilvl w:val="0"/>
          <w:numId w:val="2"/>
        </w:numPr>
        <w:spacing w:before="60" w:after="60"/>
      </w:pPr>
      <w:r>
        <w:rPr>
          <w:rFonts w:ascii="Arial" w:cs="Arial" w:eastAsia="Arial" w:hAnsi="Arial"/>
          <w:b w:val="false"/>
          <w:bCs w:val="false"/>
          <w:sz w:val="20"/>
          <w:szCs w:val="20"/>
        </w:rPr>
        <w:t xml:space="preserve">Ensure all prescribers of CERVIMAB have completed the HCP Education Program</w:t>
      </w:r>
    </w:p>
    <w:p>
      <w:pPr>
        <w:pStyle w:val="ListParagraph"/>
        <w:numPr>
          <w:ilvl w:val="0"/>
          <w:numId w:val="2"/>
        </w:numPr>
        <w:spacing w:before="60" w:after="60"/>
      </w:pPr>
      <w:r>
        <w:rPr>
          <w:rFonts w:ascii="Arial" w:cs="Arial" w:eastAsia="Arial" w:hAnsi="Arial"/>
          <w:b w:val="false"/>
          <w:bCs w:val="false"/>
          <w:sz w:val="20"/>
          <w:szCs w:val="20"/>
        </w:rPr>
        <w:t xml:space="preserve">Demonstrate capacity to manage anaphylaxis and severe infusion reactions (resuscitative equipment, epinephrine availability)</w:t>
      </w:r>
    </w:p>
    <w:p>
      <w:pPr>
        <w:pStyle w:val="ListParagraph"/>
        <w:numPr>
          <w:ilvl w:val="0"/>
          <w:numId w:val="2"/>
        </w:numPr>
        <w:spacing w:before="60" w:after="60"/>
      </w:pPr>
      <w:r>
        <w:rPr>
          <w:rFonts w:ascii="Arial" w:cs="Arial" w:eastAsia="Arial" w:hAnsi="Arial"/>
          <w:b w:val="false"/>
          <w:bCs w:val="false"/>
          <w:sz w:val="20"/>
          <w:szCs w:val="20"/>
        </w:rPr>
        <w:t xml:space="preserve">Maintain emergency protocols and resources for immediate management of anaphylaxis during and after infusion</w:t>
      </w:r>
    </w:p>
    <w:p>
      <w:pPr>
        <w:pStyle w:val="ListParagraph"/>
        <w:numPr>
          <w:ilvl w:val="0"/>
          <w:numId w:val="2"/>
        </w:numPr>
        <w:spacing w:before="60" w:after="60"/>
      </w:pPr>
      <w:r>
        <w:rPr>
          <w:rFonts w:ascii="Arial" w:cs="Arial" w:eastAsia="Arial" w:hAnsi="Arial"/>
          <w:b w:val="false"/>
          <w:bCs w:val="false"/>
          <w:sz w:val="20"/>
          <w:szCs w:val="20"/>
        </w:rPr>
        <w:t xml:space="preserve">Ensure compliance with post-infusion observation period of ≥60 minutes after each dose</w:t>
      </w:r>
    </w:p>
    <w:p>
      <w:pPr>
        <w:pStyle w:val="ListParagraph"/>
        <w:numPr>
          <w:ilvl w:val="0"/>
          <w:numId w:val="2"/>
        </w:numPr>
        <w:spacing w:before="60" w:after="60"/>
      </w:pPr>
      <w:r>
        <w:rPr>
          <w:rFonts w:ascii="Arial" w:cs="Arial" w:eastAsia="Arial" w:hAnsi="Arial"/>
          <w:b w:val="false"/>
          <w:bCs w:val="false"/>
          <w:sz w:val="20"/>
          <w:szCs w:val="20"/>
        </w:rPr>
        <w:t xml:space="preserve">Maintain records of patient Medication Guide distribution and Patient Alert Card distribution per infusion cycle</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80"/>
        </w:tblCellMar>
      </w:tblPr>
      <w:tblGrid>
        <w:gridCol w:w="9360"/>
      </w:tblGrid>
      <w:tr>
        <w:tc>
          <w:tcPr>
            <w:tcBorders>
              <w:top w:val="none" w:color="FFFFFF" w:sz="0"/>
              <w:left w:val="none" w:color="FFFFFF" w:sz="0"/>
              <w:bottom w:val="none" w:color="FFFFFF" w:sz="0"/>
              <w:right w:val="none" w:color="FFFFFF" w:sz="0"/>
            </w:tcBorders>
            <w:shd w:fill="2E5DA0" w:val="clear"/>
            <w:tcMar>
              <w:top w:type="dxa" w:w="100"/>
              <w:left w:type="dxa" w:w="200"/>
              <w:bottom w:type="dxa" w:w="100"/>
              <w:right w:type="dxa" w:w="200"/>
            </w:tcMar>
          </w:tcPr>
          <w:p>
            <w:pPr>
              <w:jc w:val="left"/>
            </w:pPr>
            <w:r>
              <w:rPr>
                <w:rFonts w:ascii="Arial" w:cs="Arial" w:eastAsia="Arial" w:hAnsi="Arial"/>
                <w:b/>
                <w:bCs/>
                <w:color w:val="FFFFFF"/>
                <w:sz w:val="26"/>
                <w:szCs w:val="26"/>
              </w:rPr>
              <w:t xml:space="preserve">2.4 Safe Use Conditions — Prescriber Checklist</w:t>
            </w:r>
          </w:p>
        </w:tc>
      </w:tr>
    </w:tbl>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val="false"/>
          <w:iCs w:val="false"/>
          <w:color w:val="000000"/>
          <w:sz w:val="20"/>
          <w:szCs w:val="20"/>
        </w:rPr>
        <w:t xml:space="preserve">Prior to each treatment cycle, the prescribing HCP must complete and document a CERVIMAB Pre-Treatment Assessment Checklist:</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7520"/>
        <w:gridCol w:w="1200"/>
      </w:tblGrid>
      <w:tr>
        <w:tc>
          <w:tcPr>
            <w:tcW w:type="dxa" w:w="64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t>
            </w:r>
          </w:p>
        </w:tc>
        <w:tc>
          <w:tcPr>
            <w:tcW w:type="dxa" w:w="752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Pre-Treatment Assessment Item</w:t>
            </w:r>
          </w:p>
        </w:tc>
        <w:tc>
          <w:tcPr>
            <w:tcW w:type="dxa" w:w="1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Confirmed (Y/N)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dMMR or MSI-H status confirmed by FDA-approved test</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LFTs, creatinine, thyroid function (TSH/Free T4), ACTH, fasting glucose, CBC, and troponin documented within 4 weeks of initiation</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Patient has reviewed and received the Medication Guide and Patient Alert Card</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Patient counseled on immune-mediated adverse reactions and infusion-related reactions and when to seek immediate medical care</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Patient is not pregnant; female patients of reproductive potential have been counseled on contraception requirements</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of prior and concurrent immunosuppressant use; corticosteroids or systemic immunosuppressants for non-CERVIMAB-related conditions identified and documented</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7</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Patient has no history of active autoimmune disease requiring systemic treatment, or history has been reviewed and discussed with appropriate specialist</w:t>
            </w:r>
          </w:p>
        </w:tc>
        <w:tc>
          <w:tcPr>
            <w:tcW w:type="dxa" w:w="12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w:t>
            </w:r>
          </w:p>
        </w:tc>
      </w:tr>
      <w:tr>
        <w:tc>
          <w:tcPr>
            <w:tcW w:type="dxa" w:w="64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8</w:t>
            </w:r>
          </w:p>
        </w:tc>
        <w:tc>
          <w:tcPr>
            <w:tcW w:type="dxa" w:w="752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History of organ transplant or allogeneic HSCT noted; risks discussed with transplant specialist</w:t>
            </w:r>
          </w:p>
        </w:tc>
        <w:tc>
          <w:tcPr>
            <w:tcW w:type="dxa" w:w="1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 Y  ☐ N  ☐ N/A</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3. Monitoring Requirements</w:t>
      </w:r>
    </w:p>
    <w:p>
      <w:pPr>
        <w:spacing w:before="80" w:after="80"/>
        <w:jc w:val="left"/>
      </w:pPr>
      <w:r>
        <w:rPr>
          <w:rFonts w:ascii="Arial" w:cs="Arial" w:eastAsia="Arial" w:hAnsi="Arial"/>
          <w:b w:val="false"/>
          <w:bCs w:val="false"/>
          <w:i w:val="false"/>
          <w:iCs w:val="false"/>
          <w:color w:val="000000"/>
          <w:sz w:val="20"/>
          <w:szCs w:val="20"/>
        </w:rPr>
        <w:t xml:space="preserve">HCPs should monitor patients as follows:</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Parameter</w:t>
            </w:r>
          </w:p>
        </w:tc>
        <w:tc>
          <w:tcPr>
            <w:tcW w:type="dxa" w:w="36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Timing</w:t>
            </w:r>
          </w:p>
        </w:tc>
        <w:tc>
          <w:tcPr>
            <w:tcW w:type="dxa" w:w="348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Action if Abnormal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LFTs (AST, ALT, Total Bilirubin, Alkaline Phosphatase)</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before each dose; clinically as needed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Grade ≥2 elevation: withhold CERVIMAB; initiate workup; consider steroids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Serum Creatinine / eGFR</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before each dose</w:t>
            </w:r>
          </w:p>
        </w:tc>
        <w:tc>
          <w:tcPr>
            <w:tcW w:type="dxa" w:w="34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Grade ≥2: withhold CERVIMAB; nephrology consult; consider steroids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TSH, Free T4</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every 3 cycles (approx. 18 weeks); clinically as needed</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Hypothyroidism: initiate thyroid hormone replacement. Hyperthyroidism: endocrinology consult; consider steroids for Grade ≥3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ACTH, Cortisol (AM)</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if symptoms of adrenal insufficiency develop</w:t>
            </w:r>
          </w:p>
        </w:tc>
        <w:tc>
          <w:tcPr>
            <w:tcW w:type="dxa" w:w="34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Grade ≥2 adrenal insufficiency: withhold CERVIMAB; physiologic steroid replacement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Fasting Glucose / HbA1c</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every 3 cycles</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Grade ≥3 hyperglycemia: withhold CERVIMAB; initiate insulin therapy; endocrinology consult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Troponin I or T</w:t>
            </w:r>
          </w:p>
        </w:tc>
        <w:tc>
          <w:tcPr>
            <w:tcW w:type="dxa" w:w="36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Baseline; if cardiac symptoms develop</w:t>
            </w:r>
          </w:p>
        </w:tc>
        <w:tc>
          <w:tcPr>
            <w:tcW w:type="dxa" w:w="348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Any elevation with symptoms: urgent cardiac evaluation; permanently discontinue CERVIMAB if myocarditis confirmed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Chest imaging (CT or X-ray)</w:t>
            </w:r>
          </w:p>
        </w:tc>
        <w:tc>
          <w:tcPr>
            <w:tcW w:type="dxa" w:w="36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If respiratory symptoms develop (cough, dyspnea)</w:t>
            </w:r>
          </w:p>
        </w:tc>
        <w:tc>
          <w:tcPr>
            <w:tcW w:type="dxa" w:w="348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Grade ≥2 pneumonitis: withhold CERVIMAB; pulmonology consult; systemic corticosteroids</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4. REMS Assessment Plan</w:t>
      </w:r>
    </w:p>
    <w:p>
      <w:pPr>
        <w:spacing w:before="80" w:after="80"/>
        <w:jc w:val="left"/>
      </w:pPr>
      <w:r>
        <w:rPr>
          <w:rFonts w:ascii="Arial" w:cs="Arial" w:eastAsia="Arial" w:hAnsi="Arial"/>
          <w:b w:val="false"/>
          <w:bCs w:val="false"/>
          <w:i w:val="false"/>
          <w:iCs w:val="false"/>
          <w:color w:val="000000"/>
          <w:sz w:val="20"/>
          <w:szCs w:val="20"/>
        </w:rPr>
        <w:t xml:space="preserve">Zymera Biosciences shall evaluate the effectiveness of the CERVIMAB REMS program at the following intervals post-approval. Assessment findings shall be submitted to FDA as part of the annual REMS submission.</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Timepoint</w:t>
            </w:r>
          </w:p>
        </w:tc>
        <w:tc>
          <w:tcPr>
            <w:tcW w:type="dxa" w:w="51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Assessment Activity</w:t>
            </w:r>
          </w:p>
        </w:tc>
        <w:tc>
          <w:tcPr>
            <w:tcW w:type="dxa" w:w="28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Target Metric</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 Months Post-Approval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Survey of certified HCPs assessing knowledge of immune-mediated adverse reactions and management protocols</w:t>
            </w:r>
          </w:p>
        </w:tc>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≥80% correct response rate on key safety knowledge items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 Months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Audit of Medication Guide and Patient Alert Card distribution rates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≥95% dispensing compliance</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18 Months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Analysis of serious immune-mediated AE reporting rates from pharmacovigilance database vs. clinical trial rates</w:t>
            </w:r>
          </w:p>
        </w:tc>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No unexpected increase in SAE frequency or severity</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 Years Post-Approval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Follow-up HCP knowledge and behavior survey; repeat Medication Guide audit; updated pharmacovigilance analysis</w:t>
            </w:r>
          </w:p>
        </w:tc>
        <w:tc>
          <w:tcPr>
            <w:tcW w:type="dxa" w:w="28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Sustained ≥80% knowledge compliance; identification of any new safety signals</w:t>
            </w:r>
          </w:p>
        </w:tc>
      </w:tr>
      <w:tr>
        <w:tc>
          <w:tcPr>
            <w:tcW w:type="dxa" w:w="1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Years Post-Approval</w:t>
            </w:r>
          </w:p>
        </w:tc>
        <w:tc>
          <w:tcPr>
            <w:tcW w:type="dxa" w:w="5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Comprehensive REMS review: evaluation of ongoing need for REMS vs. label-only risk minimization based on accumulated PV data, HCP survey data, and PMR outcomes</w:t>
            </w:r>
          </w:p>
        </w:tc>
        <w:tc>
          <w:tcPr>
            <w:tcW w:type="dxa" w:w="28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Decision: continue, modify, or withdraw REMS based on benefit-risk profile</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5. REMS Responsibilities</w:t>
      </w:r>
    </w:p>
    <w:p>
      <w:pPr>
        <w:spacing w:before="80" w:after="80"/>
        <w:jc w:val="left"/>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Party</w:t>
            </w:r>
          </w:p>
        </w:tc>
        <w:tc>
          <w:tcPr>
            <w:tcW w:type="dxa" w:w="360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Responsibility</w:t>
            </w:r>
          </w:p>
        </w:tc>
        <w:tc>
          <w:tcPr>
            <w:tcW w:type="dxa" w:w="3560"/>
            <w:tcBorders>
              <w:top w:val="single" w:color="BBBBBB" w:sz="1"/>
              <w:left w:val="single" w:color="BBBBBB" w:sz="1"/>
              <w:bottom w:val="single" w:color="BBBBBB" w:sz="1"/>
              <w:right w:val="single" w:color="BBBBBB" w:sz="1"/>
            </w:tcBorders>
            <w:shd w:fill="1F3864"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Zymera Biosciences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Develop and maintain REMS training portal; distribute REMS materials; maintain certified HCP and site registry; conduct annual REMS assessments; submit annual REMS reports to FDA</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Prior to first marketing; ongoing annual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Prescribing HCPs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HCP Training Program before first prescription; ensure patients receive Medication Guide and Patient Alert Card at each visit; complete Pre-Treatment Checklist; document irAE management</w:t>
            </w:r>
          </w:p>
        </w:tc>
        <w:tc>
          <w:tcPr>
            <w:tcW w:type="dxa" w:w="3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Before prescribing; each patient interaction</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Infusion Centers / Pharmacies</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 site certification; maintain resuscitative capacity; distribute Medication Guide with each dispensing; report compliance to Zymera</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Before site activation; per dose dispensed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Patients</w:t>
            </w:r>
          </w:p>
        </w:tc>
        <w:tc>
          <w:tcPr>
            <w:tcW w:type="dxa" w:w="360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Read Medication Guide; carry Patient Alert Card; report symptoms promptly to HCP or emergency services; attend all scheduled monitoring visits</w:t>
            </w:r>
          </w:p>
        </w:tc>
        <w:tc>
          <w:tcPr>
            <w:tcW w:type="dxa" w:w="3560"/>
            <w:tcBorders>
              <w:top w:val="single" w:color="BBBBBB" w:sz="1"/>
              <w:left w:val="single" w:color="BBBBBB" w:sz="1"/>
              <w:bottom w:val="single" w:color="BBBBBB" w:sz="1"/>
              <w:right w:val="single" w:color="BBBBBB" w:sz="1"/>
            </w:tcBorders>
            <w:shd w:fill="F5F5F5"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Ongoing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FDA (CDER)</w:t>
            </w:r>
          </w:p>
        </w:tc>
        <w:tc>
          <w:tcPr>
            <w:tcW w:type="dxa" w:w="36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 annual REMS assessments; request REMS modifications as needed; may require REMS modifications if new safety signals emerge from post-marketing surveillance</w:t>
            </w:r>
          </w:p>
        </w:tc>
        <w:tc>
          <w:tcPr>
            <w:tcW w:type="dxa" w:w="35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Annual review; as needed</w:t>
            </w:r>
          </w:p>
        </w:tc>
      </w:tr>
    </w:tbl>
    <w:p>
      <w:pPr>
        <w:spacing w:before="80" w:after="80"/>
        <w:jc w:val="left"/>
      </w:pPr>
      <w:r>
        <w:rPr>
          <w:rFonts w:ascii="Arial" w:cs="Arial" w:eastAsia="Arial" w:hAnsi="Arial"/>
          <w:b w:val="false"/>
          <w:bCs w:val="false"/>
          <w:i w:val="false"/>
          <w:iCs w:val="false"/>
          <w:color w:val="000000"/>
          <w:sz w:val="20"/>
          <w:szCs w:val="20"/>
        </w:rPr>
        <w:t xml:space="preserve"/>
      </w:r>
    </w:p>
    <w:p>
      <w:pPr>
        <w:pStyle w:val="Heading2"/>
        <w:spacing w:before="280" w:after="120"/>
      </w:pPr>
      <w:r>
        <w:rPr>
          <w:rFonts w:ascii="Arial" w:cs="Arial" w:eastAsia="Arial" w:hAnsi="Arial"/>
          <w:b/>
          <w:bCs/>
          <w:color w:val="2E5DA0"/>
          <w:sz w:val="24"/>
          <w:szCs w:val="24"/>
        </w:rPr>
        <w:t xml:space="preserve">6. Supporting Information</w:t>
      </w:r>
    </w:p>
    <w:p>
      <w:pPr>
        <w:pStyle w:val="ListParagraph"/>
        <w:numPr>
          <w:ilvl w:val="0"/>
          <w:numId w:val="2"/>
        </w:numPr>
        <w:spacing w:before="60" w:after="60"/>
      </w:pPr>
      <w:r>
        <w:rPr>
          <w:rFonts w:ascii="Arial" w:cs="Arial" w:eastAsia="Arial" w:hAnsi="Arial"/>
          <w:b w:val="false"/>
          <w:bCs w:val="false"/>
          <w:sz w:val="20"/>
          <w:szCs w:val="20"/>
        </w:rPr>
        <w:t xml:space="preserve">CERVIMAB USPI (Prescribing Information) — [Reference NDA 761-XXX Labeling]</w:t>
      </w:r>
    </w:p>
    <w:p>
      <w:pPr>
        <w:pStyle w:val="ListParagraph"/>
        <w:numPr>
          <w:ilvl w:val="0"/>
          <w:numId w:val="2"/>
        </w:numPr>
        <w:spacing w:before="60" w:after="60"/>
      </w:pPr>
      <w:r>
        <w:rPr>
          <w:rFonts w:ascii="Arial" w:cs="Arial" w:eastAsia="Arial" w:hAnsi="Arial"/>
          <w:b w:val="false"/>
          <w:bCs w:val="false"/>
          <w:sz w:val="20"/>
          <w:szCs w:val="20"/>
        </w:rPr>
        <w:t xml:space="preserve">FDA Guidance for Industry: Format and Content of Proposed Risk Evaluation and Mitigation Strategies (REMS), REMS Assessments, and Proposed REMS Modifications (2009)</w:t>
      </w:r>
    </w:p>
    <w:p>
      <w:pPr>
        <w:pStyle w:val="ListParagraph"/>
        <w:numPr>
          <w:ilvl w:val="0"/>
          <w:numId w:val="2"/>
        </w:numPr>
        <w:spacing w:before="60" w:after="60"/>
      </w:pPr>
      <w:r>
        <w:rPr>
          <w:rFonts w:ascii="Arial" w:cs="Arial" w:eastAsia="Arial" w:hAnsi="Arial"/>
          <w:b w:val="false"/>
          <w:bCs w:val="false"/>
          <w:sz w:val="20"/>
          <w:szCs w:val="20"/>
        </w:rPr>
        <w:t xml:space="preserve">FDA Guidance for Industry: Risk Evaluation and Mitigation Strategies — Modifications and Revisions (2015)</w:t>
      </w:r>
    </w:p>
    <w:p>
      <w:pPr>
        <w:pStyle w:val="ListParagraph"/>
        <w:numPr>
          <w:ilvl w:val="0"/>
          <w:numId w:val="2"/>
        </w:numPr>
        <w:spacing w:before="60" w:after="60"/>
      </w:pPr>
      <w:r>
        <w:rPr>
          <w:rFonts w:ascii="Arial" w:cs="Arial" w:eastAsia="Arial" w:hAnsi="Arial"/>
          <w:b w:val="false"/>
          <w:bCs w:val="false"/>
          <w:sz w:val="20"/>
          <w:szCs w:val="20"/>
        </w:rPr>
        <w:t xml:space="preserve">FDA Guidance for Industry: Medication Guides — Distribution Requirements and Inclusion in Risk Evaluation and Mitigation Strategies (REMS) (2011)</w:t>
      </w:r>
    </w:p>
    <w:p>
      <w:pPr>
        <w:pStyle w:val="ListParagraph"/>
        <w:numPr>
          <w:ilvl w:val="0"/>
          <w:numId w:val="2"/>
        </w:numPr>
        <w:spacing w:before="60" w:after="60"/>
      </w:pPr>
      <w:r>
        <w:rPr>
          <w:rFonts w:ascii="Arial" w:cs="Arial" w:eastAsia="Arial" w:hAnsi="Arial"/>
          <w:b w:val="false"/>
          <w:bCs w:val="false"/>
          <w:sz w:val="20"/>
          <w:szCs w:val="20"/>
        </w:rPr>
        <w:t xml:space="preserve">CTCAE v5.0 — Common Terminology Criteria for Adverse Events, National Cancer Institute</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bCs/>
          <w:i w:val="false"/>
          <w:iCs w:val="false"/>
          <w:color w:val="000000"/>
          <w:sz w:val="20"/>
          <w:szCs w:val="20"/>
        </w:rPr>
        <w:t xml:space="preserve">Sponsor Contact for REMS Inquiries:</w:t>
      </w:r>
    </w:p>
    <w:p>
      <w:pPr>
        <w:spacing w:before="80" w:after="80"/>
        <w:jc w:val="left"/>
      </w:pPr>
      <w:r>
        <w:rPr>
          <w:rFonts w:ascii="Arial" w:cs="Arial" w:eastAsia="Arial" w:hAnsi="Arial"/>
          <w:b w:val="false"/>
          <w:bCs w:val="false"/>
          <w:i w:val="false"/>
          <w:iCs w:val="false"/>
          <w:color w:val="000000"/>
          <w:sz w:val="20"/>
          <w:szCs w:val="20"/>
        </w:rPr>
        <w:t xml:space="preserve">Zymera Biosciences, Inc. — Pharmacovigilance and REMS Operations</w:t>
      </w:r>
    </w:p>
    <w:p>
      <w:pPr>
        <w:spacing w:before="80" w:after="80"/>
        <w:jc w:val="left"/>
      </w:pPr>
      <w:r>
        <w:rPr>
          <w:rFonts w:ascii="Arial" w:cs="Arial" w:eastAsia="Arial" w:hAnsi="Arial"/>
          <w:b w:val="false"/>
          <w:bCs w:val="false"/>
          <w:i w:val="false"/>
          <w:iCs w:val="false"/>
          <w:color w:val="000000"/>
          <w:sz w:val="20"/>
          <w:szCs w:val="20"/>
        </w:rPr>
        <w:t xml:space="preserve">Email: cervimab-REMS@zymerabio.com | Phone: 1-800-XXX-XXXX | Fax: 1-800-XXX-XXXX</w:t>
      </w:r>
    </w:p>
    <w:p>
      <w:pPr>
        <w:spacing w:before="80" w:after="80"/>
        <w:jc w:val="left"/>
      </w:pPr>
      <w:r>
        <w:rPr>
          <w:rFonts w:ascii="Arial" w:cs="Arial" w:eastAsia="Arial" w:hAnsi="Arial"/>
          <w:b w:val="false"/>
          <w:bCs w:val="false"/>
          <w:i w:val="false"/>
          <w:iCs w:val="false"/>
          <w:color w:val="000000"/>
          <w:sz w:val="20"/>
          <w:szCs w:val="20"/>
        </w:rPr>
        <w:t xml:space="preserve">REMS Portal: www.cervimab-REMS.com</w:t>
      </w:r>
    </w:p>
    <w:p>
      <w:pPr>
        <w:spacing w:before="80" w:after="80"/>
        <w:jc w:val="left"/>
      </w:pPr>
      <w:r>
        <w:rPr>
          <w:rFonts w:ascii="Arial" w:cs="Arial" w:eastAsia="Arial" w:hAnsi="Arial"/>
          <w:b w:val="false"/>
          <w:bCs w:val="false"/>
          <w:i w:val="false"/>
          <w:iCs w:val="false"/>
          <w:color w:val="000000"/>
          <w:sz w:val="20"/>
          <w:szCs w:val="20"/>
        </w:rPr>
        <w:t xml:space="preserve"/>
      </w:r>
    </w:p>
    <w:p>
      <w:pPr>
        <w:spacing w:before="80" w:after="80"/>
        <w:jc w:val="left"/>
      </w:pPr>
      <w:r>
        <w:rPr>
          <w:rFonts w:ascii="Arial" w:cs="Arial" w:eastAsia="Arial" w:hAnsi="Arial"/>
          <w:b w:val="false"/>
          <w:bCs w:val="false"/>
          <w:i/>
          <w:iCs/>
          <w:color w:val="666666"/>
          <w:sz w:val="20"/>
          <w:szCs w:val="20"/>
        </w:rPr>
        <w:t xml:space="preserve">Document Version: 1.0 | Approval Date: [Date] | Next Scheduled Revision: 18 Months Post-Approval</w:t>
      </w:r>
    </w:p>
    <w:sectPr>
      <w:headerReference w:type="default" r:id="rId12"/>
      <w:footerReference w:type="default" r:id="rId13"/>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0" w:sz="4" w:space="1"/>
      </w:pBdr>
      <w:jc w:val="center"/>
    </w:pPr>
    <w:r>
      <w:rPr>
        <w:rFonts w:ascii="Arial" w:cs="Arial" w:eastAsia="Arial" w:hAnsi="Arial"/>
        <w:color w:val="666666"/>
        <w:sz w:val="16"/>
        <w:szCs w:val="16"/>
      </w:rPr>
      <w:t xml:space="preserve">NDA 761-XXX · CERVIMAB APPROVAL LETTER · CONFIDENTIAL  |  Page </w:t>
    </w:r>
    <w:pgNum/>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0" w:sz="4" w:space="1"/>
      </w:pBdr>
      <w:jc w:val="center"/>
    </w:pPr>
    <w:r>
      <w:rPr>
        <w:rFonts w:ascii="Arial" w:cs="Arial" w:eastAsia="Arial" w:hAnsi="Arial"/>
        <w:color w:val="666666"/>
        <w:sz w:val="16"/>
        <w:szCs w:val="16"/>
      </w:rPr>
      <w:t xml:space="preserve">CERVIMAB USPI · NDA 761-XXX · Zymera Biosciences, Inc.  |  Page </w:t>
    </w:r>
    <w:pgNum/>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DA0" w:sz="4" w:space="1"/>
      </w:pBdr>
      <w:jc w:val="center"/>
    </w:pPr>
    <w:r>
      <w:rPr>
        <w:rFonts w:ascii="Arial" w:cs="Arial" w:eastAsia="Arial" w:hAnsi="Arial"/>
        <w:color w:val="666666"/>
        <w:sz w:val="16"/>
        <w:szCs w:val="16"/>
      </w:rPr>
      <w:t xml:space="preserve">CERVIMAB PMR/PMC Schedule · NDA 761-XXX · Zymera Biosciences, Inc.  |  Page </w:t>
    </w:r>
    <w:pgNum/>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0000" w:sz="4" w:space="1"/>
      </w:pBdr>
      <w:jc w:val="center"/>
    </w:pPr>
    <w:r>
      <w:rPr>
        <w:rFonts w:ascii="Arial" w:cs="Arial" w:eastAsia="Arial" w:hAnsi="Arial"/>
        <w:color w:val="666666"/>
        <w:sz w:val="16"/>
        <w:szCs w:val="16"/>
      </w:rPr>
      <w:t xml:space="preserve">CERVIMAB REMS · NDA 761-XXX · Zymera Biosciences, Inc.  |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0" w:sz="4" w:space="1"/>
      </w:pBdr>
      <w:jc w:val="center"/>
    </w:pPr>
    <w:r>
      <w:rPr>
        <w:rFonts w:ascii="Arial" w:cs="Arial" w:eastAsia="Arial" w:hAnsi="Arial"/>
        <w:color w:val="666666"/>
        <w:sz w:val="16"/>
        <w:szCs w:val="16"/>
      </w:rPr>
      <w:t xml:space="preserve">DEPARTMENT OF HEALTH AND HUMAN SERVICES — FOOD AND DRUG ADMINISTRATION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0" w:sz="4" w:space="1"/>
      </w:pBdr>
      <w:jc w:val="center"/>
    </w:pPr>
    <w:r>
      <w:rPr>
        <w:rFonts w:ascii="Arial" w:cs="Arial" w:eastAsia="Arial" w:hAnsi="Arial"/>
        <w:color w:val="666666"/>
        <w:sz w:val="16"/>
        <w:szCs w:val="16"/>
      </w:rPr>
      <w:t xml:space="preserve">CERVIMAB® (anti-PD-1 monoclonal antibody) — UNITED STATES PRESCRIBING INFORMATION — NDA 761-XXX — FINAL APPROVED LABELING</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DA0" w:sz="4" w:space="1"/>
      </w:pBdr>
      <w:jc w:val="center"/>
    </w:pPr>
    <w:r>
      <w:rPr>
        <w:rFonts w:ascii="Arial" w:cs="Arial" w:eastAsia="Arial" w:hAnsi="Arial"/>
        <w:color w:val="666666"/>
        <w:sz w:val="16"/>
        <w:szCs w:val="16"/>
      </w:rPr>
      <w:t xml:space="preserve">CERVIMAB® — POST-MARKETING REQUIREMENTS &amp; COMMITMENTS SCHEDULE — NDA 761-XXX</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0000" w:sz="4" w:space="1"/>
      </w:pBdr>
      <w:jc w:val="center"/>
    </w:pPr>
    <w:r>
      <w:rPr>
        <w:rFonts w:ascii="Arial" w:cs="Arial" w:eastAsia="Arial" w:hAnsi="Arial"/>
        <w:color w:val="666666"/>
        <w:sz w:val="16"/>
        <w:szCs w:val="16"/>
      </w:rPr>
      <w:t xml:space="preserve">CERVIMAB® — RISK EVALUATION AND MITIGATION STRATEGY (REMS) — NDA 761-XXX — CONTROLLED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DA0"/>
      <w:sz w:val="24"/>
      <w:szCs w:val="24"/>
    </w:rPr>
  </w:style>
  <w:style w:type="paragraph" w:styleId="Heading3">
    <w:name w:val="Heading 3"/>
    <w:basedOn w:val="Normal"/>
    <w:next w:val="Normal"/>
    <w:qFormat/>
    <w:pPr>
      <w:spacing w:before="18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2026-03-16T14:15:50.756Z</dcterms:created>
  <dcterms:modified xsi:type="dcterms:W3CDTF">2026-03-16T14:15:50.757Z</dcterms:modified>
</cp:coreProperties>
</file>

<file path=docProps/custom.xml><?xml version="1.0" encoding="utf-8"?>
<Properties xmlns="http://schemas.openxmlformats.org/officeDocument/2006/custom-properties" xmlns:vt="http://schemas.openxmlformats.org/officeDocument/2006/docPropsVTypes"/>
</file>