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F3864"/>
          <w:sz w:val="60"/>
          <w:szCs w:val="60"/>
        </w:rPr>
        <w:t xml:space="preserve">CLINICAL STUDY REPORT</w:t>
      </w:r>
    </w:p>
    <w:p>
      <w:pPr>
        <w:spacing w:before="80" w:after="0"/>
        <w:jc w:val="center"/>
      </w:pPr>
      <w:r>
        <w:rPr>
          <w:rFonts w:ascii="Arial" w:cs="Arial" w:eastAsia="Arial" w:hAnsi="Arial"/>
          <w:i/>
          <w:iCs/>
          <w:color w:val="595959"/>
          <w:sz w:val="22"/>
          <w:szCs w:val="22"/>
        </w:rPr>
        <w:t xml:space="preserve">Prepared Per ICH E3 Structure and Content Guidelines</w:t>
      </w:r>
    </w:p>
    <w:p>
      <w:pPr>
        <w:spacing w:before="80" w:after="80"/>
      </w:pPr>
      <w:r>
        <w:t xml:space="preserve"/>
      </w:r>
    </w:p>
    <w:p>
      <w:pPr>
        <w:pBdr>
          <w:top w:val="single" w:color="2E75B6" w:sz="2" w:space="4"/>
          <w:bottom w:val="single" w:color="2E75B6" w:sz="2" w:space="4"/>
        </w:pBdr>
        <w:spacing w:before="200" w:after="60"/>
        <w:jc w:val="center"/>
      </w:pPr>
      <w:r>
        <w:rPr>
          <w:rFonts w:ascii="Arial" w:cs="Arial" w:eastAsia="Arial" w:hAnsi="Arial"/>
          <w:color w:val="595959"/>
          <w:sz w:val="22"/>
          <w:szCs w:val="22"/>
        </w:rPr>
        <w:t xml:space="preserve">A Phase 3, Multicenter, Open-Label, Randomized, Controlled Trial of</w:t>
      </w:r>
    </w:p>
    <w:p>
      <w:pPr>
        <w:spacing w:before="60" w:after="60"/>
        <w:jc w:val="center"/>
      </w:pPr>
      <w:r>
        <w:rPr>
          <w:rFonts w:ascii="Arial" w:cs="Arial" w:eastAsia="Arial" w:hAnsi="Arial"/>
          <w:b/>
          <w:bCs/>
          <w:color w:val="1F3864"/>
          <w:sz w:val="28"/>
          <w:szCs w:val="28"/>
        </w:rPr>
        <w:t xml:space="preserve">CERVIMAB (Anti-PD-1 Monoclonal Antibody) 400 mg Q4W</w:t>
      </w:r>
    </w:p>
    <w:p>
      <w:pPr>
        <w:spacing w:before="0" w:after="60"/>
        <w:jc w:val="center"/>
      </w:pPr>
      <w:r>
        <w:rPr>
          <w:rFonts w:ascii="Arial" w:cs="Arial" w:eastAsia="Arial" w:hAnsi="Arial"/>
          <w:color w:val="2E75B6"/>
          <w:sz w:val="24"/>
          <w:szCs w:val="24"/>
        </w:rPr>
        <w:t xml:space="preserve">versus mFOLFOX-6 plus Bevacizumab</w:t>
      </w:r>
    </w:p>
    <w:p>
      <w:pPr>
        <w:spacing w:before="0" w:after="240"/>
        <w:jc w:val="center"/>
      </w:pPr>
      <w:r>
        <w:rPr>
          <w:rFonts w:ascii="Arial" w:cs="Arial" w:eastAsia="Arial" w:hAnsi="Arial"/>
          <w:color w:val="595959"/>
          <w:sz w:val="22"/>
          <w:szCs w:val="22"/>
        </w:rPr>
        <w:t xml:space="preserve">in Patients with Previously Untreated dMMR/MSI-H Metastatic Colorectal Cancer</w:t>
      </w:r>
    </w:p>
    <w:p>
      <w:pPr>
        <w:spacing w:before="80" w:after="8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Protocol Number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CERV-301</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 Type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Clinical Study Report (Final)</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Report Date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March 2026</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Database Lock Date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 January 2026</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 Number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IND 145-902</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BLA/NDA Target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BLA 761-XXX (Planned Submission Q2 2026)</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Drug Name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Cervimab (NPA-PD1-001)</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Indication</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dMMR/MSI-H Metastatic Colorectal Cancer (First-Line)</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Sponsor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NovaPharma Oncology, Inc.</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Sponsor Address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Innovation Drive, Cambridge, MA 02139 USA</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Medical Monitor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James R. Chen, MD, PhD</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Regulatory Basis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ICH E3; FDA 21 CFR Parts 312, 314; 21 CFR Part 11</w:t>
            </w:r>
          </w:p>
        </w:tc>
      </w:tr>
      <w:tr>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GCP Compliance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ICH E6(R2); conducted per Declaration of Helsinki</w:t>
            </w:r>
          </w:p>
        </w:tc>
      </w:tr>
    </w:tbl>
    <w:p>
      <w:pPr>
        <w:spacing w:before="480" w:after="60"/>
        <w:jc w:val="center"/>
      </w:pPr>
      <w:r>
        <w:rPr>
          <w:rFonts w:ascii="Arial" w:cs="Arial" w:eastAsia="Arial" w:hAnsi="Arial"/>
          <w:b/>
          <w:bCs/>
          <w:color w:val="C00000"/>
          <w:sz w:val="18"/>
          <w:szCs w:val="18"/>
        </w:rPr>
        <w:t xml:space="preserve">CONFIDENTIAL — FOR REGULATORY SUBMISSION ONLY</w:t>
      </w:r>
    </w:p>
    <w:p>
      <w:pPr>
        <w:spacing w:before="0" w:after="0"/>
        <w:jc w:val="center"/>
      </w:pPr>
      <w:r>
        <w:rPr>
          <w:rFonts w:ascii="Arial" w:cs="Arial" w:eastAsia="Arial" w:hAnsi="Arial"/>
          <w:i/>
          <w:iCs/>
          <w:color w:val="595959"/>
          <w:sz w:val="16"/>
          <w:szCs w:val="16"/>
        </w:rPr>
        <w:t xml:space="preserve">Contains trade secret and proprietary information of NovaPharma Oncology, Inc. Unauthorized disclosure prohibited.</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RESPONSIBLE PARTY ATTESTATION</w:t>
      </w:r>
    </w:p>
    <w:p>
      <w:pPr>
        <w:spacing w:before="60" w:after="80"/>
      </w:pPr>
      <w:r>
        <w:rPr>
          <w:rFonts w:ascii="Arial" w:cs="Arial" w:eastAsia="Arial" w:hAnsi="Arial"/>
          <w:sz w:val="20"/>
          <w:szCs w:val="20"/>
        </w:rPr>
        <w:t xml:space="preserve">I confirm that this Clinical Study Report accurately describes the design, methods, conduct, and results of the study conducted under Protocol CERV-301 and that the study was conducted in accordance with the approved protocol, applicable regulatory requirements, and ICH E6(R2) Good Clinical Practice guidelines.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Signature</w:t>
            </w:r>
          </w:p>
        </w:tc>
        <w:tc>
          <w:tcPr>
            <w:tcW w:type="dxa" w:w="175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VP Clinical Development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James R. Chen, MD, PhD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Head of Biostatistics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Margaret H. Lin, PhD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Chief Medical Officer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Elena M. Vasquez, MD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VP Regulatory Affairs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Sarah T. Nguyen, PharmD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bl>
    <w:p>
      <w:r>
        <w:br w:type="page"/>
      </w:r>
    </w:p>
    <w:p>
      <w:pPr>
        <w:pStyle w:val="Heading1"/>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1. SYNOPSIS</w:t>
      </w:r>
    </w:p>
    <w:p>
      <w:pPr>
        <w:pBdr>
          <w:top w:val="single" w:color="2E75B6" w:sz="4" w:space="4"/>
          <w:bottom w:val="single" w:color="2E75B6" w:sz="4" w:space="4"/>
          <w:left w:val="thick" w:color="2E75B6" w:sz="12" w:space="4"/>
        </w:pBdr>
        <w:shd w:fill="EBF3FB" w:val="clear"/>
        <w:spacing w:before="80" w:after="80"/>
        <w:ind w:left="360" w:right="360"/>
      </w:pPr>
      <w:r>
        <w:rPr>
          <w:rFonts w:ascii="Arial" w:cs="Arial" w:eastAsia="Arial" w:hAnsi="Arial"/>
          <w:i/>
          <w:iCs/>
          <w:color w:val="1F3864"/>
          <w:sz w:val="18"/>
          <w:szCs w:val="18"/>
        </w:rPr>
        <w:t xml:space="preserve">ICH E3 Section 1: The synopsis is a standalone summary of the clinical study. It must be self-contained and suitable for regulatory submission as an independent document.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 Phase 3, Multicenter, Open-Label, Randomized, Controlled Trial of Cervimab versus mFOLFOX-6 plus Bevacizumab in Previously Untreated dMMR/MSI-H Metastatic Colorectal Cancer</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Protocol No.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CERV-301</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Phase 3 (Registrational)</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Objective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To demonstrate superiority of cervimab over mFOLFOX-6/bevacizumab in PFS (BICR, RECIST v1.1) in 1L dMMR/MSI-H mCRC</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Design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Open-label, 1:1 randomized controlled trial; stratified by ECOG PS, region, prior adjuvant chemotherapy</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Investigational Product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Cervimab 400 mg IV Q4W (Arm A)</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Comparator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mFOLFOX-6 (oxaliplatin 85 mg/m2 + leucovorin 400 mg/m2 + 5-FU 400 mg/m2 bolus + 5-FU 2400 mg/m2 46-hr infusion) + bevacizumab 5 mg/kg Q2W (Arm B)</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Sample Size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440 patients (220 per arm); 320 PFS events required</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Study Duration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Enrollment: January 2022 – September 2024 (36 months); minimum follow-up: 12 months</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Endpoint Result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Median PFS: 26.3 months (cervimab) vs. 8.9 months (control); HR = 0.38 (95% CI: 0.29, 0.51); p &lt; 0.0001 (stratified log-rank)</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Key Secondary: OS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Median OS: Not reached (cervimab) vs. 28.1 months (control); HR = 0.61 (95% CI: 0.44, 0.85); p = 0.0037</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ORR (BICR)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47.3% (cervimab) vs. 38.2% (control); difference +9.1% (95% CI: 0.8%, 17.4%); p = 0.0317</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Complete Response Rate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12.7% (cervimab) vs. 3.6% (control); p = 0.0004</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Median Duration of Response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reached (cervimab) vs. 9.3 months (control)</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Safety Summary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Grade 3-4 TRAEs: 28.4% (cervimab) vs. 71.3% (control); immune-mediated AEs: 32.1% (cervimab, any grade); 3 treatment-related deaths (2 cervimab [pneumonitis, myocarditis]; 1 control [sepsis])</w:t>
            </w:r>
          </w:p>
        </w:tc>
      </w:tr>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Conclusion</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Cervimab demonstrated statistically significant and clinically meaningful superiority over mFOLFOX-6/bevacizumab in PFS, OS, and ORR in 1L dMMR/MSI-H mCRC, with a differentiated safety profile. These results support the submission of a BLA for cervimab in this indication.</w:t>
            </w:r>
          </w:p>
        </w:tc>
      </w:tr>
    </w:tbl>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2. INTRODUCTION</w:t>
      </w:r>
    </w:p>
    <w:p>
      <w:pPr>
        <w:pStyle w:val="Heading2"/>
        <w:spacing w:before="240" w:after="80"/>
      </w:pPr>
      <w:r>
        <w:rPr>
          <w:rFonts w:ascii="Arial" w:cs="Arial" w:eastAsia="Arial" w:hAnsi="Arial"/>
          <w:b/>
          <w:bCs/>
          <w:color w:val="2E75B6"/>
          <w:sz w:val="24"/>
          <w:szCs w:val="24"/>
        </w:rPr>
        <w:t xml:space="preserve">2.1 Disease Background</w:t>
      </w:r>
    </w:p>
    <w:p>
      <w:pPr>
        <w:spacing w:before="60" w:after="80"/>
      </w:pPr>
      <w:r>
        <w:rPr>
          <w:rFonts w:ascii="Arial" w:cs="Arial" w:eastAsia="Arial" w:hAnsi="Arial"/>
          <w:sz w:val="20"/>
          <w:szCs w:val="20"/>
        </w:rPr>
        <w:t xml:space="preserve">Colorectal cancer (CRC) is the third most commonly diagnosed malignancy and the second leading cause of cancer-related mortality globally, with an estimated 1.9 million new cases and 935,000 deaths in 2022 (GLOBOCAN 2022). Approximately 20-25% of patients present with de novo metastatic disease, and an additional 25-30% of initially localized CRC patients eventually develop metastatic disease. Despite advances in chemotherapy regimens and targeted agents, median overall survival in first-line mCRC ranges from 24 to 32 months.</w:t>
      </w:r>
    </w:p>
    <w:p>
      <w:pPr>
        <w:spacing w:before="60" w:after="80"/>
      </w:pPr>
      <w:r>
        <w:rPr>
          <w:rFonts w:ascii="Arial" w:cs="Arial" w:eastAsia="Arial" w:hAnsi="Arial"/>
          <w:sz w:val="20"/>
          <w:szCs w:val="20"/>
        </w:rPr>
        <w:t xml:space="preserve">Deficient mismatch repair (dMMR) and high microsatellite instability (MSI-H) is identified in approximately 4-5% of mCRC cases and represents a distinct molecular subtype characterized by high tumor mutational burden (TMB; typically &gt; 40 mut/Mb), abundant tumor-infiltrating lymphocytes (TILs), and unique immune evasion mechanisms. The PD-1/PD-L1 pathway is a dominant mechanism of immune suppression in dMMR/MSI-H tumors, providing a compelling rationale for PD-1 checkpoint inhibitor therapy.</w:t>
      </w:r>
    </w:p>
    <w:p>
      <w:pPr>
        <w:spacing w:before="60" w:after="80"/>
      </w:pPr>
      <w:r>
        <w:rPr>
          <w:rFonts w:ascii="Arial" w:cs="Arial" w:eastAsia="Arial" w:hAnsi="Arial"/>
          <w:sz w:val="20"/>
          <w:szCs w:val="20"/>
        </w:rPr>
        <w:t xml:space="preserve">Pembrolizumab (anti-PD-1) demonstrated superior PFS vs. chemotherapy in KEYNOTE-177 (HR 0.60, p = 0.0002) and received FDA approval for first-line dMMR/MSI-H mCRC in 2020. However, a substantial proportion of patients (approximately 40%) experience early progression on pembrolizumab, and OS benefit in the ITT population was marginal (HR 0.74). Cervimab, with its distinct epitope binding, superior receptor occupancy kinetics, and potent co-inhibitory receptor blockade profile, offers a potentially improved therapeutic option.</w:t>
      </w:r>
    </w:p>
    <w:p>
      <w:pPr>
        <w:pStyle w:val="Heading2"/>
        <w:spacing w:before="240" w:after="80"/>
      </w:pPr>
      <w:r>
        <w:rPr>
          <w:rFonts w:ascii="Arial" w:cs="Arial" w:eastAsia="Arial" w:hAnsi="Arial"/>
          <w:b/>
          <w:bCs/>
          <w:color w:val="2E75B6"/>
          <w:sz w:val="24"/>
          <w:szCs w:val="24"/>
        </w:rPr>
        <w:t xml:space="preserve">2.2 Investigational Product</w:t>
      </w:r>
    </w:p>
    <w:p>
      <w:pPr>
        <w:spacing w:before="40" w:after="40"/>
      </w:pPr>
      <w:r>
        <w:rPr>
          <w:rFonts w:ascii="Arial" w:cs="Arial" w:eastAsia="Arial" w:hAnsi="Arial"/>
          <w:b/>
          <w:bCs/>
          <w:sz w:val="20"/>
          <w:szCs w:val="20"/>
        </w:rPr>
        <w:t xml:space="preserve">Drug Name: </w:t>
      </w:r>
      <w:r>
        <w:rPr>
          <w:rFonts w:ascii="Arial" w:cs="Arial" w:eastAsia="Arial" w:hAnsi="Arial"/>
          <w:sz w:val="20"/>
          <w:szCs w:val="20"/>
        </w:rPr>
        <w:t xml:space="preserve">Cervimab (NPA-PD1-001)</w:t>
      </w:r>
    </w:p>
    <w:p>
      <w:pPr>
        <w:spacing w:before="40" w:after="40"/>
      </w:pPr>
      <w:r>
        <w:rPr>
          <w:rFonts w:ascii="Arial" w:cs="Arial" w:eastAsia="Arial" w:hAnsi="Arial"/>
          <w:b/>
          <w:bCs/>
          <w:sz w:val="20"/>
          <w:szCs w:val="20"/>
        </w:rPr>
        <w:t xml:space="preserve">Type: </w:t>
      </w:r>
      <w:r>
        <w:rPr>
          <w:rFonts w:ascii="Arial" w:cs="Arial" w:eastAsia="Arial" w:hAnsi="Arial"/>
          <w:sz w:val="20"/>
          <w:szCs w:val="20"/>
        </w:rPr>
        <w:t xml:space="preserve">Fully human IgG4 monoclonal antibody targeting PD-1 (CD279)</w:t>
      </w:r>
    </w:p>
    <w:p>
      <w:pPr>
        <w:spacing w:before="40" w:after="40"/>
      </w:pPr>
      <w:r>
        <w:rPr>
          <w:rFonts w:ascii="Arial" w:cs="Arial" w:eastAsia="Arial" w:hAnsi="Arial"/>
          <w:b/>
          <w:bCs/>
          <w:sz w:val="20"/>
          <w:szCs w:val="20"/>
        </w:rPr>
        <w:t xml:space="preserve">Mechanism: </w:t>
      </w:r>
      <w:r>
        <w:rPr>
          <w:rFonts w:ascii="Arial" w:cs="Arial" w:eastAsia="Arial" w:hAnsi="Arial"/>
          <w:sz w:val="20"/>
          <w:szCs w:val="20"/>
        </w:rPr>
        <w:t xml:space="preserve">Blocks PD-1 interaction with PD-L1 and PD-L2, restoring T-cell effector function</w:t>
      </w:r>
    </w:p>
    <w:p>
      <w:pPr>
        <w:spacing w:before="40" w:after="40"/>
      </w:pPr>
      <w:r>
        <w:rPr>
          <w:rFonts w:ascii="Arial" w:cs="Arial" w:eastAsia="Arial" w:hAnsi="Arial"/>
          <w:b/>
          <w:bCs/>
          <w:sz w:val="20"/>
          <w:szCs w:val="20"/>
        </w:rPr>
        <w:t xml:space="preserve">Route of Administration: </w:t>
      </w:r>
      <w:r>
        <w:rPr>
          <w:rFonts w:ascii="Arial" w:cs="Arial" w:eastAsia="Arial" w:hAnsi="Arial"/>
          <w:sz w:val="20"/>
          <w:szCs w:val="20"/>
        </w:rPr>
        <w:t xml:space="preserve">Intravenous (IV) infusion over 30 minutes</w:t>
      </w:r>
    </w:p>
    <w:p>
      <w:pPr>
        <w:spacing w:before="40" w:after="40"/>
      </w:pPr>
      <w:r>
        <w:rPr>
          <w:rFonts w:ascii="Arial" w:cs="Arial" w:eastAsia="Arial" w:hAnsi="Arial"/>
          <w:b/>
          <w:bCs/>
          <w:sz w:val="20"/>
          <w:szCs w:val="20"/>
        </w:rPr>
        <w:t xml:space="preserve">Dose: </w:t>
      </w:r>
      <w:r>
        <w:rPr>
          <w:rFonts w:ascii="Arial" w:cs="Arial" w:eastAsia="Arial" w:hAnsi="Arial"/>
          <w:sz w:val="20"/>
          <w:szCs w:val="20"/>
        </w:rPr>
        <w:t xml:space="preserve">400 mg Q4W (selected based on Phase 1/2 PK/PD modeling; CERV-101, CERV-201)</w:t>
      </w:r>
    </w:p>
    <w:p>
      <w:pPr>
        <w:spacing w:before="40" w:after="40"/>
      </w:pPr>
      <w:r>
        <w:rPr>
          <w:rFonts w:ascii="Arial" w:cs="Arial" w:eastAsia="Arial" w:hAnsi="Arial"/>
          <w:b/>
          <w:bCs/>
          <w:sz w:val="20"/>
          <w:szCs w:val="20"/>
        </w:rPr>
        <w:t xml:space="preserve">Formulation: </w:t>
      </w:r>
      <w:r>
        <w:rPr>
          <w:rFonts w:ascii="Arial" w:cs="Arial" w:eastAsia="Arial" w:hAnsi="Arial"/>
          <w:sz w:val="20"/>
          <w:szCs w:val="20"/>
        </w:rPr>
        <w:t xml:space="preserve">10 mg/mL concentrated solution; no preservatives; refrigerated storage (2-8 degrees C)</w:t>
      </w:r>
    </w:p>
    <w:p>
      <w:pPr>
        <w:spacing w:before="40" w:after="40"/>
      </w:pPr>
      <w:r>
        <w:rPr>
          <w:rFonts w:ascii="Arial" w:cs="Arial" w:eastAsia="Arial" w:hAnsi="Arial"/>
          <w:b/>
          <w:bCs/>
          <w:sz w:val="20"/>
          <w:szCs w:val="20"/>
        </w:rPr>
        <w:t xml:space="preserve">Manufacturer: </w:t>
      </w:r>
      <w:r>
        <w:rPr>
          <w:rFonts w:ascii="Arial" w:cs="Arial" w:eastAsia="Arial" w:hAnsi="Arial"/>
          <w:sz w:val="20"/>
          <w:szCs w:val="20"/>
        </w:rPr>
        <w:t xml:space="preserve">NovaPharma Biologics LLC, Durham, NC (BLA facility registered; 21 CFR Part 600)</w:t>
      </w:r>
    </w:p>
    <w:p>
      <w:pPr>
        <w:spacing w:before="80" w:after="80"/>
      </w:pPr>
      <w:r>
        <w:t xml:space="preserve"/>
      </w:r>
    </w:p>
    <w:p>
      <w:pPr>
        <w:spacing w:before="60" w:after="80"/>
      </w:pPr>
      <w:r>
        <w:rPr>
          <w:rFonts w:ascii="Arial" w:cs="Arial" w:eastAsia="Arial" w:hAnsi="Arial"/>
          <w:sz w:val="20"/>
          <w:szCs w:val="20"/>
        </w:rPr>
        <w:t xml:space="preserve">Phase 1/2 studies in solid tumors (CERV-101: n = 210; CERV-201: n = 155 CRC-enriched cohort) established the 400 mg Q4W dose, characterized the PK profile (t1/2 approximately 26 days), and demonstrated preliminary efficacy signals in dMMR/MSI-H CRC (ORR 49%, median PFS 19.4 months, 18-month OS rate 72%). No new safety signals were identified relative to the anti-PD-1 class.</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3. STUDY OBJECTIVES AND ENDPOINTS</w:t>
      </w:r>
    </w:p>
    <w:p>
      <w:pPr>
        <w:pStyle w:val="Heading2"/>
        <w:spacing w:before="240" w:after="80"/>
      </w:pPr>
      <w:r>
        <w:rPr>
          <w:rFonts w:ascii="Arial" w:cs="Arial" w:eastAsia="Arial" w:hAnsi="Arial"/>
          <w:b/>
          <w:bCs/>
          <w:color w:val="2E75B6"/>
          <w:sz w:val="24"/>
          <w:szCs w:val="24"/>
        </w:rPr>
        <w:t xml:space="preserve">3.1 Primary Objective and Endpoint</w:t>
      </w:r>
    </w:p>
    <w:p>
      <w:pPr>
        <w:spacing w:before="60" w:after="80"/>
      </w:pPr>
      <w:r>
        <w:rPr>
          <w:rFonts w:ascii="Arial" w:cs="Arial" w:eastAsia="Arial" w:hAnsi="Arial"/>
          <w:sz w:val="20"/>
          <w:szCs w:val="20"/>
        </w:rPr>
        <w:t xml:space="preserve">Primary Objective: To demonstrate the superiority of cervimab over mFOLFOX-6 plus bevacizumab in progression-free survival (PFS) as assessed by blinded independent central review (BICR) per RECIST v1.1.</w:t>
      </w:r>
    </w:p>
    <w:p>
      <w:pPr>
        <w:spacing w:before="60" w:after="80"/>
      </w:pPr>
      <w:r>
        <w:rPr>
          <w:rFonts w:ascii="Arial" w:cs="Arial" w:eastAsia="Arial" w:hAnsi="Arial"/>
          <w:sz w:val="20"/>
          <w:szCs w:val="20"/>
        </w:rPr>
        <w:t xml:space="preserve">Primary Endpoint: PFS — time from randomization to first documented disease progression per BICR/RECIST v1.1 or death from any cause, whichever occurs first.</w:t>
      </w:r>
    </w:p>
    <w:p>
      <w:pPr>
        <w:pStyle w:val="Heading2"/>
        <w:spacing w:before="240" w:after="80"/>
      </w:pPr>
      <w:r>
        <w:rPr>
          <w:rFonts w:ascii="Arial" w:cs="Arial" w:eastAsia="Arial" w:hAnsi="Arial"/>
          <w:b/>
          <w:bCs/>
          <w:color w:val="2E75B6"/>
          <w:sz w:val="24"/>
          <w:szCs w:val="24"/>
        </w:rPr>
        <w:t xml:space="preserve">3.2 Secondary Objectives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Secondary Objective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Compare OS between treatment arms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OS: time from randomization to death from any cause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Compare ORR and DoR by BICR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ORR (CR + PR confirmed); DoR (first response to progression/death)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Compare DCR at Week 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Proportion with CR + PR + SD &gt;= 16 weeks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Evaluate HRQoL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TTCD on EORTC QLQ-C30 global health; EQ-5D-5L utility index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Characterize safety and tolerability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AE incidence/severity, TRAEs, SAEs, imAEs, discontinuations</w:t>
            </w:r>
          </w:p>
        </w:tc>
      </w:tr>
    </w:tbl>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4. INVESTIGATIONAL PLAN</w:t>
      </w:r>
    </w:p>
    <w:p>
      <w:pPr>
        <w:pStyle w:val="Heading2"/>
        <w:spacing w:before="240" w:after="80"/>
      </w:pPr>
      <w:r>
        <w:rPr>
          <w:rFonts w:ascii="Arial" w:cs="Arial" w:eastAsia="Arial" w:hAnsi="Arial"/>
          <w:b/>
          <w:bCs/>
          <w:color w:val="2E75B6"/>
          <w:sz w:val="24"/>
          <w:szCs w:val="24"/>
        </w:rPr>
        <w:t xml:space="preserve">4.1 Overall Study Design</w:t>
      </w:r>
    </w:p>
    <w:p>
      <w:pPr>
        <w:spacing w:before="60" w:after="80"/>
      </w:pPr>
      <w:r>
        <w:rPr>
          <w:rFonts w:ascii="Arial" w:cs="Arial" w:eastAsia="Arial" w:hAnsi="Arial"/>
          <w:sz w:val="20"/>
          <w:szCs w:val="20"/>
        </w:rPr>
        <w:t xml:space="preserve">CERV-301 is a Phase 3, multicenter, open-label, 1:1 randomized, active-controlled study. The study enrolled patients at 87 investigative sites across 18 countries in North America, Europe, and Asia-Pacific. Following eligibility verification, all patients were centrally randomized via IWRS (Medidata Rave RTSM) in a 1:1 ratio to cervimab (Arm A) or mFOLFOX-6 plus bevacizumab (Arm B). Randomization was stratified by ECOG performance status (0 vs. 1-2), geographic region (North America/Western Europe vs. rest of world), and prior adjuvant chemotherapy (yes vs. no).</w:t>
      </w:r>
    </w:p>
    <w:p>
      <w:pPr>
        <w:spacing w:before="60" w:after="80"/>
      </w:pPr>
      <w:r>
        <w:rPr>
          <w:rFonts w:ascii="Arial" w:cs="Arial" w:eastAsia="Arial" w:hAnsi="Arial"/>
          <w:sz w:val="20"/>
          <w:szCs w:val="20"/>
        </w:rPr>
        <w:t xml:space="preserve">Cervimab was administered as a 400 mg IV infusion over 30 minutes every 4 weeks. mFOLFOX-6 was administered on Days 1 and 15 of each 28-day cycle (Q2W) alongside bevacizumab 5 mg/kg IV Q2W. Treatment continued until confirmed progression per RECIST v1.1, unacceptable toxicity, withdrawal of consent, or other protocol-defined discontinuation criteria.</w:t>
      </w:r>
    </w:p>
    <w:p>
      <w:pPr>
        <w:pStyle w:val="Heading2"/>
        <w:spacing w:before="240" w:after="80"/>
      </w:pPr>
      <w:r>
        <w:rPr>
          <w:rFonts w:ascii="Arial" w:cs="Arial" w:eastAsia="Arial" w:hAnsi="Arial"/>
          <w:b/>
          <w:bCs/>
          <w:color w:val="2E75B6"/>
          <w:sz w:val="24"/>
          <w:szCs w:val="24"/>
        </w:rPr>
        <w:t xml:space="preserve">4.2 Selection of Study Population</w:t>
      </w:r>
    </w:p>
    <w:p>
      <w:pPr>
        <w:pStyle w:val="Heading3"/>
        <w:spacing w:before="160" w:after="60"/>
      </w:pPr>
      <w:r>
        <w:rPr>
          <w:rFonts w:ascii="Arial" w:cs="Arial" w:eastAsia="Arial" w:hAnsi="Arial"/>
          <w:b/>
          <w:bCs/>
          <w:color w:val="595959"/>
          <w:sz w:val="22"/>
          <w:szCs w:val="22"/>
        </w:rPr>
        <w:t xml:space="preserve">4.2.1 Inclusion Criteria</w:t>
      </w:r>
    </w:p>
    <w:p>
      <w:pPr>
        <w:pStyle w:val="ListParagraph"/>
        <w:numPr>
          <w:ilvl w:val="0"/>
          <w:numId w:val="2"/>
        </w:numPr>
        <w:spacing w:before="40" w:after="40"/>
      </w:pPr>
      <w:r>
        <w:rPr>
          <w:rFonts w:ascii="Arial" w:cs="Arial" w:eastAsia="Arial" w:hAnsi="Arial"/>
          <w:sz w:val="20"/>
          <w:szCs w:val="20"/>
        </w:rPr>
        <w:t xml:space="preserve">Adults &gt;= 18 years of age</w:t>
      </w:r>
    </w:p>
    <w:p>
      <w:pPr>
        <w:pStyle w:val="ListParagraph"/>
        <w:numPr>
          <w:ilvl w:val="0"/>
          <w:numId w:val="2"/>
        </w:numPr>
        <w:spacing w:before="40" w:after="40"/>
      </w:pPr>
      <w:r>
        <w:rPr>
          <w:rFonts w:ascii="Arial" w:cs="Arial" w:eastAsia="Arial" w:hAnsi="Arial"/>
          <w:sz w:val="20"/>
          <w:szCs w:val="20"/>
        </w:rPr>
        <w:t xml:space="preserve">Histologically or cytologically confirmed adenocarcinoma of the colon or rectum with documented metastatic disease</w:t>
      </w:r>
    </w:p>
    <w:p>
      <w:pPr>
        <w:pStyle w:val="ListParagraph"/>
        <w:numPr>
          <w:ilvl w:val="0"/>
          <w:numId w:val="2"/>
        </w:numPr>
        <w:spacing w:before="40" w:after="40"/>
      </w:pPr>
      <w:r>
        <w:rPr>
          <w:rFonts w:ascii="Arial" w:cs="Arial" w:eastAsia="Arial" w:hAnsi="Arial"/>
          <w:sz w:val="20"/>
          <w:szCs w:val="20"/>
        </w:rPr>
        <w:t xml:space="preserve">dMMR/MSI-H confirmed by local IHC (MMR protein loss) and/or central PCR/NGS testing (Exact Sciences MSI Complete assay)</w:t>
      </w:r>
    </w:p>
    <w:p>
      <w:pPr>
        <w:pStyle w:val="ListParagraph"/>
        <w:numPr>
          <w:ilvl w:val="0"/>
          <w:numId w:val="2"/>
        </w:numPr>
        <w:spacing w:before="40" w:after="40"/>
      </w:pPr>
      <w:r>
        <w:rPr>
          <w:rFonts w:ascii="Arial" w:cs="Arial" w:eastAsia="Arial" w:hAnsi="Arial"/>
          <w:sz w:val="20"/>
          <w:szCs w:val="20"/>
        </w:rPr>
        <w:t xml:space="preserve">No prior systemic therapy for metastatic CRC (adjuvant chemotherapy completed &gt;= 6 months prior to enrollment is allowed)</w:t>
      </w:r>
    </w:p>
    <w:p>
      <w:pPr>
        <w:pStyle w:val="ListParagraph"/>
        <w:numPr>
          <w:ilvl w:val="0"/>
          <w:numId w:val="2"/>
        </w:numPr>
        <w:spacing w:before="40" w:after="40"/>
      </w:pPr>
      <w:r>
        <w:rPr>
          <w:rFonts w:ascii="Arial" w:cs="Arial" w:eastAsia="Arial" w:hAnsi="Arial"/>
          <w:sz w:val="20"/>
          <w:szCs w:val="20"/>
        </w:rPr>
        <w:t xml:space="preserve">ECOG performance status 0-2</w:t>
      </w:r>
    </w:p>
    <w:p>
      <w:pPr>
        <w:pStyle w:val="ListParagraph"/>
        <w:numPr>
          <w:ilvl w:val="0"/>
          <w:numId w:val="2"/>
        </w:numPr>
        <w:spacing w:before="40" w:after="40"/>
      </w:pPr>
      <w:r>
        <w:rPr>
          <w:rFonts w:ascii="Arial" w:cs="Arial" w:eastAsia="Arial" w:hAnsi="Arial"/>
          <w:sz w:val="20"/>
          <w:szCs w:val="20"/>
        </w:rPr>
        <w:t xml:space="preserve">Measurable disease per RECIST v1.1 (at least one lesion &gt;= 10 mm on CT/MRI)</w:t>
      </w:r>
    </w:p>
    <w:p>
      <w:pPr>
        <w:pStyle w:val="ListParagraph"/>
        <w:numPr>
          <w:ilvl w:val="0"/>
          <w:numId w:val="2"/>
        </w:numPr>
        <w:spacing w:before="40" w:after="40"/>
      </w:pPr>
      <w:r>
        <w:rPr>
          <w:rFonts w:ascii="Arial" w:cs="Arial" w:eastAsia="Arial" w:hAnsi="Arial"/>
          <w:sz w:val="20"/>
          <w:szCs w:val="20"/>
        </w:rPr>
        <w:t xml:space="preserve">Adequate organ function (ANC &gt;= 1.5 x 10^9/L; platelets &gt;= 100 x 10^9/L; Hgb &gt;= 9.0 g/dL; creatinine clearance &gt;= 30 mL/min; AST/ALT &lt;= 2.5 x ULN; total bilirubin &lt;= 1.5 x ULN)</w:t>
      </w:r>
    </w:p>
    <w:p>
      <w:pPr>
        <w:pStyle w:val="ListParagraph"/>
        <w:numPr>
          <w:ilvl w:val="0"/>
          <w:numId w:val="2"/>
        </w:numPr>
        <w:spacing w:before="40" w:after="40"/>
      </w:pPr>
      <w:r>
        <w:rPr>
          <w:rFonts w:ascii="Arial" w:cs="Arial" w:eastAsia="Arial" w:hAnsi="Arial"/>
          <w:sz w:val="20"/>
          <w:szCs w:val="20"/>
        </w:rPr>
        <w:t xml:space="preserve">Life expectancy &gt;= 12 weeks</w:t>
      </w:r>
    </w:p>
    <w:p>
      <w:pPr>
        <w:pStyle w:val="ListParagraph"/>
        <w:numPr>
          <w:ilvl w:val="0"/>
          <w:numId w:val="2"/>
        </w:numPr>
        <w:spacing w:before="40" w:after="40"/>
      </w:pPr>
      <w:r>
        <w:rPr>
          <w:rFonts w:ascii="Arial" w:cs="Arial" w:eastAsia="Arial" w:hAnsi="Arial"/>
          <w:sz w:val="20"/>
          <w:szCs w:val="20"/>
        </w:rPr>
        <w:t xml:space="preserve">Women of childbearing potential: negative serum pregnancy test; willing to use effective contraception</w:t>
      </w:r>
    </w:p>
    <w:p>
      <w:pPr>
        <w:pStyle w:val="Heading3"/>
        <w:spacing w:before="160" w:after="60"/>
      </w:pPr>
      <w:r>
        <w:rPr>
          <w:rFonts w:ascii="Arial" w:cs="Arial" w:eastAsia="Arial" w:hAnsi="Arial"/>
          <w:b/>
          <w:bCs/>
          <w:color w:val="595959"/>
          <w:sz w:val="22"/>
          <w:szCs w:val="22"/>
        </w:rPr>
        <w:t xml:space="preserve">4.2.2 Exclusion Criteria</w:t>
      </w:r>
    </w:p>
    <w:p>
      <w:pPr>
        <w:pStyle w:val="ListParagraph"/>
        <w:numPr>
          <w:ilvl w:val="0"/>
          <w:numId w:val="2"/>
        </w:numPr>
        <w:spacing w:before="40" w:after="40"/>
      </w:pPr>
      <w:r>
        <w:rPr>
          <w:rFonts w:ascii="Arial" w:cs="Arial" w:eastAsia="Arial" w:hAnsi="Arial"/>
          <w:sz w:val="20"/>
          <w:szCs w:val="20"/>
        </w:rPr>
        <w:t xml:space="preserve">Prior treatment with any anti-PD-1, anti-PD-L1, anti-CTLA-4, or other immune checkpoint inhibitor</w:t>
      </w:r>
    </w:p>
    <w:p>
      <w:pPr>
        <w:pStyle w:val="ListParagraph"/>
        <w:numPr>
          <w:ilvl w:val="0"/>
          <w:numId w:val="2"/>
        </w:numPr>
        <w:spacing w:before="40" w:after="40"/>
      </w:pPr>
      <w:r>
        <w:rPr>
          <w:rFonts w:ascii="Arial" w:cs="Arial" w:eastAsia="Arial" w:hAnsi="Arial"/>
          <w:sz w:val="20"/>
          <w:szCs w:val="20"/>
        </w:rPr>
        <w:t xml:space="preserve">Active autoimmune disease requiring systemic immunosuppressive therapy within the past 2 years</w:t>
      </w:r>
    </w:p>
    <w:p>
      <w:pPr>
        <w:pStyle w:val="ListParagraph"/>
        <w:numPr>
          <w:ilvl w:val="0"/>
          <w:numId w:val="2"/>
        </w:numPr>
        <w:spacing w:before="40" w:after="40"/>
      </w:pPr>
      <w:r>
        <w:rPr>
          <w:rFonts w:ascii="Arial" w:cs="Arial" w:eastAsia="Arial" w:hAnsi="Arial"/>
          <w:sz w:val="20"/>
          <w:szCs w:val="20"/>
        </w:rPr>
        <w:t xml:space="preserve">Active or prior documented inflammatory bowel disease (Crohn's disease or ulcerative colitis)</w:t>
      </w:r>
    </w:p>
    <w:p>
      <w:pPr>
        <w:pStyle w:val="ListParagraph"/>
        <w:numPr>
          <w:ilvl w:val="0"/>
          <w:numId w:val="2"/>
        </w:numPr>
        <w:spacing w:before="40" w:after="40"/>
      </w:pPr>
      <w:r>
        <w:rPr>
          <w:rFonts w:ascii="Arial" w:cs="Arial" w:eastAsia="Arial" w:hAnsi="Arial"/>
          <w:sz w:val="20"/>
          <w:szCs w:val="20"/>
        </w:rPr>
        <w:t xml:space="preserve">History of severe hypersensitivity (Grade &gt;= 3) to any monoclonal antibody</w:t>
      </w:r>
    </w:p>
    <w:p>
      <w:pPr>
        <w:pStyle w:val="ListParagraph"/>
        <w:numPr>
          <w:ilvl w:val="0"/>
          <w:numId w:val="2"/>
        </w:numPr>
        <w:spacing w:before="40" w:after="40"/>
      </w:pPr>
      <w:r>
        <w:rPr>
          <w:rFonts w:ascii="Arial" w:cs="Arial" w:eastAsia="Arial" w:hAnsi="Arial"/>
          <w:sz w:val="20"/>
          <w:szCs w:val="20"/>
        </w:rPr>
        <w:t xml:space="preserve">Active hepatitis B or C infection; HIV with viral load &gt; 50 copies/mL</w:t>
      </w:r>
    </w:p>
    <w:p>
      <w:pPr>
        <w:pStyle w:val="ListParagraph"/>
        <w:numPr>
          <w:ilvl w:val="0"/>
          <w:numId w:val="2"/>
        </w:numPr>
        <w:spacing w:before="40" w:after="40"/>
      </w:pPr>
      <w:r>
        <w:rPr>
          <w:rFonts w:ascii="Arial" w:cs="Arial" w:eastAsia="Arial" w:hAnsi="Arial"/>
          <w:sz w:val="20"/>
          <w:szCs w:val="20"/>
        </w:rPr>
        <w:t xml:space="preserve">Interstitial lung disease or active, non-infectious pneumonitis</w:t>
      </w:r>
    </w:p>
    <w:p>
      <w:pPr>
        <w:pStyle w:val="ListParagraph"/>
        <w:numPr>
          <w:ilvl w:val="0"/>
          <w:numId w:val="2"/>
        </w:numPr>
        <w:spacing w:before="40" w:after="40"/>
      </w:pPr>
      <w:r>
        <w:rPr>
          <w:rFonts w:ascii="Arial" w:cs="Arial" w:eastAsia="Arial" w:hAnsi="Arial"/>
          <w:sz w:val="20"/>
          <w:szCs w:val="20"/>
        </w:rPr>
        <w:t xml:space="preserve">Uncontrolled hypertension (BP &gt; 150/100 mmHg on &gt;= 2 occasions) or arterial thromboembolic event within 6 months</w:t>
      </w:r>
    </w:p>
    <w:p>
      <w:pPr>
        <w:pStyle w:val="ListParagraph"/>
        <w:numPr>
          <w:ilvl w:val="0"/>
          <w:numId w:val="2"/>
        </w:numPr>
        <w:spacing w:before="40" w:after="40"/>
      </w:pPr>
      <w:r>
        <w:rPr>
          <w:rFonts w:ascii="Arial" w:cs="Arial" w:eastAsia="Arial" w:hAnsi="Arial"/>
          <w:sz w:val="20"/>
          <w:szCs w:val="20"/>
        </w:rPr>
        <w:t xml:space="preserve">Brain metastases, unless asymptomatic and stable for &gt;= 4 weeks off corticosteroids</w:t>
      </w:r>
    </w:p>
    <w:p>
      <w:pPr>
        <w:pStyle w:val="ListParagraph"/>
        <w:numPr>
          <w:ilvl w:val="0"/>
          <w:numId w:val="2"/>
        </w:numPr>
        <w:spacing w:before="40" w:after="40"/>
      </w:pPr>
      <w:r>
        <w:rPr>
          <w:rFonts w:ascii="Arial" w:cs="Arial" w:eastAsia="Arial" w:hAnsi="Arial"/>
          <w:sz w:val="20"/>
          <w:szCs w:val="20"/>
        </w:rPr>
        <w:t xml:space="preserve">Pregnancy or breastfeeding</w:t>
      </w:r>
    </w:p>
    <w:p>
      <w:pPr>
        <w:pStyle w:val="ListParagraph"/>
        <w:numPr>
          <w:ilvl w:val="0"/>
          <w:numId w:val="2"/>
        </w:numPr>
        <w:spacing w:before="40" w:after="40"/>
      </w:pPr>
      <w:r>
        <w:rPr>
          <w:rFonts w:ascii="Arial" w:cs="Arial" w:eastAsia="Arial" w:hAnsi="Arial"/>
          <w:sz w:val="20"/>
          <w:szCs w:val="20"/>
        </w:rPr>
        <w:t xml:space="preserve">Active second malignancy requiring treatment (exceptions: adequately treated basal/squamous cell carcinoma, in-situ cervical carcinoma)</w:t>
      </w:r>
    </w:p>
    <w:p>
      <w:pPr>
        <w:pStyle w:val="Heading2"/>
        <w:spacing w:before="240" w:after="80"/>
      </w:pPr>
      <w:r>
        <w:rPr>
          <w:rFonts w:ascii="Arial" w:cs="Arial" w:eastAsia="Arial" w:hAnsi="Arial"/>
          <w:b/>
          <w:bCs/>
          <w:color w:val="2E75B6"/>
          <w:sz w:val="24"/>
          <w:szCs w:val="24"/>
        </w:rPr>
        <w:t xml:space="preserve">4.3 Treatments Administered</w:t>
      </w:r>
    </w:p>
    <w:p>
      <w:pPr>
        <w:pStyle w:val="Heading3"/>
        <w:spacing w:before="160" w:after="60"/>
      </w:pPr>
      <w:r>
        <w:rPr>
          <w:rFonts w:ascii="Arial" w:cs="Arial" w:eastAsia="Arial" w:hAnsi="Arial"/>
          <w:b/>
          <w:bCs/>
          <w:color w:val="595959"/>
          <w:sz w:val="22"/>
          <w:szCs w:val="22"/>
        </w:rPr>
        <w:t xml:space="preserve">4.3.1 Arm A — Cervimab</w:t>
      </w:r>
    </w:p>
    <w:p>
      <w:pPr>
        <w:spacing w:before="60" w:after="80"/>
      </w:pPr>
      <w:r>
        <w:rPr>
          <w:rFonts w:ascii="Arial" w:cs="Arial" w:eastAsia="Arial" w:hAnsi="Arial"/>
          <w:sz w:val="20"/>
          <w:szCs w:val="20"/>
        </w:rPr>
        <w:t xml:space="preserve">Cervimab 400 mg in 250 mL 0.9% NaCl, administered as a 30-minute IV infusion on Day 1 of each 28-day cycle. Pre-medication (antihistamine and acetaminophen) was optional per institutional practice. Dose modifications were not permitted; dose delays of up to 6 weeks for toxicity management were allowed. Treatment was continued until progression, intolerable toxicity, or patient withdrawal.</w:t>
      </w:r>
    </w:p>
    <w:p>
      <w:pPr>
        <w:pStyle w:val="Heading3"/>
        <w:spacing w:before="160" w:after="60"/>
      </w:pPr>
      <w:r>
        <w:rPr>
          <w:rFonts w:ascii="Arial" w:cs="Arial" w:eastAsia="Arial" w:hAnsi="Arial"/>
          <w:b/>
          <w:bCs/>
          <w:color w:val="595959"/>
          <w:sz w:val="22"/>
          <w:szCs w:val="22"/>
        </w:rPr>
        <w:t xml:space="preserve">4.3.2 Arm B — mFOLFOX-6 plus Bevacizumab</w:t>
      </w:r>
    </w:p>
    <w:p>
      <w:pPr>
        <w:spacing w:before="60" w:after="80"/>
      </w:pPr>
      <w:r>
        <w:rPr>
          <w:rFonts w:ascii="Arial" w:cs="Arial" w:eastAsia="Arial" w:hAnsi="Arial"/>
          <w:sz w:val="20"/>
          <w:szCs w:val="20"/>
        </w:rPr>
        <w:t xml:space="preserve">mFOLFOX-6: oxaliplatin 85 mg/m2 IV over 2 hours, leucovorin 400 mg/m2 IV over 2 hours, 5-fluorouracil 400 mg/m2 IV bolus, then 5-fluorouracil 2400 mg/m2 IV over 46 hours, on Days 1 and 15 of each 28-day cycle. Bevacizumab 5 mg/kg IV over 30-90 minutes on Days 1 and 15. Dose modifications for toxicity were permitted per protocol Appendix D. Oxaliplatin discontinuation for cumulative neuropathy was allowed with continued 5-FU/leucovorin and bevacizumab.</w:t>
      </w:r>
    </w:p>
    <w:p>
      <w:pPr>
        <w:pStyle w:val="Heading2"/>
        <w:spacing w:before="240" w:after="80"/>
      </w:pPr>
      <w:r>
        <w:rPr>
          <w:rFonts w:ascii="Arial" w:cs="Arial" w:eastAsia="Arial" w:hAnsi="Arial"/>
          <w:b/>
          <w:bCs/>
          <w:color w:val="2E75B6"/>
          <w:sz w:val="24"/>
          <w:szCs w:val="24"/>
        </w:rPr>
        <w:t xml:space="preserve">4.4 Randomization and Blinding</w:t>
      </w:r>
    </w:p>
    <w:p>
      <w:pPr>
        <w:spacing w:before="60" w:after="80"/>
      </w:pPr>
      <w:r>
        <w:rPr>
          <w:rFonts w:ascii="Arial" w:cs="Arial" w:eastAsia="Arial" w:hAnsi="Arial"/>
          <w:sz w:val="20"/>
          <w:szCs w:val="20"/>
        </w:rPr>
        <w:t xml:space="preserve">Due to the different routes, schedules, and administration requirements of the two regimens, the study was conducted in an open-label design. However, all tumor response assessments were performed by BICR (Bio-Imaging Research Inc., Wayne, PA) whose personnel were blinded to treatment assignment and all clinical data. An Independent Data Monitoring Committee (IDMC) monitored safety and interim efficacy data in a blinded manner. The primary and key secondary endpoints were evaluated by BICR.</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5. STUDY PATIENTS</w:t>
      </w:r>
    </w:p>
    <w:p>
      <w:pPr>
        <w:pStyle w:val="Heading2"/>
        <w:spacing w:before="240" w:after="80"/>
      </w:pPr>
      <w:r>
        <w:rPr>
          <w:rFonts w:ascii="Arial" w:cs="Arial" w:eastAsia="Arial" w:hAnsi="Arial"/>
          <w:b/>
          <w:bCs/>
          <w:color w:val="2E75B6"/>
          <w:sz w:val="24"/>
          <w:szCs w:val="24"/>
        </w:rPr>
        <w:t xml:space="preserve">5.1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790"/>
        <w:gridCol w:w="2790"/>
      </w:tblGrid>
      <w:tr>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Patient Disposition</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Cervimab (N=220)</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mFOLFOX-6/Bev (N=220)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Randomized</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220 (100%)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220 (100%)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Received &gt;= 1 dose of study treatment</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218 (99.1%)</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217 (98.6%)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Ongoing at data cutoff (15 Jan 2026)</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94 (42.7%)</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 (10.0%)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Discontinued — Progressive disease</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71 (32.3%)</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139 (63.2%)</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Discontinued — AE</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24 (10.9%)</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39 (17.7%)</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Discontinued — Withdrew consent</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 (6.4%)</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 (5.5%)</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Discontinued — Death</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 (7.7%)</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 (3.6%)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Completed protocol-defined treatment</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 (ongoing until PD)</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 (ongoing until PD)</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Included in ITT population</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220 (100%)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220 (100%)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Included in Safety population</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218 (99.1%)</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217 (98.6%)</w:t>
            </w:r>
          </w:p>
        </w:tc>
      </w:tr>
    </w:tbl>
    <w:p>
      <w:pPr>
        <w:pStyle w:val="Heading2"/>
        <w:spacing w:before="240" w:after="80"/>
      </w:pPr>
      <w:r>
        <w:rPr>
          <w:rFonts w:ascii="Arial" w:cs="Arial" w:eastAsia="Arial" w:hAnsi="Arial"/>
          <w:b/>
          <w:bCs/>
          <w:color w:val="2E75B6"/>
          <w:sz w:val="24"/>
          <w:szCs w:val="24"/>
        </w:rPr>
        <w:t xml:space="preserve">5.2 Protocol Deviations</w:t>
      </w:r>
    </w:p>
    <w:p>
      <w:pPr>
        <w:spacing w:before="60" w:after="80"/>
      </w:pPr>
      <w:r>
        <w:rPr>
          <w:rFonts w:ascii="Arial" w:cs="Arial" w:eastAsia="Arial" w:hAnsi="Arial"/>
          <w:sz w:val="20"/>
          <w:szCs w:val="20"/>
        </w:rPr>
        <w:t xml:space="preserve">A total of 38 major protocol deviations were identified affecting 31 patients (7.0% of randomized population). The most common major deviations were dMMR/MSI-H testing non-compliance (10 patients; 2.3%) and missed tumor assessments resulting in &gt;2 consecutive missed scans (18 patients; 4.1%). No systematic differences in deviation rates between arms were observed. Three patients were excluded from the Per-Protocol population due to unconfirmed dMMR/MSI-H status at central lab.</w:t>
      </w:r>
    </w:p>
    <w:p>
      <w:pPr>
        <w:pStyle w:val="Heading2"/>
        <w:spacing w:before="240" w:after="80"/>
      </w:pPr>
      <w:r>
        <w:rPr>
          <w:rFonts w:ascii="Arial" w:cs="Arial" w:eastAsia="Arial" w:hAnsi="Arial"/>
          <w:b/>
          <w:bCs/>
          <w:color w:val="2E75B6"/>
          <w:sz w:val="24"/>
          <w:szCs w:val="24"/>
        </w:rPr>
        <w:t xml:space="preserve">5.3 Demographic and Baseline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790"/>
        <w:gridCol w:w="2790"/>
      </w:tblGrid>
      <w:tr>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Characteristic</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Cervimab (N=220)</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mFOLFOX-6/Bev (N=220)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Median age (range), years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62 (29-82)</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61 (31-79)</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Age &gt;= 65 years,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82 (37.3%)</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79 (35.9%)</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Male sex,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127 (57.7%)</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122 (55.5%)</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ECOG PS 0,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110 (50.0%)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108 (49.1%)</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ECOG PS 1-2,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110 (50.0%)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112 (50.9%)</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North America/Western Europe,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148 (67.3%)</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146 (66.4%)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Colon primary,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176 (80.0%)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172 (78.2%)</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Right colon,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126 (57.3%)</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129 (58.6%)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Synchronous metastases,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163 (74.1%)</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158 (71.8%)</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Liver metastases only,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78 (35.5%)</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81 (36.8%)</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&gt;= 2 metastatic sites,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121 (55.0%)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118 (53.6%)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KRAS/NRAS/BRAF wild-type,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101 (45.9%)</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98 (44.5%)</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BRAF V600E mutant,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42 (19.1%)</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44 (20.0%)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PD-L1 CPS &gt;= 1,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176 (80.0%)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174 (79.1%)</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PD-L1 CPS &gt;= 10,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121 (55.0%)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118 (53.6%)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High TMB (&gt;= 10 mut/Mb),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202 (91.8%)</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198 (90.0%)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Prior adjuvant chemotherapy,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34 (15.5%)</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36 (16.4%)</w:t>
            </w:r>
          </w:p>
        </w:tc>
      </w:tr>
    </w:tbl>
    <w:p>
      <w:pPr>
        <w:spacing w:before="60" w:after="80"/>
      </w:pPr>
      <w:r>
        <w:rPr>
          <w:rFonts w:ascii="Arial" w:cs="Arial" w:eastAsia="Arial" w:hAnsi="Arial"/>
          <w:sz w:val="20"/>
          <w:szCs w:val="20"/>
        </w:rPr>
        <w:t xml:space="preserve">Treatment arms were well balanced across all demographic and baseline disease characteristics. No statistically significant differences were observed between arms for any baseline variable.</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6. EFFICACY RESULTS</w:t>
      </w:r>
    </w:p>
    <w:p>
      <w:pPr>
        <w:pStyle w:val="Heading2"/>
        <w:spacing w:before="240" w:after="80"/>
      </w:pPr>
      <w:r>
        <w:rPr>
          <w:rFonts w:ascii="Arial" w:cs="Arial" w:eastAsia="Arial" w:hAnsi="Arial"/>
          <w:b/>
          <w:bCs/>
          <w:color w:val="2E75B6"/>
          <w:sz w:val="24"/>
          <w:szCs w:val="24"/>
        </w:rPr>
        <w:t xml:space="preserve">6.1 Primary Endpoint: Progression-Free Survival</w:t>
      </w:r>
    </w:p>
    <w:p>
      <w:pPr>
        <w:spacing w:before="60" w:after="80"/>
      </w:pPr>
      <w:r>
        <w:rPr>
          <w:rFonts w:ascii="Arial" w:cs="Arial" w:eastAsia="Arial" w:hAnsi="Arial"/>
          <w:sz w:val="20"/>
          <w:szCs w:val="20"/>
        </w:rPr>
        <w:t xml:space="preserve">At the pre-specified primary PFS analysis (data cutoff: 15 January 2026; 324 PFS events; 101.3% of planned events), cervimab demonstrated statistically significant and clinically meaningful superiority in PFS compared to mFOLFOX-6 plus bevacizumab in the ITT population.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790"/>
        <w:gridCol w:w="2790"/>
      </w:tblGrid>
      <w:tr>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PFS Parameter</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Cervimab (N=220)</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mFOLFOX-6/Bev (N=220)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Number of events (progressions or deaths),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118 (53.6%)</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206 (93.6%)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Censored observations,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102 (46.4%)</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 (6.4%)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Median PFS (95% CI), months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26.3 (21.8, NR)</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8.9 (7.2, 10.4)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Hazard Ratio (95% CI)</w:t>
            </w:r>
          </w:p>
        </w:tc>
        <w:tc>
          <w:tcPr>
            <w:tcW w:type="dxa" w:w="27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0.38 (0.29, 0.51)</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Reference</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Stratified log-rank p-value</w:t>
            </w:r>
          </w:p>
        </w:tc>
        <w:tc>
          <w:tcPr>
            <w:tcW w:type="dxa" w:w="27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&lt; 0.0001</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PFS rate at 6 months (95% CI)</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76.4% (70.3, 81.5)</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51.8% (44.9, 58.3)</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PFS rate at 12 months (95% CI)</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61.2% (54.3, 67.5)</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18.7% (13.9, 24.1)</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PFS rate at 18 months (95% CI)</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54.9% (47.8, 61.4)</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8.3% (4.8, 13.2)</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PFS rate at 24 months (95% CI)</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48.1% (40.9, 55.0)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4.1% (1.7, 8.1)</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RMST at 24 months (months)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18.7 (17.2, 20.2)</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9.1 (8.3, 9.9)</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RMST difference (95% CI), months</w:t>
            </w:r>
          </w:p>
        </w:tc>
        <w:tc>
          <w:tcPr>
            <w:tcW w:type="dxa" w:w="27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9.6 (7.8, 11.4); p &lt; 0.0001</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Reference</w:t>
            </w:r>
          </w:p>
        </w:tc>
      </w:tr>
    </w:tbl>
    <w:p>
      <w:pPr>
        <w:spacing w:before="80" w:after="80"/>
      </w:pPr>
      <w:r>
        <w:t xml:space="preserve"/>
      </w:r>
    </w:p>
    <w:p>
      <w:pPr>
        <w:spacing w:before="60" w:after="80"/>
      </w:pPr>
      <w:r>
        <w:rPr>
          <w:rFonts w:ascii="Arial" w:cs="Arial" w:eastAsia="Arial" w:hAnsi="Arial"/>
          <w:sz w:val="20"/>
          <w:szCs w:val="20"/>
        </w:rPr>
        <w:t xml:space="preserve">The PFS benefit for cervimab was consistent across all pre-specified sensitivity analyses including unstratified log-rank (HR 0.39), BICR vs. investigator assessment (HR 0.40 by investigator), PP population (HR 0.36), and alternative censoring rules. The Schoenfeld residuals test did not indicate violation of the proportional hazards assumption (p = 0.38).</w:t>
      </w:r>
    </w:p>
    <w:p>
      <w:pPr>
        <w:pStyle w:val="Heading2"/>
        <w:spacing w:before="240" w:after="80"/>
      </w:pPr>
      <w:r>
        <w:rPr>
          <w:rFonts w:ascii="Arial" w:cs="Arial" w:eastAsia="Arial" w:hAnsi="Arial"/>
          <w:b/>
          <w:bCs/>
          <w:color w:val="2E75B6"/>
          <w:sz w:val="24"/>
          <w:szCs w:val="24"/>
        </w:rPr>
        <w:t xml:space="preserve">6.2 Key Secondary Endpoint: Overall Survival</w:t>
      </w:r>
    </w:p>
    <w:p>
      <w:pPr>
        <w:spacing w:before="60" w:after="80"/>
      </w:pPr>
      <w:r>
        <w:rPr>
          <w:rFonts w:ascii="Arial" w:cs="Arial" w:eastAsia="Arial" w:hAnsi="Arial"/>
          <w:sz w:val="20"/>
          <w:szCs w:val="20"/>
        </w:rPr>
        <w:t xml:space="preserve">At the primary PFS analysis data cutoff, 186 OS events (42.3% of patients) had occurred. Cervimab demonstrated a statistically significant improvement in OS, meeting the hierarchical testing criterion following the PFS result.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790"/>
        <w:gridCol w:w="2790"/>
      </w:tblGrid>
      <w:tr>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OS Parameter</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Cervimab (N=220)</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mFOLFOX-6/Bev (N=220)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Deaths,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71 (32.3%)</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115 (52.3%)</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Median OS (95% CI), months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reached</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28.1 (24.3, 32.7)</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Hazard Ratio (95% CI)</w:t>
            </w:r>
          </w:p>
        </w:tc>
        <w:tc>
          <w:tcPr>
            <w:tcW w:type="dxa" w:w="27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0.61 (0.44, 0.85)</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Reference</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Stratified log-rank p-value</w:t>
            </w:r>
          </w:p>
        </w:tc>
        <w:tc>
          <w:tcPr>
            <w:tcW w:type="dxa" w:w="27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0.0037</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OS rate at 12 months (95% CI)</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82.3% (76.7, 86.7)</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69.4% (62.9, 75.1)</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OS rate at 24 months (95% CI)</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68.9% (62.1, 74.8)</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46.2% (39.4, 52.7)</w:t>
            </w:r>
          </w:p>
        </w:tc>
      </w:tr>
    </w:tbl>
    <w:p>
      <w:pPr>
        <w:pStyle w:val="Heading2"/>
        <w:spacing w:before="240" w:after="80"/>
      </w:pPr>
      <w:r>
        <w:rPr>
          <w:rFonts w:ascii="Arial" w:cs="Arial" w:eastAsia="Arial" w:hAnsi="Arial"/>
          <w:b/>
          <w:bCs/>
          <w:color w:val="2E75B6"/>
          <w:sz w:val="24"/>
          <w:szCs w:val="24"/>
        </w:rPr>
        <w:t xml:space="preserve">6.3 Objective Response Rate and Duration of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790"/>
        <w:gridCol w:w="2790"/>
      </w:tblGrid>
      <w:tr>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Response Parameter</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Cervimab (N=220)</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mFOLFOX-6/Bev (N=220)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Complete Response (CR),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28 (12.7%)</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 (3.6%)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Partial Response (PR),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76 (34.5%)</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76 (34.5%)</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Stable Disease (SD),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54 (24.5%)</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82 (37.3%)</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Progressive Disease (PD),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38 (17.3%)</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44 (20.0%)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evaluable,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24 (10.9%)</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 (4.5%)</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ORR — CR + PR (95% CI)</w:t>
            </w:r>
          </w:p>
        </w:tc>
        <w:tc>
          <w:tcPr>
            <w:tcW w:type="dxa" w:w="27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47.3% (40.5%, 54.2%)</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38.2% (31.7%, 44.9%)</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ORR difference (95% CI), CMH-adjusted</w:t>
            </w:r>
          </w:p>
        </w:tc>
        <w:tc>
          <w:tcPr>
            <w:tcW w:type="dxa" w:w="279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+9.1% (0.8%, 17.4%); p = 0.0317</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Reference</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Disease Control Rate (DCR) at Wk 16</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78.6%</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66.4%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Median Duration of Response (95% CI)</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Not reached (NR, NR)</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9.3 months (7.8, 11.6)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DoR &gt;= 12 months (among responders)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67.3%</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DoR &gt;= 24 months (among responders)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48.6%</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4.8%</w:t>
            </w:r>
          </w:p>
        </w:tc>
      </w:tr>
    </w:tbl>
    <w:p>
      <w:pPr>
        <w:pStyle w:val="Heading2"/>
        <w:spacing w:before="240" w:after="80"/>
      </w:pPr>
      <w:r>
        <w:rPr>
          <w:rFonts w:ascii="Arial" w:cs="Arial" w:eastAsia="Arial" w:hAnsi="Arial"/>
          <w:b/>
          <w:bCs/>
          <w:color w:val="2E75B6"/>
          <w:sz w:val="24"/>
          <w:szCs w:val="24"/>
        </w:rPr>
        <w:t xml:space="preserve">6.4 Subgroup Analyses — PFS Forest Plot Summary</w:t>
      </w:r>
    </w:p>
    <w:p>
      <w:pPr>
        <w:spacing w:before="60" w:after="80"/>
      </w:pPr>
      <w:r>
        <w:rPr>
          <w:rFonts w:ascii="Arial" w:cs="Arial" w:eastAsia="Arial" w:hAnsi="Arial"/>
          <w:sz w:val="20"/>
          <w:szCs w:val="20"/>
        </w:rPr>
        <w:t xml:space="preserve">PFS benefit favored cervimab across all pre-specified subgroups. Notably, the benefit was consistent regardless of PD-L1 CPS status, TMB level (high vs. low), ECOG performance status, geographic region, and KRAS/NRAS/BRAF mutational status. Patients with BRAF V600E mutations (n = 86) had the most pronounced PFS benefit (HR 0.28, 95% CI: 0.16, 0.47), consistent with the known biology of this high-TMB subset. No statistically significant treatment-by-subgroup interaction was detected for any pre-specified subgroup (all interaction p-values &gt; 0.10).</w:t>
      </w:r>
    </w:p>
    <w:p>
      <w:pPr>
        <w:pStyle w:val="Heading2"/>
        <w:spacing w:before="240" w:after="80"/>
      </w:pPr>
      <w:r>
        <w:rPr>
          <w:rFonts w:ascii="Arial" w:cs="Arial" w:eastAsia="Arial" w:hAnsi="Arial"/>
          <w:b/>
          <w:bCs/>
          <w:color w:val="2E75B6"/>
          <w:sz w:val="24"/>
          <w:szCs w:val="24"/>
        </w:rPr>
        <w:t xml:space="preserve">6.5 Health-Related Quality of Life</w:t>
      </w:r>
    </w:p>
    <w:p>
      <w:pPr>
        <w:spacing w:before="60" w:after="80"/>
      </w:pPr>
      <w:r>
        <w:rPr>
          <w:rFonts w:ascii="Arial" w:cs="Arial" w:eastAsia="Arial" w:hAnsi="Arial"/>
          <w:sz w:val="20"/>
          <w:szCs w:val="20"/>
        </w:rPr>
        <w:t xml:space="preserve">Time to definitive clinically meaningful deterioration (TTCD) in EORTC QLQ-C30 global health status was significantly prolonged with cervimab (median not reached) versus mFOLFOX-6/bevacizumab (median 9.3 months); HR = 0.51 (95% CI: 0.36, 0.71; p &lt; 0.0001). Cervimab-treated patients showed significantly better preservation of physical functioning (p = 0.003), role functioning (p = 0.018), and significantly lower fatigue scores (p &lt; 0.0001) and nausea/vomiting (p &lt; 0.0001) compared to the control arm. EQ-5D-5L utility index was significantly higher in the cervimab arm from Week 8 onward (all p &lt; 0.05 by MMRM).</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7. SAFETY RESULTS</w:t>
      </w:r>
    </w:p>
    <w:p>
      <w:pPr>
        <w:pStyle w:val="Heading2"/>
        <w:spacing w:before="240" w:after="80"/>
      </w:pPr>
      <w:r>
        <w:rPr>
          <w:rFonts w:ascii="Arial" w:cs="Arial" w:eastAsia="Arial" w:hAnsi="Arial"/>
          <w:b/>
          <w:bCs/>
          <w:color w:val="2E75B6"/>
          <w:sz w:val="24"/>
          <w:szCs w:val="24"/>
        </w:rPr>
        <w:t xml:space="preserve">7.1 Extent of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790"/>
        <w:gridCol w:w="2790"/>
      </w:tblGrid>
      <w:tr>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Exposure Parameter</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Cervimab (N=218)</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mFOLFOX-6/Bev (N=217)</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Median treatment duration (range), months</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22.4 (0.9-48.1)</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7.3 (0.5-42.6)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Median number of cycles (range)</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20 (1-44)</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 (1-42)</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Relative dose intensity &gt;= 85%,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182 (83.5%)</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141 (65.0%)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Dose delay (&gt;= 1 episode),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72 (33.0%)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148 (68.2%)</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Dose reduction, n (%)</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102 (47.0%)</w:t>
            </w:r>
          </w:p>
        </w:tc>
      </w:tr>
    </w:tbl>
    <w:p>
      <w:pPr>
        <w:pStyle w:val="Heading2"/>
        <w:spacing w:before="240" w:after="80"/>
      </w:pPr>
      <w:r>
        <w:rPr>
          <w:rFonts w:ascii="Arial" w:cs="Arial" w:eastAsia="Arial" w:hAnsi="Arial"/>
          <w:b/>
          <w:bCs/>
          <w:color w:val="2E75B6"/>
          <w:sz w:val="24"/>
          <w:szCs w:val="24"/>
        </w:rPr>
        <w:t xml:space="preserve">7.2 Adverse Event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2790"/>
        <w:gridCol w:w="2790"/>
      </w:tblGrid>
      <w:tr>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AE Category</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Cervimab, n (%)</w:t>
            </w:r>
          </w:p>
        </w:tc>
        <w:tc>
          <w:tcPr>
            <w:tcW w:type="dxa" w:w="2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mFOLFOX-6/Bev, n (%)</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Any AE</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215 (98.6%)</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217 (100%)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Any Grade 3-4 AE</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85 (39.0%)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158 (72.8%)</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Any Grade 5 AE (death)</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17 (7.8%)</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 (3.7%)</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Treatment-related AE (TRAE), any grade</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187 (85.8%)</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214 (98.6%)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Grade 3-4 TRAE</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62 (28.4%)</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155 (71.4%)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Serious AE (SAE)</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74 (33.9%)</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96 (44.2%)</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TRAE leading to discontinuation</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24 (11.0%)</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39 (18.0%)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Treatment-related death</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 (0.9%)</w:t>
            </w:r>
          </w:p>
        </w:tc>
        <w:tc>
          <w:tcPr>
            <w:tcW w:type="dxa" w:w="279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 (0.5%)</w:t>
            </w:r>
          </w:p>
        </w:tc>
      </w:tr>
    </w:tbl>
    <w:p>
      <w:pPr>
        <w:pStyle w:val="Heading2"/>
        <w:spacing w:before="240" w:after="80"/>
      </w:pPr>
      <w:r>
        <w:rPr>
          <w:rFonts w:ascii="Arial" w:cs="Arial" w:eastAsia="Arial" w:hAnsi="Arial"/>
          <w:b/>
          <w:bCs/>
          <w:color w:val="2E75B6"/>
          <w:sz w:val="24"/>
          <w:szCs w:val="24"/>
        </w:rPr>
        <w:t xml:space="preserve">7.3 Most Common Adverse Events (Cervimab Arm, Any Grade, &gt;=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1170"/>
        <w:gridCol w:w="1620"/>
        <w:gridCol w:w="1170"/>
        <w:gridCol w:w="1620"/>
      </w:tblGrid>
      <w:tr>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Adverse Event (MedDRA PT)</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 Any G</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Cerv Gr 3-4</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FOLFOX Any G</w:t>
            </w:r>
          </w:p>
        </w:tc>
        <w:tc>
          <w:tcPr>
            <w:tcW w:type="dxa" w:w="16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FOLFOX Gr 3-4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Fatigue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41.3%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54.8%</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12.4%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Diarrhea</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31.2%</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6.4%</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48.8%</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10.1%</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Nausea</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27.1%</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67.3%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8.3%</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Pruritus</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22.9%</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5.1%</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Hypothyroidism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Rash (maculopapular)</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16.1%</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9.2%</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1.4%</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Peripheral neuropathy (sensory)</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62.7%</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11.5%</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Neutropenia</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4.6%</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44.2%</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28.6%</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Colitis (immune-mediated)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11.9%</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4.6%</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0.9%</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Hepatitis (immune-mediated)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7.3%</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3.2%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Pneumonitis (immune-mediated)</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6.4%</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Infusion-related reaction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10.6%</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0.9%</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6.9%</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0.9%</w:t>
            </w:r>
          </w:p>
        </w:tc>
      </w:tr>
      <w:tr>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Hypertension</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5.5%</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22.6%</w:t>
            </w:r>
          </w:p>
        </w:tc>
        <w:tc>
          <w:tcPr>
            <w:tcW w:type="dxa" w:w="1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18"/>
                <w:szCs w:val="18"/>
              </w:rPr>
              <w:t xml:space="preserve">8.3%</w:t>
            </w:r>
          </w:p>
        </w:tc>
      </w:tr>
    </w:tbl>
    <w:p>
      <w:pPr>
        <w:pStyle w:val="Heading2"/>
        <w:spacing w:before="240" w:after="80"/>
      </w:pPr>
      <w:r>
        <w:rPr>
          <w:rFonts w:ascii="Arial" w:cs="Arial" w:eastAsia="Arial" w:hAnsi="Arial"/>
          <w:b/>
          <w:bCs/>
          <w:color w:val="2E75B6"/>
          <w:sz w:val="24"/>
          <w:szCs w:val="24"/>
        </w:rPr>
        <w:t xml:space="preserve">7.4 Immune-Mediated Adverse Events</w:t>
      </w:r>
    </w:p>
    <w:p>
      <w:pPr>
        <w:spacing w:before="60" w:after="80"/>
      </w:pPr>
      <w:r>
        <w:rPr>
          <w:rFonts w:ascii="Arial" w:cs="Arial" w:eastAsia="Arial" w:hAnsi="Arial"/>
          <w:sz w:val="20"/>
          <w:szCs w:val="20"/>
        </w:rPr>
        <w:t xml:space="preserve">Immune-mediated AEs (imAEs) of any grade were reported in 70 cervimab-treated patients (32.1%) versus 6 (2.8%) in the control arm. The most common imAEs in the cervimab arm were colitis (11.9%, Grade 3-4: 4.6%), hypothyroidism (18.3%, all Grade 1-2), and pneumonitis (6.4%, Grade 3-4: 2.8%). Systemic corticosteroids were required in 54 patients (24.8%) in the cervimab arm for imAE management; steroid-sparing agents (infliximab or mycophenolate mofetil) were required in 8 patients (3.7%). Median time to resolution of Grade &gt;= 3 imAEs was 6.4 weeks (range: 2-28 weeks). No patients developed Grade 4-5 colitis or hepatitis; two deaths were adjudicated as treatment-related (Grade 5 pneumonitis: n=1; Grade 5 myocarditis: n=1).</w:t>
      </w:r>
    </w:p>
    <w:p>
      <w:pPr>
        <w:pStyle w:val="Heading2"/>
        <w:spacing w:before="240" w:after="80"/>
      </w:pPr>
      <w:r>
        <w:rPr>
          <w:rFonts w:ascii="Arial" w:cs="Arial" w:eastAsia="Arial" w:hAnsi="Arial"/>
          <w:b/>
          <w:bCs/>
          <w:color w:val="2E75B6"/>
          <w:sz w:val="24"/>
          <w:szCs w:val="24"/>
        </w:rPr>
        <w:t xml:space="preserve">7.5 Deaths</w:t>
      </w:r>
    </w:p>
    <w:p>
      <w:pPr>
        <w:spacing w:before="60" w:after="80"/>
      </w:pPr>
      <w:r>
        <w:rPr>
          <w:rFonts w:ascii="Arial" w:cs="Arial" w:eastAsia="Arial" w:hAnsi="Arial"/>
          <w:sz w:val="20"/>
          <w:szCs w:val="20"/>
        </w:rPr>
        <w:t xml:space="preserve">A total of 186 deaths occurred during the study (71 cervimab; 115 control). The majority of deaths were due to progressive disease (67 cervimab; 107 control). Three deaths were adjudicated as treatment-related: 2 in the cervimab arm (1 Grade 5 pneumonitis; 1 Grade 5 myocarditis) and 1 in the control arm (Grade 5 sepsis secondary to febrile neutropenia). All treatment-related deaths were reviewed by the IDMC and Medical Monitor. No clustering of specific AEs preceding death was identified.</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8. PHARMACOKINETICS AND PHARMACODYNAMICS</w:t>
      </w:r>
    </w:p>
    <w:p>
      <w:pPr>
        <w:pStyle w:val="Heading2"/>
        <w:spacing w:before="240" w:after="80"/>
      </w:pPr>
      <w:r>
        <w:rPr>
          <w:rFonts w:ascii="Arial" w:cs="Arial" w:eastAsia="Arial" w:hAnsi="Arial"/>
          <w:b/>
          <w:bCs/>
          <w:color w:val="2E75B6"/>
          <w:sz w:val="24"/>
          <w:szCs w:val="24"/>
        </w:rPr>
        <w:t xml:space="preserve">8.1 Pharmacokinetics</w:t>
      </w:r>
    </w:p>
    <w:p>
      <w:pPr>
        <w:spacing w:before="60" w:after="80"/>
      </w:pPr>
      <w:r>
        <w:rPr>
          <w:rFonts w:ascii="Arial" w:cs="Arial" w:eastAsia="Arial" w:hAnsi="Arial"/>
          <w:sz w:val="20"/>
          <w:szCs w:val="20"/>
        </w:rPr>
        <w:t xml:space="preserve">Cervimab PK was characterized in 211 patients with evaluable PK data. Steady-state serum concentrations were achieved by Cycle 3 (Week 8), consistent with the observed half-life of approximately 26-28 days. Mean (CV%) steady-state trough concentration (Ctrough,ss) was 42.8 mcg/mL (48.2%), and mean peak concentration (Cmax,ss) was 312.7 mcg/mL (31.4%). PK parameters were consistent with prior Phase 1/2 studies and exhibited low intra-patient variability over time. Body weight was identified as a statistically significant but clinically minor covariate; no dose adjustment was warranted.</w:t>
      </w:r>
    </w:p>
    <w:p>
      <w:pPr>
        <w:pStyle w:val="Heading2"/>
        <w:spacing w:before="240" w:after="80"/>
      </w:pPr>
      <w:r>
        <w:rPr>
          <w:rFonts w:ascii="Arial" w:cs="Arial" w:eastAsia="Arial" w:hAnsi="Arial"/>
          <w:b/>
          <w:bCs/>
          <w:color w:val="2E75B6"/>
          <w:sz w:val="24"/>
          <w:szCs w:val="24"/>
        </w:rPr>
        <w:t xml:space="preserve">8.2 Pharmacodynamic Biomarkers</w:t>
      </w:r>
    </w:p>
    <w:p>
      <w:pPr>
        <w:spacing w:before="60" w:after="80"/>
      </w:pPr>
      <w:r>
        <w:rPr>
          <w:rFonts w:ascii="Arial" w:cs="Arial" w:eastAsia="Arial" w:hAnsi="Arial"/>
          <w:sz w:val="20"/>
          <w:szCs w:val="20"/>
        </w:rPr>
        <w:t xml:space="preserve">PD-1 receptor occupancy on circulating CD4+ and CD8+ T cells exceeded 98% at all post-dose time points assessed (Week 2, 4, and 8), confirming complete and sustained target engagement at the selected dose. Baseline PD-L1 CPS was evaluated as a biomarker of efficacy; while CPS &gt;= 1 and CPS &gt;= 10 subgroups showed numerically greater PFS benefit (HR 0.33 and 0.29, respectively), PFS benefit was also observed in the CPS &lt; 1 subgroup (HR 0.52, 95% CI: 0.26, 1.02), consistent with the observation that dMMR/MSI-H is the dominant predictive biomarker regardless of PD-L1 expression.</w:t>
      </w:r>
    </w:p>
    <w:p>
      <w:pPr>
        <w:spacing w:before="60" w:after="80"/>
      </w:pPr>
      <w:r>
        <w:rPr>
          <w:rFonts w:ascii="Arial" w:cs="Arial" w:eastAsia="Arial" w:hAnsi="Arial"/>
          <w:sz w:val="20"/>
          <w:szCs w:val="20"/>
        </w:rPr>
        <w:t xml:space="preserve">On-treatment increases in intratumoral CD8+ TIL density (available in 47 paired biopsies) were significantly greater in responding patients (median +4.2-fold from baseline) versus non-responders (+1.1-fold; p = 0.0003). ctDNA clearance by Week 8 was achieved in 61.4% of responding cervimab patients and was associated with significantly improved PFS (HR for ctDNA clearance vs. non-clearance: 0.34, 95% CI: 0.22, 0.52).</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9. DISCUSSION AND CONCLUSIONS</w:t>
      </w:r>
    </w:p>
    <w:p>
      <w:pPr>
        <w:pStyle w:val="Heading2"/>
        <w:spacing w:before="240" w:after="80"/>
      </w:pPr>
      <w:r>
        <w:rPr>
          <w:rFonts w:ascii="Arial" w:cs="Arial" w:eastAsia="Arial" w:hAnsi="Arial"/>
          <w:b/>
          <w:bCs/>
          <w:color w:val="2E75B6"/>
          <w:sz w:val="24"/>
          <w:szCs w:val="24"/>
        </w:rPr>
        <w:t xml:space="preserve">9.1 Efficacy Summary</w:t>
      </w:r>
    </w:p>
    <w:p>
      <w:pPr>
        <w:spacing w:before="60" w:after="80"/>
      </w:pPr>
      <w:r>
        <w:rPr>
          <w:rFonts w:ascii="Arial" w:cs="Arial" w:eastAsia="Arial" w:hAnsi="Arial"/>
          <w:sz w:val="20"/>
          <w:szCs w:val="20"/>
        </w:rPr>
        <w:t xml:space="preserve">The primary analysis of CERV-301 demonstrated highly statistically significant and clinically meaningful superiority of cervimab over the standard-of-care mFOLFOX-6 plus bevacizumab regimen in patients with previously untreated dMMR/MSI-H metastatic CRC. The primary endpoint was met with a hazard ratio for PFS of 0.38 (95% CI: 0.29, 0.51; p &lt; 0.0001), representing a 62% reduction in the risk of disease progression or death. The magnitude of PFS benefit substantially exceeds the protocol-assumed HR of 0.55, reflecting a highly active agent in this molecularly defined population.</w:t>
      </w:r>
    </w:p>
    <w:p>
      <w:pPr>
        <w:spacing w:before="60" w:after="80"/>
      </w:pPr>
      <w:r>
        <w:rPr>
          <w:rFonts w:ascii="Arial" w:cs="Arial" w:eastAsia="Arial" w:hAnsi="Arial"/>
          <w:sz w:val="20"/>
          <w:szCs w:val="20"/>
        </w:rPr>
        <w:t xml:space="preserve">Key secondary endpoints further support the clinical benefit of cervimab: OS was significantly improved (HR 0.61; p = 0.0037) despite immaturity of OS data and significant post-progression therapy crossover in the control arm. Complete response rates were more than 3-fold higher with cervimab (12.7% vs. 3.6%), and durable responses were substantially more frequent (DoR &gt;= 24 months in 48.6% of cervimab responders vs. 4.8% with mFOLFOX-6). Patient-reported outcomes consistently favored cervimab across all functional and symptom domains.</w:t>
      </w:r>
    </w:p>
    <w:p>
      <w:pPr>
        <w:spacing w:before="60" w:after="80"/>
      </w:pPr>
      <w:r>
        <w:rPr>
          <w:rFonts w:ascii="Arial" w:cs="Arial" w:eastAsia="Arial" w:hAnsi="Arial"/>
          <w:sz w:val="20"/>
          <w:szCs w:val="20"/>
        </w:rPr>
        <w:t xml:space="preserve">Subgroup analyses demonstrated consistency of PFS benefit across all pre-specified subgroups, including patients who are traditionally considered poor-prognosis (BRAF V600E mutant, ECOG PS 1-2, right-sided colon cancer, liver metastases), supporting the broad applicability of cervimab in the dMMR/MSI-H first-line mCRC setting.</w:t>
      </w:r>
    </w:p>
    <w:p>
      <w:pPr>
        <w:pStyle w:val="Heading2"/>
        <w:spacing w:before="240" w:after="80"/>
      </w:pPr>
      <w:r>
        <w:rPr>
          <w:rFonts w:ascii="Arial" w:cs="Arial" w:eastAsia="Arial" w:hAnsi="Arial"/>
          <w:b/>
          <w:bCs/>
          <w:color w:val="2E75B6"/>
          <w:sz w:val="24"/>
          <w:szCs w:val="24"/>
        </w:rPr>
        <w:t xml:space="preserve">9.2 Safety Summary</w:t>
      </w:r>
    </w:p>
    <w:p>
      <w:pPr>
        <w:spacing w:before="60" w:after="80"/>
      </w:pPr>
      <w:r>
        <w:rPr>
          <w:rFonts w:ascii="Arial" w:cs="Arial" w:eastAsia="Arial" w:hAnsi="Arial"/>
          <w:sz w:val="20"/>
          <w:szCs w:val="20"/>
        </w:rPr>
        <w:t xml:space="preserve">Cervimab demonstrated a safety profile consistent with the anti-PD-1 drug class and was meaningfully better tolerated than mFOLFOX-6 plus bevacizumab for key chemotherapy-specific toxicities (peripheral neuropathy, neutropenia, nausea, hypertension). The immune-mediated AE profile (32.1% any grade; Grade 3-4 in approximately 12%) is consistent with approved anti-PD-1 agents and was manageable with established algorithms. Two treatment-related deaths occurred in the cervimab arm (0.9%), consistent with class effects (pneumonitis, myocarditis); both had been identified in previous cervimab studies and were specifically monitored under the Cervimab Immune-Mediated Toxicity Management Guide.</w:t>
      </w:r>
    </w:p>
    <w:p>
      <w:pPr>
        <w:spacing w:before="60" w:after="80"/>
      </w:pPr>
      <w:r>
        <w:rPr>
          <w:rFonts w:ascii="Arial" w:cs="Arial" w:eastAsia="Arial" w:hAnsi="Arial"/>
          <w:sz w:val="20"/>
          <w:szCs w:val="20"/>
        </w:rPr>
        <w:t xml:space="preserve">The benefit-risk profile of cervimab is highly favorable in the dMMR/MSI-H mCRC first-line setting, with substantially greater efficacy accompanied by lower rates of Grade 3-4 TRAEs (28.4% vs. 71.4%), superior treatment tolerability (relative dose intensity &gt;= 85% in 83.5% vs. 65.0%), and better preservation of quality of life compared to the chemotherapy/biologic standard of care.</w:t>
      </w:r>
    </w:p>
    <w:p>
      <w:pPr>
        <w:pStyle w:val="Heading2"/>
        <w:spacing w:before="240" w:after="80"/>
      </w:pPr>
      <w:r>
        <w:rPr>
          <w:rFonts w:ascii="Arial" w:cs="Arial" w:eastAsia="Arial" w:hAnsi="Arial"/>
          <w:b/>
          <w:bCs/>
          <w:color w:val="2E75B6"/>
          <w:sz w:val="24"/>
          <w:szCs w:val="24"/>
        </w:rPr>
        <w:t xml:space="preserve">9.3 Conclusions</w:t>
      </w:r>
    </w:p>
    <w:p>
      <w:pPr>
        <w:spacing w:before="60" w:after="80"/>
      </w:pPr>
      <w:r>
        <w:rPr>
          <w:rFonts w:ascii="Arial" w:cs="Arial" w:eastAsia="Arial" w:hAnsi="Arial"/>
          <w:sz w:val="20"/>
          <w:szCs w:val="20"/>
        </w:rPr>
        <w:t xml:space="preserve">Cervimab 400 mg Q4W demonstrated statistically significant superiority over mFOLFOX-6 plus bevacizumab in PFS (primary endpoint), OS, ORR, DoR, and patient-reported HRQoL in patients with previously untreated dMMR/MSI-H metastatic CRC. The safety profile was consistent with the anti-PD-1 class, manageable, and favorable relative to the comparator. These results from CERV-301 support the submission of a Biologics License Application (BLA) to the FDA for the approval of cervimab as a first-line treatment for patients with dMMR/MSI-H metastatic colorectal cancer, and position cervimab as a potential new standard of care in this biomarker-defined population.</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10. REFERENCES</w:t>
      </w:r>
    </w:p>
    <w:p>
      <w:pPr>
        <w:pStyle w:val="ListParagraph"/>
        <w:numPr>
          <w:ilvl w:val="0"/>
          <w:numId w:val="2"/>
        </w:numPr>
        <w:spacing w:before="40" w:after="40"/>
      </w:pPr>
      <w:r>
        <w:rPr>
          <w:rFonts w:ascii="Arial" w:cs="Arial" w:eastAsia="Arial" w:hAnsi="Arial"/>
          <w:sz w:val="20"/>
          <w:szCs w:val="20"/>
        </w:rPr>
        <w:t xml:space="preserve">Andre T, et al. Pembrolizumab in Microsatellite-Instability-High Advanced Colorectal Cancer. N Engl J Med. 2020;383:2207-2218.</w:t>
      </w:r>
    </w:p>
    <w:p>
      <w:pPr>
        <w:pStyle w:val="ListParagraph"/>
        <w:numPr>
          <w:ilvl w:val="0"/>
          <w:numId w:val="2"/>
        </w:numPr>
        <w:spacing w:before="40" w:after="40"/>
      </w:pPr>
      <w:r>
        <w:rPr>
          <w:rFonts w:ascii="Arial" w:cs="Arial" w:eastAsia="Arial" w:hAnsi="Arial"/>
          <w:sz w:val="20"/>
          <w:szCs w:val="20"/>
        </w:rPr>
        <w:t xml:space="preserve">Sung H, et al. Global Cancer Statistics 2020: GLOBOCAN Estimates of Incidence and Mortality Worldwide. CA Cancer J Clin. 2021;71:209-249.</w:t>
      </w:r>
    </w:p>
    <w:p>
      <w:pPr>
        <w:pStyle w:val="ListParagraph"/>
        <w:numPr>
          <w:ilvl w:val="0"/>
          <w:numId w:val="2"/>
        </w:numPr>
        <w:spacing w:before="40" w:after="40"/>
      </w:pPr>
      <w:r>
        <w:rPr>
          <w:rFonts w:ascii="Arial" w:cs="Arial" w:eastAsia="Arial" w:hAnsi="Arial"/>
          <w:sz w:val="20"/>
          <w:szCs w:val="20"/>
        </w:rPr>
        <w:t xml:space="preserve">Le DT, et al. PD-1 Blockade in Tumors with Mismatch-Repair Deficiency. N Engl J Med. 2015;372:2509-2520.</w:t>
      </w:r>
    </w:p>
    <w:p>
      <w:pPr>
        <w:pStyle w:val="ListParagraph"/>
        <w:numPr>
          <w:ilvl w:val="0"/>
          <w:numId w:val="2"/>
        </w:numPr>
        <w:spacing w:before="40" w:after="40"/>
      </w:pPr>
      <w:r>
        <w:rPr>
          <w:rFonts w:ascii="Arial" w:cs="Arial" w:eastAsia="Arial" w:hAnsi="Arial"/>
          <w:sz w:val="20"/>
          <w:szCs w:val="20"/>
        </w:rPr>
        <w:t xml:space="preserve">Eisenhauer EA, et al. New response evaluation criteria in solid tumours: Revised RECIST guideline (version 1.1). Eur J Cancer. 2009;45:228-247.</w:t>
      </w:r>
    </w:p>
    <w:p>
      <w:pPr>
        <w:pStyle w:val="ListParagraph"/>
        <w:numPr>
          <w:ilvl w:val="0"/>
          <w:numId w:val="2"/>
        </w:numPr>
        <w:spacing w:before="40" w:after="40"/>
      </w:pPr>
      <w:r>
        <w:rPr>
          <w:rFonts w:ascii="Arial" w:cs="Arial" w:eastAsia="Arial" w:hAnsi="Arial"/>
          <w:sz w:val="20"/>
          <w:szCs w:val="20"/>
        </w:rPr>
        <w:t xml:space="preserve">ICH E3. Structure and Content of Clinical Study Reports. 1995.</w:t>
      </w:r>
    </w:p>
    <w:p>
      <w:pPr>
        <w:pStyle w:val="ListParagraph"/>
        <w:numPr>
          <w:ilvl w:val="0"/>
          <w:numId w:val="2"/>
        </w:numPr>
        <w:spacing w:before="40" w:after="40"/>
      </w:pPr>
      <w:r>
        <w:rPr>
          <w:rFonts w:ascii="Arial" w:cs="Arial" w:eastAsia="Arial" w:hAnsi="Arial"/>
          <w:sz w:val="20"/>
          <w:szCs w:val="20"/>
        </w:rPr>
        <w:t xml:space="preserve">ICH E9(R1). Estimands and Sensitivity Analysis in Clinical Trials. 2019.</w:t>
      </w:r>
    </w:p>
    <w:p>
      <w:pPr>
        <w:pStyle w:val="ListParagraph"/>
        <w:numPr>
          <w:ilvl w:val="0"/>
          <w:numId w:val="2"/>
        </w:numPr>
        <w:spacing w:before="40" w:after="40"/>
      </w:pPr>
      <w:r>
        <w:rPr>
          <w:rFonts w:ascii="Arial" w:cs="Arial" w:eastAsia="Arial" w:hAnsi="Arial"/>
          <w:sz w:val="20"/>
          <w:szCs w:val="20"/>
        </w:rPr>
        <w:t xml:space="preserve">ICH E6(R2). Good Clinical Practice. 2016.</w:t>
      </w:r>
    </w:p>
    <w:p>
      <w:pPr>
        <w:pStyle w:val="ListParagraph"/>
        <w:numPr>
          <w:ilvl w:val="0"/>
          <w:numId w:val="2"/>
        </w:numPr>
        <w:spacing w:before="40" w:after="40"/>
      </w:pPr>
      <w:r>
        <w:rPr>
          <w:rFonts w:ascii="Arial" w:cs="Arial" w:eastAsia="Arial" w:hAnsi="Arial"/>
          <w:sz w:val="20"/>
          <w:szCs w:val="20"/>
        </w:rPr>
        <w:t xml:space="preserve">NCI CTCAE v5.0. Common Terminology Criteria for Adverse Events. November 2017.</w:t>
      </w:r>
    </w:p>
    <w:p>
      <w:pPr>
        <w:pStyle w:val="ListParagraph"/>
        <w:numPr>
          <w:ilvl w:val="0"/>
          <w:numId w:val="2"/>
        </w:numPr>
        <w:spacing w:before="40" w:after="40"/>
      </w:pPr>
      <w:r>
        <w:rPr>
          <w:rFonts w:ascii="Arial" w:cs="Arial" w:eastAsia="Arial" w:hAnsi="Arial"/>
          <w:sz w:val="20"/>
          <w:szCs w:val="20"/>
        </w:rPr>
        <w:t xml:space="preserve">MedDRA Version 26.0. Medical Dictionary for Regulatory Activities. 2023.</w:t>
      </w:r>
    </w:p>
    <w:p>
      <w:pPr>
        <w:pStyle w:val="ListParagraph"/>
        <w:numPr>
          <w:ilvl w:val="0"/>
          <w:numId w:val="2"/>
        </w:numPr>
        <w:spacing w:before="40" w:after="40"/>
      </w:pPr>
      <w:r>
        <w:rPr>
          <w:rFonts w:ascii="Arial" w:cs="Arial" w:eastAsia="Arial" w:hAnsi="Arial"/>
          <w:sz w:val="20"/>
          <w:szCs w:val="20"/>
        </w:rPr>
        <w:t xml:space="preserve">FDA. Guidance for Industry: Clinical Trial Endpoints for the Approval of Cancer Drugs and Biologics. May 2007.</w:t>
      </w:r>
    </w:p>
    <w:p>
      <w:pPr>
        <w:pStyle w:val="ListParagraph"/>
        <w:numPr>
          <w:ilvl w:val="0"/>
          <w:numId w:val="2"/>
        </w:numPr>
        <w:spacing w:before="40" w:after="40"/>
      </w:pPr>
      <w:r>
        <w:rPr>
          <w:rFonts w:ascii="Arial" w:cs="Arial" w:eastAsia="Arial" w:hAnsi="Arial"/>
          <w:sz w:val="20"/>
          <w:szCs w:val="20"/>
        </w:rPr>
        <w:t xml:space="preserve">Aaronson NK, et al. The European Organization for Research and Treatment of Cancer QLQ-C30. J Natl Cancer Inst. 1993;85:365-376.</w:t>
      </w:r>
    </w:p>
    <w:p>
      <w:pPr>
        <w:pStyle w:val="ListParagraph"/>
        <w:numPr>
          <w:ilvl w:val="0"/>
          <w:numId w:val="2"/>
        </w:numPr>
        <w:spacing w:before="40" w:after="40"/>
      </w:pPr>
      <w:r>
        <w:rPr>
          <w:rFonts w:ascii="Arial" w:cs="Arial" w:eastAsia="Arial" w:hAnsi="Arial"/>
          <w:sz w:val="20"/>
          <w:szCs w:val="20"/>
        </w:rPr>
        <w:t xml:space="preserve">CERV-101 Clinical Study Report. NovaPharma Oncology, Inc. 2021 (data on file).</w:t>
      </w:r>
    </w:p>
    <w:p>
      <w:pPr>
        <w:pStyle w:val="ListParagraph"/>
        <w:numPr>
          <w:ilvl w:val="0"/>
          <w:numId w:val="2"/>
        </w:numPr>
        <w:spacing w:before="40" w:after="40"/>
      </w:pPr>
      <w:r>
        <w:rPr>
          <w:rFonts w:ascii="Arial" w:cs="Arial" w:eastAsia="Arial" w:hAnsi="Arial"/>
          <w:sz w:val="20"/>
          <w:szCs w:val="20"/>
        </w:rPr>
        <w:t xml:space="preserve">CERV-201 Clinical Study Report. NovaPharma Oncology, Inc. 2023 (data on file).</w:t>
      </w:r>
    </w:p>
    <w:p>
      <w:r>
        <w:br w:type="page"/>
      </w:r>
    </w:p>
    <w:p>
      <w:pPr>
        <w:pStyle w:val="Heading1"/>
        <w:pBdr>
          <w:bottom w:val="single" w:color="2E75B6" w:sz="6" w:space="4"/>
        </w:pBdr>
        <w:spacing w:before="360" w:after="120"/>
      </w:pPr>
      <w:r>
        <w:rPr>
          <w:rFonts w:ascii="Arial" w:cs="Arial" w:eastAsia="Arial" w:hAnsi="Arial"/>
          <w:b/>
          <w:bCs/>
          <w:color w:val="1F3864"/>
          <w:sz w:val="28"/>
          <w:szCs w:val="28"/>
        </w:rPr>
        <w:t xml:space="preserve">LIST OF APPENDICES</w:t>
      </w:r>
    </w:p>
    <w:p>
      <w:pPr>
        <w:spacing w:before="60" w:after="80"/>
      </w:pPr>
      <w:r>
        <w:rPr>
          <w:rFonts w:ascii="Arial" w:cs="Arial" w:eastAsia="Arial" w:hAnsi="Arial"/>
          <w:sz w:val="20"/>
          <w:szCs w:val="20"/>
        </w:rPr>
        <w:t xml:space="preserve">The following appendices are provided as separate volumes in the BLA submission package per ICH E3 guidance:</w:t>
      </w:r>
    </w:p>
    <w:p>
      <w:pPr>
        <w:pStyle w:val="ListParagraph"/>
        <w:numPr>
          <w:ilvl w:val="0"/>
          <w:numId w:val="2"/>
        </w:numPr>
        <w:spacing w:before="40" w:after="40"/>
      </w:pPr>
      <w:r>
        <w:rPr>
          <w:rFonts w:ascii="Arial" w:cs="Arial" w:eastAsia="Arial" w:hAnsi="Arial"/>
          <w:sz w:val="20"/>
          <w:szCs w:val="20"/>
        </w:rPr>
        <w:t xml:space="preserve">Appendix 1: Protocol and Protocol Amendments (Final Protocol v4.0; Amendments 1-3)</w:t>
      </w:r>
    </w:p>
    <w:p>
      <w:pPr>
        <w:pStyle w:val="ListParagraph"/>
        <w:numPr>
          <w:ilvl w:val="0"/>
          <w:numId w:val="2"/>
        </w:numPr>
        <w:spacing w:before="40" w:after="40"/>
      </w:pPr>
      <w:r>
        <w:rPr>
          <w:rFonts w:ascii="Arial" w:cs="Arial" w:eastAsia="Arial" w:hAnsi="Arial"/>
          <w:sz w:val="20"/>
          <w:szCs w:val="20"/>
        </w:rPr>
        <w:t xml:space="preserve">Appendix 2: Sample Informed Consent Form (English; representative site)</w:t>
      </w:r>
    </w:p>
    <w:p>
      <w:pPr>
        <w:pStyle w:val="ListParagraph"/>
        <w:numPr>
          <w:ilvl w:val="0"/>
          <w:numId w:val="2"/>
        </w:numPr>
        <w:spacing w:before="40" w:after="40"/>
      </w:pPr>
      <w:r>
        <w:rPr>
          <w:rFonts w:ascii="Arial" w:cs="Arial" w:eastAsia="Arial" w:hAnsi="Arial"/>
          <w:sz w:val="20"/>
          <w:szCs w:val="20"/>
        </w:rPr>
        <w:t xml:space="preserve">Appendix 3: List of Investigators and Study Sites (87 sites, 18 countries)</w:t>
      </w:r>
    </w:p>
    <w:p>
      <w:pPr>
        <w:pStyle w:val="ListParagraph"/>
        <w:numPr>
          <w:ilvl w:val="0"/>
          <w:numId w:val="2"/>
        </w:numPr>
        <w:spacing w:before="40" w:after="40"/>
      </w:pPr>
      <w:r>
        <w:rPr>
          <w:rFonts w:ascii="Arial" w:cs="Arial" w:eastAsia="Arial" w:hAnsi="Arial"/>
          <w:sz w:val="20"/>
          <w:szCs w:val="20"/>
        </w:rPr>
        <w:t xml:space="preserve">Appendix 4: Randomization Procedures and IWRS Documentation</w:t>
      </w:r>
    </w:p>
    <w:p>
      <w:pPr>
        <w:pStyle w:val="ListParagraph"/>
        <w:numPr>
          <w:ilvl w:val="0"/>
          <w:numId w:val="2"/>
        </w:numPr>
        <w:spacing w:before="40" w:after="40"/>
      </w:pPr>
      <w:r>
        <w:rPr>
          <w:rFonts w:ascii="Arial" w:cs="Arial" w:eastAsia="Arial" w:hAnsi="Arial"/>
          <w:sz w:val="20"/>
          <w:szCs w:val="20"/>
        </w:rPr>
        <w:t xml:space="preserve">Appendix 5: Statistical Analysis Plan (CERV-301 SAP v2.0)</w:t>
      </w:r>
    </w:p>
    <w:p>
      <w:pPr>
        <w:pStyle w:val="ListParagraph"/>
        <w:numPr>
          <w:ilvl w:val="0"/>
          <w:numId w:val="2"/>
        </w:numPr>
        <w:spacing w:before="40" w:after="40"/>
      </w:pPr>
      <w:r>
        <w:rPr>
          <w:rFonts w:ascii="Arial" w:cs="Arial" w:eastAsia="Arial" w:hAnsi="Arial"/>
          <w:sz w:val="20"/>
          <w:szCs w:val="20"/>
        </w:rPr>
        <w:t xml:space="preserve">Appendix 6: Patient Data Listings (SDTM/ADaM compliant; submitted separately on electronic media)</w:t>
      </w:r>
    </w:p>
    <w:p>
      <w:pPr>
        <w:pStyle w:val="ListParagraph"/>
        <w:numPr>
          <w:ilvl w:val="0"/>
          <w:numId w:val="2"/>
        </w:numPr>
        <w:spacing w:before="40" w:after="40"/>
      </w:pPr>
      <w:r>
        <w:rPr>
          <w:rFonts w:ascii="Arial" w:cs="Arial" w:eastAsia="Arial" w:hAnsi="Arial"/>
          <w:sz w:val="20"/>
          <w:szCs w:val="20"/>
        </w:rPr>
        <w:t xml:space="preserve">Appendix 7: Tables of Individual Patient Data for PFS and OS (Kaplan-Meier data)</w:t>
      </w:r>
    </w:p>
    <w:p>
      <w:pPr>
        <w:pStyle w:val="ListParagraph"/>
        <w:numPr>
          <w:ilvl w:val="0"/>
          <w:numId w:val="2"/>
        </w:numPr>
        <w:spacing w:before="40" w:after="40"/>
      </w:pPr>
      <w:r>
        <w:rPr>
          <w:rFonts w:ascii="Arial" w:cs="Arial" w:eastAsia="Arial" w:hAnsi="Arial"/>
          <w:sz w:val="20"/>
          <w:szCs w:val="20"/>
        </w:rPr>
        <w:t xml:space="preserve">Appendix 8: Audit Certificate — Clinical Data Management (CDMS)</w:t>
      </w:r>
    </w:p>
    <w:p>
      <w:pPr>
        <w:pStyle w:val="ListParagraph"/>
        <w:numPr>
          <w:ilvl w:val="0"/>
          <w:numId w:val="2"/>
        </w:numPr>
        <w:spacing w:before="40" w:after="40"/>
      </w:pPr>
      <w:r>
        <w:rPr>
          <w:rFonts w:ascii="Arial" w:cs="Arial" w:eastAsia="Arial" w:hAnsi="Arial"/>
          <w:sz w:val="20"/>
          <w:szCs w:val="20"/>
        </w:rPr>
        <w:t xml:space="preserve">Appendix 9: 21 CFR Part 11 Compliance Attestation — Electronic Data Capture (Medidata Rave)</w:t>
      </w:r>
    </w:p>
    <w:p>
      <w:pPr>
        <w:pStyle w:val="ListParagraph"/>
        <w:numPr>
          <w:ilvl w:val="0"/>
          <w:numId w:val="2"/>
        </w:numPr>
        <w:spacing w:before="40" w:after="40"/>
      </w:pPr>
      <w:r>
        <w:rPr>
          <w:rFonts w:ascii="Arial" w:cs="Arial" w:eastAsia="Arial" w:hAnsi="Arial"/>
          <w:sz w:val="20"/>
          <w:szCs w:val="20"/>
        </w:rPr>
        <w:t xml:space="preserve">Appendix 10: Certificates of Analysis — Cervimab Clinical Supply Lots</w:t>
      </w:r>
    </w:p>
    <w:p>
      <w:pPr>
        <w:pStyle w:val="ListParagraph"/>
        <w:numPr>
          <w:ilvl w:val="0"/>
          <w:numId w:val="2"/>
        </w:numPr>
        <w:spacing w:before="40" w:after="40"/>
      </w:pPr>
      <w:r>
        <w:rPr>
          <w:rFonts w:ascii="Arial" w:cs="Arial" w:eastAsia="Arial" w:hAnsi="Arial"/>
          <w:sz w:val="20"/>
          <w:szCs w:val="20"/>
        </w:rPr>
        <w:t xml:space="preserve">Appendix 11: Serious Adverse Event Narratives (Individual Patient Safety Reports)</w:t>
      </w:r>
    </w:p>
    <w:p>
      <w:pPr>
        <w:pStyle w:val="ListParagraph"/>
        <w:numPr>
          <w:ilvl w:val="0"/>
          <w:numId w:val="2"/>
        </w:numPr>
        <w:spacing w:before="40" w:after="40"/>
      </w:pPr>
      <w:r>
        <w:rPr>
          <w:rFonts w:ascii="Arial" w:cs="Arial" w:eastAsia="Arial" w:hAnsi="Arial"/>
          <w:sz w:val="20"/>
          <w:szCs w:val="20"/>
        </w:rPr>
        <w:t xml:space="preserve">Appendix 12: BICR Charter and Bio-Imaging Research Inc. Contract Summary</w:t>
      </w:r>
    </w:p>
    <w:p>
      <w:pPr>
        <w:pStyle w:val="ListParagraph"/>
        <w:numPr>
          <w:ilvl w:val="0"/>
          <w:numId w:val="2"/>
        </w:numPr>
        <w:spacing w:before="40" w:after="40"/>
      </w:pPr>
      <w:r>
        <w:rPr>
          <w:rFonts w:ascii="Arial" w:cs="Arial" w:eastAsia="Arial" w:hAnsi="Arial"/>
          <w:sz w:val="20"/>
          <w:szCs w:val="20"/>
        </w:rPr>
        <w:t xml:space="preserve">Appendix 13: IDMC Charter and Meeting Reports (Summary)</w:t>
      </w:r>
    </w:p>
    <w:p>
      <w:pPr>
        <w:pStyle w:val="ListParagraph"/>
        <w:numPr>
          <w:ilvl w:val="0"/>
          <w:numId w:val="2"/>
        </w:numPr>
        <w:spacing w:before="40" w:after="40"/>
      </w:pPr>
      <w:r>
        <w:rPr>
          <w:rFonts w:ascii="Arial" w:cs="Arial" w:eastAsia="Arial" w:hAnsi="Arial"/>
          <w:sz w:val="20"/>
          <w:szCs w:val="20"/>
        </w:rPr>
        <w:t xml:space="preserve">Appendix 14: PK/PD Analysis Report (Population PK Model; NPA-CERV301-PK-001)</w:t>
      </w:r>
    </w:p>
    <w:p>
      <w:pPr>
        <w:pStyle w:val="ListParagraph"/>
        <w:numPr>
          <w:ilvl w:val="0"/>
          <w:numId w:val="2"/>
        </w:numPr>
        <w:spacing w:before="40" w:after="40"/>
      </w:pPr>
      <w:r>
        <w:rPr>
          <w:rFonts w:ascii="Arial" w:cs="Arial" w:eastAsia="Arial" w:hAnsi="Arial"/>
          <w:sz w:val="20"/>
          <w:szCs w:val="20"/>
        </w:rPr>
        <w:t xml:space="preserve">Appendix 15: Biomarker Analysis Report (PD-L1, TMB, ctDNA, TIL)</w:t>
      </w:r>
    </w:p>
    <w:p>
      <w:pPr>
        <w:pStyle w:val="ListParagraph"/>
        <w:numPr>
          <w:ilvl w:val="0"/>
          <w:numId w:val="2"/>
        </w:numPr>
        <w:spacing w:before="40" w:after="40"/>
      </w:pPr>
      <w:r>
        <w:rPr>
          <w:rFonts w:ascii="Arial" w:cs="Arial" w:eastAsia="Arial" w:hAnsi="Arial"/>
          <w:sz w:val="20"/>
          <w:szCs w:val="20"/>
        </w:rPr>
        <w:t xml:space="preserve">Appendix 16: Patient-Reported Outcomes Supplement (EORTC QLQ-C30; EQ-5D-5L full analysis)</w:t>
      </w:r>
    </w:p>
    <w:p>
      <w:pPr>
        <w:pStyle w:val="ListParagraph"/>
        <w:numPr>
          <w:ilvl w:val="0"/>
          <w:numId w:val="2"/>
        </w:numPr>
        <w:spacing w:before="40" w:after="40"/>
      </w:pPr>
      <w:r>
        <w:rPr>
          <w:rFonts w:ascii="Arial" w:cs="Arial" w:eastAsia="Arial" w:hAnsi="Arial"/>
          <w:sz w:val="20"/>
          <w:szCs w:val="20"/>
        </w:rPr>
        <w:t xml:space="preserve">Appendix 17: Publications and Presentations Related to CERV-301 (Presentations: ASCO 2025; ESMO 2025)</w:t>
      </w:r>
    </w:p>
    <w:p>
      <w:pPr>
        <w:spacing w:before="80" w:after="80"/>
      </w:pPr>
      <w:r>
        <w:t xml:space="preserve"/>
      </w:r>
    </w:p>
    <w:p>
      <w:pPr>
        <w:pBdr>
          <w:top w:val="single" w:color="2E75B6" w:sz="4" w:space="4"/>
        </w:pBdr>
        <w:spacing w:before="480"/>
        <w:jc w:val="center"/>
      </w:pPr>
      <w:r>
        <w:rPr>
          <w:rFonts w:ascii="Arial" w:cs="Arial" w:eastAsia="Arial" w:hAnsi="Arial"/>
          <w:i/>
          <w:iCs/>
          <w:color w:val="595959"/>
          <w:sz w:val="18"/>
          <w:szCs w:val="18"/>
        </w:rPr>
        <w:t xml:space="preserve">END OF DOCUMENT — CERV-301 Clinical Study Report (Final) — 10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CSR CERV-301  |  Cervimab in dMMR/MSI-H mCRC  |  NDA/BLA Submission Package</w:t>
    </w:r>
    <w:r>
      <w:rPr>
        <w:rFonts w:ascii="Arial" w:cs="Arial" w:eastAsia="Arial" w:hAnsi="Arial"/>
        <w:color w:val="595959"/>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i/>
        <w:iCs/>
        <w:color w:val="595959"/>
        <w:sz w:val="16"/>
        <w:szCs w:val="16"/>
      </w:rPr>
      <w:t xml:space="preserve">CONFIDENTIAL — CLINICAL STUDY REPORT    |    CERV-301    |    NovaPharma Oncology,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2026-03-16T14:54:09.529Z</dcterms:created>
  <dcterms:modified xsi:type="dcterms:W3CDTF">2026-03-16T14:54:09.530Z</dcterms:modified>
</cp:coreProperties>
</file>

<file path=docProps/custom.xml><?xml version="1.0" encoding="utf-8"?>
<Properties xmlns="http://schemas.openxmlformats.org/officeDocument/2006/custom-properties" xmlns:vt="http://schemas.openxmlformats.org/officeDocument/2006/docPropsVTypes"/>
</file>