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p>
    <w:p>
      <w:pPr>
        <w:spacing w:before="0" w:after="80"/>
      </w:pPr>
    </w:p>
    <w:p>
      <w:pPr>
        <w:spacing w:before="0" w:after="80"/>
      </w:pPr>
    </w:p>
    <w:p>
      <w:pPr>
        <w:spacing w:before="0" w:after="80"/>
      </w:pPr>
    </w:p>
    <w:p>
      <w:pPr>
        <w:pBdr>
          <w:bottom w:val="single" w:color="2E75B6" w:sz="12"/>
        </w:pBdr>
        <w:spacing w:before="0" w:after="240"/>
        <w:jc w:val="center"/>
      </w:pPr>
      <w:r>
        <w:rPr>
          <w:rFonts w:ascii="Arial" w:cs="Arial" w:eastAsia="Arial" w:hAnsi="Arial"/>
          <w:b/>
          <w:bCs/>
          <w:color w:val="2E75B6"/>
          <w:sz w:val="18"/>
          <w:szCs w:val="18"/>
        </w:rPr>
        <w:t xml:space="preserve">CONFIDENTIAL — FOR REGULATORY PURPOSES ONLY</w:t>
      </w:r>
    </w:p>
    <w:p>
      <w:pPr>
        <w:spacing w:before="0" w:after="80"/>
      </w:pPr>
    </w:p>
    <w:p>
      <w:pPr>
        <w:spacing w:before="0" w:after="80"/>
      </w:pPr>
    </w:p>
    <w:p>
      <w:pPr>
        <w:jc w:val="center"/>
      </w:pPr>
      <w:r>
        <w:rPr>
          <w:rFonts w:ascii="Arial" w:cs="Arial" w:eastAsia="Arial" w:hAnsi="Arial"/>
          <w:b/>
          <w:bCs/>
          <w:color w:val="444444"/>
          <w:sz w:val="22"/>
          <w:szCs w:val="22"/>
        </w:rPr>
        <w:t xml:space="preserve">Nexagen Biotherapeutics, Inc.</w:t>
      </w:r>
    </w:p>
    <w:p>
      <w:pPr>
        <w:spacing w:before="0" w:after="80"/>
      </w:pPr>
    </w:p>
    <w:p>
      <w:pPr>
        <w:spacing w:before="80" w:after="200"/>
        <w:jc w:val="center"/>
      </w:pPr>
      <w:r>
        <w:rPr>
          <w:rFonts w:ascii="Arial" w:cs="Arial" w:eastAsia="Arial" w:hAnsi="Arial"/>
          <w:b/>
          <w:bCs/>
          <w:color w:val="1F4E79"/>
          <w:sz w:val="40"/>
          <w:szCs w:val="40"/>
        </w:rPr>
        <w:t xml:space="preserve">CERVIMAB (cerviximab-dryx)</w:t>
      </w:r>
    </w:p>
    <w:p>
      <w:pPr>
        <w:spacing w:before="0" w:after="320"/>
        <w:jc w:val="center"/>
      </w:pPr>
      <w:r>
        <w:rPr>
          <w:rFonts w:ascii="Arial" w:cs="Arial" w:eastAsia="Arial" w:hAnsi="Arial"/>
          <w:color w:val="2E75B6"/>
          <w:sz w:val="26"/>
          <w:szCs w:val="26"/>
        </w:rPr>
        <w:t xml:space="preserve">PD-1 Inhibitor for dMMR/MSI-H Metastatic Colorectal Cancer</w:t>
      </w:r>
    </w:p>
    <w:p>
      <w:pPr>
        <w:spacing w:before="0" w:after="80"/>
      </w:pPr>
    </w:p>
    <w:p>
      <w:pPr>
        <w:jc w:val="center"/>
      </w:pPr>
      <w:r>
        <w:rPr>
          <w:rFonts w:ascii="Arial" w:cs="Arial" w:eastAsia="Arial" w:hAnsi="Arial"/>
          <w:b/>
          <w:bCs/>
          <w:color w:val="555555"/>
          <w:sz w:val="22"/>
          <w:szCs w:val="22"/>
        </w:rPr>
        <w:t xml:space="preserve">LABELING NEGOTIATIONS RECORD
Prescribing Information (US PI) — NDA 761XXX
(Concurrent SmPC Alignment Notes — EU MAA Reference)</w:t>
      </w:r>
    </w:p>
    <w:p>
      <w:pPr>
        <w:spacing w:before="0" w:after="80"/>
      </w:pPr>
    </w:p>
    <w:p>
      <w:pPr>
        <w:spacing w:before="0" w:after="80"/>
      </w:pPr>
    </w:p>
    <w:p>
      <w:pPr>
        <w:spacing w:before="0" w:after="80"/>
      </w:pPr>
    </w:p>
    <w:p>
      <w:pPr>
        <w:jc w:val="center"/>
      </w:pPr>
      <w:r>
        <w:rPr>
          <w:rFonts w:ascii="Arial" w:cs="Arial" w:eastAsia="Arial" w:hAnsi="Arial"/>
          <w:sz w:val="20"/>
          <w:szCs w:val="20"/>
        </w:rPr>
        <w:t xml:space="preserve">Version: 3.2 — Negotiation Record</w:t>
      </w:r>
    </w:p>
    <w:p>
      <w:pPr>
        <w:jc w:val="center"/>
      </w:pPr>
      <w:r>
        <w:rPr>
          <w:rFonts w:ascii="Arial" w:cs="Arial" w:eastAsia="Arial" w:hAnsi="Arial"/>
          <w:sz w:val="20"/>
          <w:szCs w:val="20"/>
        </w:rPr>
        <w:t xml:space="preserve">Date: March 16, 2026</w:t>
      </w:r>
    </w:p>
    <w:p>
      <w:pPr>
        <w:spacing w:before="0" w:after="80"/>
      </w:pPr>
    </w:p>
    <w:p>
      <w:pPr>
        <w:spacing w:before="0" w:after="80"/>
      </w:pPr>
    </w:p>
    <w:p>
      <w:pPr>
        <w:jc w:val="center"/>
      </w:pPr>
      <w:r>
        <w:rPr>
          <w:rFonts w:ascii="Arial" w:cs="Arial" w:eastAsia="Arial" w:hAnsi="Arial"/>
          <w:color w:val="555555"/>
          <w:sz w:val="19"/>
          <w:szCs w:val="19"/>
        </w:rPr>
        <w:t xml:space="preserve">IND Number: IND 123456  |  NDA Number: NDA 761XXX</w:t>
      </w:r>
    </w:p>
    <w:p>
      <w:pPr>
        <w:pBdr>
          <w:top w:val="single" w:color="2E75B6" w:sz="12"/>
        </w:pBdr>
        <w:spacing w:before="200" w:after="0"/>
        <w:jc w:val="center"/>
      </w:pPr>
      <w:r>
        <w:rPr>
          <w:sz w:val="20"/>
          <w:szCs w:val="20"/>
        </w:rPr>
        <w:t xml:space="preserve"/>
      </w:r>
    </w:p>
    <w:p>
      <w:r>
        <w:br w:type="page"/>
      </w:r>
    </w:p>
    <w:p>
      <w:pPr>
        <w:pStyle w:val="Heading1"/>
        <w:spacing w:before="320" w:after="120"/>
      </w:pPr>
      <w:r>
        <w:rPr>
          <w:rFonts w:ascii="Arial" w:cs="Arial" w:eastAsia="Arial" w:hAnsi="Arial"/>
          <w:b/>
          <w:bCs/>
          <w:color w:val="1F4E79"/>
          <w:sz w:val="36"/>
          <w:szCs w:val="36"/>
        </w:rPr>
        <w:t xml:space="preserve">1. PURPOSE AND SCOPE</w:t>
      </w:r>
    </w:p>
    <w:p>
      <w:pPr>
        <w:spacing w:before="80" w:after="120" w:line="276"/>
        <w:jc w:val="both"/>
      </w:pPr>
      <w:r>
        <w:rPr>
          <w:rFonts w:ascii="Arial" w:cs="Arial" w:eastAsia="Arial" w:hAnsi="Arial"/>
          <w:b w:val="false"/>
          <w:bCs w:val="false"/>
          <w:i w:val="false"/>
          <w:iCs w:val="false"/>
          <w:color w:val="000000"/>
          <w:sz w:val="20"/>
          <w:szCs w:val="20"/>
        </w:rPr>
        <w:t xml:space="preserve">This document serves as the formal record of labeling negotiations between Nexagen Biotherapeutics, Inc. (Sponsor) and the U.S. Food and Drug Administration (FDA) Office of Oncology Products regarding the Prescribing Information (PI) for CERVIMAB (cerviximab-dryx). It documents the Sponsor's positions, FDA's positions, outcomes, and the rationale for agreed and disputed language across all PI sections.</w:t>
      </w:r>
    </w:p>
    <w:p>
      <w:pPr>
        <w:spacing w:before="80" w:after="120" w:line="276"/>
        <w:jc w:val="both"/>
      </w:pPr>
      <w:r>
        <w:rPr>
          <w:rFonts w:ascii="Arial" w:cs="Arial" w:eastAsia="Arial" w:hAnsi="Arial"/>
          <w:b w:val="false"/>
          <w:bCs w:val="false"/>
          <w:i w:val="false"/>
          <w:iCs w:val="false"/>
          <w:color w:val="000000"/>
          <w:sz w:val="20"/>
          <w:szCs w:val="20"/>
        </w:rPr>
        <w:t xml:space="preserve">Concurrent alignment with the European Medicines Agency (EMA) Summary of Product Characteristics (SmPC) for MAA EMEA/H/C/XXXXXX is noted where applicable, with transatlantic labeling discrepancies flagged for resolution.</w:t>
      </w:r>
    </w:p>
    <w:p>
      <w:pPr>
        <w:spacing w:before="80" w:after="120" w:line="276"/>
        <w:jc w:val="both"/>
      </w:pPr>
      <w:r>
        <w:rPr>
          <w:rFonts w:ascii="Arial" w:cs="Arial" w:eastAsia="Arial" w:hAnsi="Arial"/>
          <w:b w:val="false"/>
          <w:bCs w:val="false"/>
          <w:i w:val="false"/>
          <w:iCs w:val="false"/>
          <w:color w:val="000000"/>
          <w:sz w:val="20"/>
          <w:szCs w:val="20"/>
        </w:rPr>
        <w:t xml:space="preserve">Document status reflects negotiations as of March 16, 2026 (post-CRL Complete Response). This document supersedes Labeling Negotiation Record v3.1 (dated January 10, 2026).</w:t>
      </w:r>
    </w:p>
    <w:p>
      <w:pPr>
        <w:pBdr>
          <w:bottom w:val="single" w:color="2E75B6" w:sz="6"/>
        </w:pBdr>
        <w:spacing w:before="160" w:after="160"/>
      </w:pPr>
    </w:p>
    <w:p>
      <w:pPr>
        <w:pStyle w:val="Heading1"/>
        <w:spacing w:before="320" w:after="120"/>
      </w:pPr>
      <w:r>
        <w:rPr>
          <w:rFonts w:ascii="Arial" w:cs="Arial" w:eastAsia="Arial" w:hAnsi="Arial"/>
          <w:b/>
          <w:bCs/>
          <w:color w:val="1F4E79"/>
          <w:sz w:val="36"/>
          <w:szCs w:val="36"/>
        </w:rPr>
        <w:t xml:space="preserve">2. INDICATIONS AND USAGE (Section 1)</w:t>
      </w:r>
    </w:p>
    <w:p>
      <w:pPr>
        <w:pStyle w:val="Heading2"/>
        <w:spacing w:before="320" w:after="120"/>
      </w:pPr>
      <w:r>
        <w:rPr>
          <w:rFonts w:ascii="Arial" w:cs="Arial" w:eastAsia="Arial" w:hAnsi="Arial"/>
          <w:b/>
          <w:bCs/>
          <w:color w:val="1F4E79"/>
          <w:sz w:val="28"/>
          <w:szCs w:val="28"/>
        </w:rPr>
        <w:t xml:space="preserve">2.1 Negotiation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rPr>
          <w:tblHeader/>
        </w:trPr>
        <w:tc>
          <w:tcPr>
            <w:tcW w:type="dxa" w:w="12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Version</w:t>
            </w:r>
          </w:p>
        </w:tc>
        <w:tc>
          <w:tcPr>
            <w:tcW w:type="dxa" w:w="26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Proposed Text (Section 1)</w:t>
            </w:r>
          </w:p>
        </w:tc>
        <w:tc>
          <w:tcPr>
            <w:tcW w:type="dxa" w:w="26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FDA Response</w:t>
            </w:r>
          </w:p>
        </w:tc>
        <w:tc>
          <w:tcPr>
            <w:tcW w:type="dxa" w:w="29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Status</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Sponsor v1</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"CERVIMAB is indicated for treatment of adult patients with unresectable or metastatic MSI-H or dMMR colorectal cancer that has progressed on or after prior treatment."</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Too broad — specify required prior therapies; add line-of-therapy specification</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Revised</w:t>
            </w:r>
          </w:p>
        </w:tc>
      </w:tr>
      <w:tr>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Sponsor v2</w:t>
            </w:r>
          </w:p>
        </w:tc>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"...progressed following prior treatment with a fluoropyrimidine, oxaliplatin, and irinotecan."</w:t>
            </w:r>
          </w:p>
        </w:tc>
        <w:tc>
          <w:tcPr>
            <w:tcW w:type="dxa" w:w="2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Acceptable in substance; request clarification: does 'and' imply sequential vs. combination use?</w:t>
            </w:r>
          </w:p>
        </w:tc>
        <w:tc>
          <w:tcPr>
            <w:tcW w:type="dxa" w:w="29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Revised</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Agreed v3 (Current)</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"CERVIMAB is indicated for the treatment of adult patients with unresectable or metastatic mismatch repair deficient (dMMR) or microsatellite instability-high (MSI-H) colorectal cancer that has progressed following treatment with a fluoropyrimidine, oxaliplatin, and irinotecan. Select patients for therapy based on an FDA-approved companion diagnostic."</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Agreed</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FINAL</w:t>
            </w:r>
          </w:p>
        </w:tc>
      </w:tr>
    </w:tbl>
    <w:p>
      <w:pPr>
        <w:spacing w:before="0" w:after="80"/>
      </w:pPr>
    </w:p>
    <w:p>
      <w:pPr>
        <w:spacing w:before="80" w:after="120" w:line="276"/>
        <w:jc w:val="both"/>
      </w:pPr>
      <w:r>
        <w:rPr>
          <w:rFonts w:ascii="Arial" w:cs="Arial" w:eastAsia="Arial" w:hAnsi="Arial"/>
          <w:b w:val="false"/>
          <w:bCs w:val="false"/>
          <w:i w:val="false"/>
          <w:iCs w:val="false"/>
          <w:color w:val="000000"/>
          <w:sz w:val="20"/>
          <w:szCs w:val="20"/>
        </w:rPr>
        <w:t xml:space="preserve">Companion Diagnostic Note: The Foundation Medicine FoundationOne CDx assay has been designated as the companion diagnostic for patient selection based on MSI/MMR status determination. CDx labeling alignment is proceeding in parallel (PMA P190003/S006).</w:t>
      </w:r>
    </w:p>
    <w:p>
      <w:pPr>
        <w:spacing w:before="80" w:after="120" w:line="276"/>
        <w:jc w:val="both"/>
      </w:pPr>
      <w:r>
        <w:rPr>
          <w:rFonts w:ascii="Arial" w:cs="Arial" w:eastAsia="Arial" w:hAnsi="Arial"/>
          <w:b w:val="false"/>
          <w:bCs w:val="false"/>
          <w:i w:val="false"/>
          <w:iCs w:val="false"/>
          <w:color w:val="000000"/>
          <w:sz w:val="20"/>
          <w:szCs w:val="20"/>
        </w:rPr>
        <w:t xml:space="preserve">SmPC Alignment: EMA SmPC Section 4.1 (Therapeutic Indications) uses the agreed indication language with minor grammatical adjustments per EMA style guide. The EMA does not require a companion diagnostic cross-reference in Section 4.1; this is addressed in Section 4.4 (Special Warnings). Transatlantic alignment: satisfactory.</w:t>
      </w:r>
    </w:p>
    <w:p>
      <w:pPr>
        <w:pStyle w:val="Heading1"/>
        <w:spacing w:before="320" w:after="120"/>
      </w:pPr>
      <w:r>
        <w:rPr>
          <w:rFonts w:ascii="Arial" w:cs="Arial" w:eastAsia="Arial" w:hAnsi="Arial"/>
          <w:b/>
          <w:bCs/>
          <w:color w:val="1F4E79"/>
          <w:sz w:val="36"/>
          <w:szCs w:val="36"/>
        </w:rPr>
        <w:t xml:space="preserve">3. DOSAGE AND ADMINISTRATION (Section 2)</w:t>
      </w:r>
    </w:p>
    <w:p>
      <w:pPr>
        <w:pStyle w:val="Heading2"/>
        <w:spacing w:before="320" w:after="120"/>
      </w:pPr>
      <w:r>
        <w:rPr>
          <w:rFonts w:ascii="Arial" w:cs="Arial" w:eastAsia="Arial" w:hAnsi="Arial"/>
          <w:b/>
          <w:bCs/>
          <w:color w:val="1F4E79"/>
          <w:sz w:val="28"/>
          <w:szCs w:val="28"/>
        </w:rPr>
        <w:t xml:space="preserve">3.1 Recommended Dosage (Section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Item</w:t>
            </w:r>
          </w:p>
        </w:tc>
        <w:tc>
          <w:tcPr>
            <w:tcW w:type="dxa" w:w="368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Sponsor Position</w:t>
            </w:r>
          </w:p>
        </w:tc>
        <w:tc>
          <w:tcPr>
            <w:tcW w:type="dxa" w:w="368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FDA Position / Outcome</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Dose</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200 mg Q3W IV (flat dose)</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Agreed — pharmacokinetic modeling (population PK) supports flat dosing across weight/BSA range; weight-based alternative not required</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Administration time</w:t>
            </w:r>
          </w:p>
        </w:tc>
        <w:tc>
          <w:tcPr>
            <w:tcW w:type="dxa" w:w="36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Sponsor: 30-minute IV infusion</w:t>
            </w:r>
          </w:p>
        </w:tc>
        <w:tc>
          <w:tcPr>
            <w:tcW w:type="dxa" w:w="36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FDA: requests 30 ± 5 min window be explicit; Agreed — revised to '30 minutes (±5 minutes)'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Treatment duration</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Sponsor: 'Until disease progression or unacceptable toxicity'</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FDA: add 'up to 24 months in patients without disease progression' based on CERV-301 protocol maximum. Sponsor: CERV-301 did not cap at 24 months; no clinical basis for this cap. DISPUTED.</w:t>
            </w:r>
          </w:p>
        </w:tc>
      </w:tr>
      <w:tr>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Pre-medication</w:t>
            </w:r>
          </w:p>
        </w:tc>
        <w:tc>
          <w:tcPr>
            <w:tcW w:type="dxa" w:w="36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Sponsor: pre-medication not required</w:t>
            </w:r>
          </w:p>
        </w:tc>
        <w:tc>
          <w:tcPr>
            <w:tcW w:type="dxa" w:w="36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FDA: Agreed — no infusion reaction profile warranting mandatory pre-medication</w:t>
            </w:r>
          </w:p>
        </w:tc>
      </w:tr>
    </w:tbl>
    <w:p>
      <w:pPr>
        <w:spacing w:before="0" w:after="80"/>
      </w:pPr>
    </w:p>
    <w:p>
      <w:pPr>
        <w:pStyle w:val="Heading2"/>
        <w:spacing w:before="320" w:after="120"/>
      </w:pPr>
      <w:r>
        <w:rPr>
          <w:rFonts w:ascii="Arial" w:cs="Arial" w:eastAsia="Arial" w:hAnsi="Arial"/>
          <w:b/>
          <w:bCs/>
          <w:color w:val="1F4E79"/>
          <w:sz w:val="28"/>
          <w:szCs w:val="28"/>
        </w:rPr>
        <w:t xml:space="preserve">3.2 Disputed Item — Treatment Duration Cap</w:t>
      </w:r>
    </w:p>
    <w:p>
      <w:pPr>
        <w:spacing w:before="80" w:after="120" w:line="276"/>
        <w:jc w:val="both"/>
      </w:pPr>
      <w:r>
        <w:rPr>
          <w:rFonts w:ascii="Arial" w:cs="Arial" w:eastAsia="Arial" w:hAnsi="Arial"/>
          <w:b w:val="false"/>
          <w:bCs w:val="false"/>
          <w:i w:val="false"/>
          <w:iCs w:val="false"/>
          <w:color w:val="000000"/>
          <w:sz w:val="20"/>
          <w:szCs w:val="20"/>
        </w:rPr>
        <w:t xml:space="preserve">Disputed Item: FDA has requested inclusion of a 24-month maximum treatment duration. Sponsor's Position: CERV-301 did not have a protocol-mandated treatment duration cap. Among patients with ongoing response at 24 months (N=22), 14 patients elected to continue CERVIMAB with continued clinical benefit and no emergent safety signals; 8 patients elected to stop per institutional preference. Inclusion of a 24-month cap is not supported by clinical data and could deprive patients of continued benefit. Sponsor proposes: 'Continue CERVIMAB until disease progression or unacceptable toxicity.'</w:t>
      </w:r>
    </w:p>
    <w:p>
      <w:pPr>
        <w:spacing w:before="80" w:after="120" w:line="276"/>
        <w:jc w:val="both"/>
      </w:pPr>
      <w:r>
        <w:rPr>
          <w:rFonts w:ascii="Arial" w:cs="Arial" w:eastAsia="Arial" w:hAnsi="Arial"/>
          <w:b w:val="false"/>
          <w:bCs w:val="false"/>
          <w:i w:val="false"/>
          <w:iCs w:val="false"/>
          <w:color w:val="000000"/>
          <w:sz w:val="20"/>
          <w:szCs w:val="20"/>
        </w:rPr>
        <w:t xml:space="preserve">FDA Response (Cycle 2 IR): FDA is reviewing the 24-month continuation data presented by the Sponsor. Pending final FDA response. This item is marked as OPEN and will be resolved in labeling alignment meeting scheduled April 3, 2026.</w:t>
      </w:r>
    </w:p>
    <w:p>
      <w:pPr>
        <w:pStyle w:val="Heading2"/>
        <w:spacing w:before="320" w:after="120"/>
      </w:pPr>
      <w:r>
        <w:rPr>
          <w:rFonts w:ascii="Arial" w:cs="Arial" w:eastAsia="Arial" w:hAnsi="Arial"/>
          <w:b/>
          <w:bCs/>
          <w:color w:val="1F4E79"/>
          <w:sz w:val="28"/>
          <w:szCs w:val="28"/>
        </w:rPr>
        <w:t xml:space="preserve">3.3 Dose Modifications (Section 2.2)</w:t>
      </w:r>
    </w:p>
    <w:p>
      <w:pPr>
        <w:spacing w:before="80" w:after="120" w:line="276"/>
        <w:jc w:val="both"/>
      </w:pPr>
      <w:r>
        <w:rPr>
          <w:rFonts w:ascii="Arial" w:cs="Arial" w:eastAsia="Arial" w:hAnsi="Arial"/>
          <w:b w:val="false"/>
          <w:bCs w:val="false"/>
          <w:i w:val="false"/>
          <w:iCs w:val="false"/>
          <w:color w:val="000000"/>
          <w:sz w:val="20"/>
          <w:szCs w:val="20"/>
        </w:rPr>
        <w:t xml:space="preserve">Dose modification guidance for immune-mediated AEs has been agreed by both parties and is based on NCI CTCAE v5.0 grading (confirmed per CRL Complete Response). The dose modification table (Table 1 of the PI) has been agreed in full. Key elements:</w:t>
      </w:r>
    </w:p>
    <w:p>
      <w:pPr>
        <w:pStyle w:val="ListParagraph"/>
        <w:numPr>
          <w:ilvl w:val="0"/>
          <w:numId w:val="2"/>
        </w:numPr>
        <w:spacing w:before="60" w:after="60"/>
      </w:pPr>
      <w:r>
        <w:rPr>
          <w:rFonts w:ascii="Arial" w:cs="Arial" w:eastAsia="Arial" w:hAnsi="Arial"/>
          <w:sz w:val="20"/>
          <w:szCs w:val="20"/>
        </w:rPr>
        <w:t xml:space="preserve">Grade 1 imAE: No dose modification required; monitor</w:t>
      </w:r>
    </w:p>
    <w:p>
      <w:pPr>
        <w:pStyle w:val="ListParagraph"/>
        <w:numPr>
          <w:ilvl w:val="0"/>
          <w:numId w:val="2"/>
        </w:numPr>
        <w:spacing w:before="60" w:after="60"/>
      </w:pPr>
      <w:r>
        <w:rPr>
          <w:rFonts w:ascii="Arial" w:cs="Arial" w:eastAsia="Arial" w:hAnsi="Arial"/>
          <w:sz w:val="20"/>
          <w:szCs w:val="20"/>
        </w:rPr>
        <w:t xml:space="preserve">Grade 2 imAE: Withhold CERVIMAB; initiate corticosteroids (prednisone 0.5–1 mg/kg/day or equivalent); resume upon recovery to Grade ≤1</w:t>
      </w:r>
    </w:p>
    <w:p>
      <w:pPr>
        <w:pStyle w:val="ListParagraph"/>
        <w:numPr>
          <w:ilvl w:val="0"/>
          <w:numId w:val="2"/>
        </w:numPr>
        <w:spacing w:before="60" w:after="60"/>
      </w:pPr>
      <w:r>
        <w:rPr>
          <w:rFonts w:ascii="Arial" w:cs="Arial" w:eastAsia="Arial" w:hAnsi="Arial"/>
          <w:sz w:val="20"/>
          <w:szCs w:val="20"/>
        </w:rPr>
        <w:t xml:space="preserve">Grade 3 imAE: Withhold CERVIMAB; initiate high-dose corticosteroids (prednisone 1–2 mg/kg/day or equivalent); consider additional immune-modulating therapy</w:t>
      </w:r>
    </w:p>
    <w:p>
      <w:pPr>
        <w:pStyle w:val="ListParagraph"/>
        <w:numPr>
          <w:ilvl w:val="0"/>
          <w:numId w:val="2"/>
        </w:numPr>
        <w:spacing w:before="60" w:after="60"/>
      </w:pPr>
      <w:r>
        <w:rPr>
          <w:rFonts w:ascii="Arial" w:cs="Arial" w:eastAsia="Arial" w:hAnsi="Arial"/>
          <w:sz w:val="20"/>
          <w:szCs w:val="20"/>
        </w:rPr>
        <w:t xml:space="preserve">Grade 4 or Grade 3 recurrent imAE: Permanently discontinue CERVIMAB</w:t>
      </w:r>
    </w:p>
    <w:p>
      <w:pPr>
        <w:pStyle w:val="ListParagraph"/>
        <w:numPr>
          <w:ilvl w:val="0"/>
          <w:numId w:val="2"/>
        </w:numPr>
        <w:spacing w:before="60" w:after="60"/>
      </w:pPr>
      <w:r>
        <w:rPr>
          <w:rFonts w:ascii="Arial" w:cs="Arial" w:eastAsia="Arial" w:hAnsi="Arial"/>
          <w:sz w:val="20"/>
          <w:szCs w:val="20"/>
        </w:rPr>
        <w:t xml:space="preserve">Grade 5 (fatal) imAE: Permanently discontinue CERVIMAB</w:t>
      </w:r>
    </w:p>
    <w:p>
      <w:pPr>
        <w:pStyle w:val="Heading1"/>
        <w:spacing w:before="320" w:after="120"/>
      </w:pPr>
      <w:r>
        <w:rPr>
          <w:rFonts w:ascii="Arial" w:cs="Arial" w:eastAsia="Arial" w:hAnsi="Arial"/>
          <w:b/>
          <w:bCs/>
          <w:color w:val="1F4E79"/>
          <w:sz w:val="36"/>
          <w:szCs w:val="36"/>
        </w:rPr>
        <w:t xml:space="preserve">4. WARNINGS AND PRECAUTIONS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Subsection</w:t>
            </w:r>
          </w:p>
        </w:tc>
        <w:tc>
          <w:tcPr>
            <w:tcW w:type="dxa" w:w="358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Agreed Language Summary</w:t>
            </w:r>
          </w:p>
        </w:tc>
        <w:tc>
          <w:tcPr>
            <w:tcW w:type="dxa" w:w="358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Notes / Open Items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5.1 Immune-Mediated Pneumonitis</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Incidence 8.4% (any grade), 2.8% Grade 3-4; 2 fatal cases; withhold for Grade 2, permanently D/C for Grade 3-4; CXR/CT monitoring guidance included</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CLOSED — updated with pooled data per CRL response</w:t>
            </w:r>
          </w:p>
        </w:tc>
      </w:tr>
      <w:tr>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5.2 Immune-Mediated Colitis</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Incidence 5.6% any grade, 2.2% Grade 3-4; withhold/D/C per CTCAE grade; budesonide not adequate for Grade ≥3</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CLOSED</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5.3 Immune-Mediated Hepatitis</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Incidence 6.7% any grade, 3.3% Grade 3-4; 1 fatal case; LFT monitoring q6 weeks first 6 months, then per clinical judgment</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CLOSED</w:t>
            </w:r>
          </w:p>
        </w:tc>
      </w:tr>
      <w:tr>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5.4 Immune-Mediated Endocrinopathies</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Hypothyroidism 12.8%, hyperthyroidism 4.5%, adrenal insufficiency 2.8%, hypophysitis 1.7%; hormone replacement as appropriate; do not D/C for Grade 1-2 endocrinopathies well-controlled on replacement</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CLOSED</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5.5 Immune-Mediated Nephritis</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Incidence 3.4% any grade, 1.1% Grade 3-4; SCr monitoring included</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CLOSED</w:t>
            </w:r>
          </w:p>
        </w:tc>
      </w:tr>
      <w:tr>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5.6 Other Immune-Mediated Adverse Reactions</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Uveitis, myocarditis, myositis included; rare (&lt;1%) but potentially severe; guidance per ASCO/SITC guidelines</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OPEN — FDA requests specific incidence data for myocarditis from pooled safety population; to be resolved at April 3 meeting</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5.7 Infusion-Related Reactions</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Incidence 3.4% any grade, 0% Grade 3-4; interrupt/slow for Grade 1-2; permanently D/C for Grade 3-4</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CLOSED</w:t>
            </w:r>
          </w:p>
        </w:tc>
      </w:tr>
      <w:tr>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5.8 Complications of HSCT</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Standard language per class; applicable to patients with prior/subsequent HSCT</w:t>
            </w:r>
          </w:p>
        </w:tc>
        <w:tc>
          <w:tcPr>
            <w:tcW w:type="dxa" w:w="35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CLOSED</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5.9 Embryo-Fetal Toxicity</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Revised per CRL: female fertility/pregnancy risk; male reproductive risk sections added per FDA request; advise effective contraception</w:t>
            </w:r>
          </w:p>
        </w:tc>
        <w:tc>
          <w:tcPr>
            <w:tcW w:type="dxa" w:w="35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CLOSED — per CRL Complete Response</w:t>
            </w:r>
          </w:p>
        </w:tc>
      </w:tr>
    </w:tbl>
    <w:p>
      <w:pPr>
        <w:spacing w:before="0" w:after="80"/>
      </w:pPr>
    </w:p>
    <w:p>
      <w:r>
        <w:br w:type="page"/>
      </w:r>
    </w:p>
    <w:p>
      <w:pPr>
        <w:pStyle w:val="Heading1"/>
        <w:spacing w:before="320" w:after="120"/>
      </w:pPr>
      <w:r>
        <w:rPr>
          <w:rFonts w:ascii="Arial" w:cs="Arial" w:eastAsia="Arial" w:hAnsi="Arial"/>
          <w:b/>
          <w:bCs/>
          <w:color w:val="1F4E79"/>
          <w:sz w:val="36"/>
          <w:szCs w:val="36"/>
        </w:rPr>
        <w:t xml:space="preserve">5. ADVERSE REACTIONS (Section 6)</w:t>
      </w:r>
    </w:p>
    <w:p>
      <w:pPr>
        <w:pStyle w:val="Heading2"/>
        <w:spacing w:before="320" w:after="120"/>
      </w:pPr>
      <w:r>
        <w:rPr>
          <w:rFonts w:ascii="Arial" w:cs="Arial" w:eastAsia="Arial" w:hAnsi="Arial"/>
          <w:b/>
          <w:bCs/>
          <w:color w:val="1F4E79"/>
          <w:sz w:val="28"/>
          <w:szCs w:val="28"/>
        </w:rPr>
        <w:t xml:space="preserve">5.1 Section 6.1 — Clinical Trials Experience</w:t>
      </w:r>
    </w:p>
    <w:p>
      <w:pPr>
        <w:spacing w:before="80" w:after="120" w:line="276"/>
        <w:jc w:val="both"/>
      </w:pPr>
      <w:r>
        <w:rPr>
          <w:rFonts w:ascii="Arial" w:cs="Arial" w:eastAsia="Arial" w:hAnsi="Arial"/>
          <w:b w:val="false"/>
          <w:bCs w:val="false"/>
          <w:i w:val="false"/>
          <w:iCs w:val="false"/>
          <w:color w:val="000000"/>
          <w:sz w:val="20"/>
          <w:szCs w:val="20"/>
        </w:rPr>
        <w:t xml:space="preserve">The adverse reactions table (Table 2) has been agreed in full. FDA and Sponsor agreed on the following formatting conventions:</w:t>
      </w:r>
    </w:p>
    <w:p>
      <w:pPr>
        <w:pStyle w:val="ListParagraph"/>
        <w:numPr>
          <w:ilvl w:val="0"/>
          <w:numId w:val="2"/>
        </w:numPr>
        <w:spacing w:before="60" w:after="60"/>
      </w:pPr>
      <w:r>
        <w:rPr>
          <w:rFonts w:ascii="Arial" w:cs="Arial" w:eastAsia="Arial" w:hAnsi="Arial"/>
          <w:sz w:val="20"/>
          <w:szCs w:val="20"/>
        </w:rPr>
        <w:t xml:space="preserve">All AEs occurring in ≥5% of CERVIMAB-treated patients are listed (regardless of causal relationship)</w:t>
      </w:r>
    </w:p>
    <w:p>
      <w:pPr>
        <w:pStyle w:val="ListParagraph"/>
        <w:numPr>
          <w:ilvl w:val="0"/>
          <w:numId w:val="2"/>
        </w:numPr>
        <w:spacing w:before="60" w:after="60"/>
      </w:pPr>
      <w:r>
        <w:rPr>
          <w:rFonts w:ascii="Arial" w:cs="Arial" w:eastAsia="Arial" w:hAnsi="Arial"/>
          <w:sz w:val="20"/>
          <w:szCs w:val="20"/>
        </w:rPr>
        <w:t xml:space="preserve">AEs are listed by SOC (System Organ Class, MedDRA v24) and PT (Preferred Term)</w:t>
      </w:r>
    </w:p>
    <w:p>
      <w:pPr>
        <w:pStyle w:val="ListParagraph"/>
        <w:numPr>
          <w:ilvl w:val="0"/>
          <w:numId w:val="2"/>
        </w:numPr>
        <w:spacing w:before="60" w:after="60"/>
      </w:pPr>
      <w:r>
        <w:rPr>
          <w:rFonts w:ascii="Arial" w:cs="Arial" w:eastAsia="Arial" w:hAnsi="Arial"/>
          <w:sz w:val="20"/>
          <w:szCs w:val="20"/>
        </w:rPr>
        <w:t xml:space="preserve">Table includes both 'any grade' and 'Grade 3-4' columns per FDA convention</w:t>
      </w:r>
    </w:p>
    <w:p>
      <w:pPr>
        <w:pStyle w:val="ListParagraph"/>
        <w:numPr>
          <w:ilvl w:val="0"/>
          <w:numId w:val="2"/>
        </w:numPr>
        <w:spacing w:before="60" w:after="60"/>
      </w:pPr>
      <w:r>
        <w:rPr>
          <w:rFonts w:ascii="Arial" w:cs="Arial" w:eastAsia="Arial" w:hAnsi="Arial"/>
          <w:sz w:val="20"/>
          <w:szCs w:val="20"/>
        </w:rPr>
        <w:t xml:space="preserve">AEs of special interest (imAEs) are flagged with footnotes</w:t>
      </w:r>
    </w:p>
    <w:p>
      <w:pPr>
        <w:spacing w:before="80" w:after="120" w:line="276"/>
        <w:jc w:val="both"/>
      </w:pPr>
      <w:r>
        <w:rPr>
          <w:rFonts w:ascii="Arial" w:cs="Arial" w:eastAsia="Arial" w:hAnsi="Arial"/>
          <w:b w:val="false"/>
          <w:bCs w:val="false"/>
          <w:i w:val="false"/>
          <w:iCs w:val="false"/>
          <w:color w:val="000000"/>
          <w:sz w:val="20"/>
          <w:szCs w:val="20"/>
        </w:rPr>
        <w:t xml:space="preserve">Disputed Item in Section 6.1: The Sponsor proposed including an imAE summary subsection immediately following Table 2, referencing the REMS assessment criteria. FDA requested this be deferred to Section 5 (Warnings and Precautions) cross-reference only, not repeated in Section 6. RESOLVED in favor of FDA's position.</w:t>
      </w:r>
    </w:p>
    <w:p>
      <w:pPr>
        <w:pStyle w:val="Heading2"/>
        <w:spacing w:before="320" w:after="120"/>
      </w:pPr>
      <w:r>
        <w:rPr>
          <w:rFonts w:ascii="Arial" w:cs="Arial" w:eastAsia="Arial" w:hAnsi="Arial"/>
          <w:b/>
          <w:bCs/>
          <w:color w:val="1F4E79"/>
          <w:sz w:val="28"/>
          <w:szCs w:val="28"/>
        </w:rPr>
        <w:t xml:space="preserve">5.2 SmPC Section 4.8 Alignment</w:t>
      </w:r>
    </w:p>
    <w:p>
      <w:pPr>
        <w:spacing w:before="80" w:after="120" w:line="276"/>
        <w:jc w:val="both"/>
      </w:pPr>
      <w:r>
        <w:rPr>
          <w:rFonts w:ascii="Arial" w:cs="Arial" w:eastAsia="Arial" w:hAnsi="Arial"/>
          <w:b w:val="false"/>
          <w:bCs w:val="false"/>
          <w:i w:val="false"/>
          <w:iCs w:val="false"/>
          <w:color w:val="000000"/>
          <w:sz w:val="20"/>
          <w:szCs w:val="20"/>
        </w:rPr>
        <w:t xml:space="preserve">The EMA SmPC Section 4.8 (Undesirable Effects) uses MedDRA CIOMS frequency conventions (Very common ≥1/10; Common ≥1/100 to &lt;1/10; Uncommon ≥1/1,000 to &lt;1/100). Frequency category assignments have been mapped from CERV-301 incidence data and are consistent with the US PI adverse reactions table. SmPC includes the additional EU-required 'Reporting of suspected adverse reactions' section directing HCPs to national pharmacovigilance systems. Transatlantic alignment: satisfactory.</w:t>
      </w:r>
    </w:p>
    <w:p>
      <w:pPr>
        <w:pStyle w:val="Heading1"/>
        <w:spacing w:before="320" w:after="120"/>
      </w:pPr>
      <w:r>
        <w:rPr>
          <w:rFonts w:ascii="Arial" w:cs="Arial" w:eastAsia="Arial" w:hAnsi="Arial"/>
          <w:b/>
          <w:bCs/>
          <w:color w:val="1F4E79"/>
          <w:sz w:val="36"/>
          <w:szCs w:val="36"/>
        </w:rPr>
        <w:t xml:space="preserve">6. USE IN SPECIFIC POPULATIONS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Section</w:t>
            </w:r>
          </w:p>
        </w:tc>
        <w:tc>
          <w:tcPr>
            <w:tcW w:type="dxa" w:w="378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Summary of Agreed Language</w:t>
            </w:r>
          </w:p>
        </w:tc>
        <w:tc>
          <w:tcPr>
            <w:tcW w:type="dxa" w:w="378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Transatlantic Notes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8.1 Pregnancy</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May cause fetal harm; based on mechanism of action; contraindicated in pregnancy unless potential benefit justifies risk; advise females of reproductive potential</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SmPC 4.6 uses similar language; EU requires explicit risk communication per DHPC template</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8.2 Lactation</w:t>
            </w:r>
          </w:p>
        </w:tc>
        <w:tc>
          <w:tcPr>
            <w:tcW w:type="dxa" w:w="37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Discontinue breastfeeding during CERVIMAB treatment and for 4 months after final dose; unknown whether present in human milk</w:t>
            </w:r>
          </w:p>
        </w:tc>
        <w:tc>
          <w:tcPr>
            <w:tcW w:type="dxa" w:w="37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SmPC uses 'not recommended during breastfeeding'; consistent</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8.3 Females/Males of Reproductive Potential</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Added per CRL: females — use contraception during and 4 months after; males — use contraception during and 4 months after; fertility considerations noted</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SmPC Section 4.6 covers fertility (required EU section); consistent</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8.4 Pediatric Use</w:t>
            </w:r>
          </w:p>
        </w:tc>
        <w:tc>
          <w:tcPr>
            <w:tcW w:type="dxa" w:w="37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Safety/efficacy not established in patients &lt;18 years; no studies conducted</w:t>
            </w:r>
          </w:p>
        </w:tc>
        <w:tc>
          <w:tcPr>
            <w:tcW w:type="dxa" w:w="37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EMA Pediatric Investigation Plan (PIP) pending; EMEA-000XXX-PIP01 deferred for ages 12-17</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8.5 Geriatric Use</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No clinically meaningful differences in safety/efficacy in patients ≥65 years (N=98 in CERV-301); no dose adjustment required</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Consistent across PI and SmPC</w:t>
            </w:r>
          </w:p>
        </w:tc>
      </w:tr>
      <w:tr>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8.6 Hepatic Impairment</w:t>
            </w:r>
          </w:p>
        </w:tc>
        <w:tc>
          <w:tcPr>
            <w:tcW w:type="dxa" w:w="37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No dose adjustment for mild/moderate hepatic impairment; not studied in severe impairment; use with caution</w:t>
            </w:r>
          </w:p>
        </w:tc>
        <w:tc>
          <w:tcPr>
            <w:tcW w:type="dxa" w:w="378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SmPC: consistent language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8.7 Renal Impairment</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No clinically meaningful effect on PK; no dose adjustment required</w:t>
            </w:r>
          </w:p>
        </w:tc>
        <w:tc>
          <w:tcPr>
            <w:tcW w:type="dxa" w:w="378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SmPC: consistent</w:t>
            </w:r>
          </w:p>
        </w:tc>
      </w:tr>
    </w:tbl>
    <w:p>
      <w:pPr>
        <w:spacing w:before="0" w:after="80"/>
      </w:pPr>
    </w:p>
    <w:p>
      <w:pPr>
        <w:pStyle w:val="Heading1"/>
        <w:spacing w:before="320" w:after="120"/>
      </w:pPr>
      <w:r>
        <w:rPr>
          <w:rFonts w:ascii="Arial" w:cs="Arial" w:eastAsia="Arial" w:hAnsi="Arial"/>
          <w:b/>
          <w:bCs/>
          <w:color w:val="1F4E79"/>
          <w:sz w:val="36"/>
          <w:szCs w:val="36"/>
        </w:rPr>
        <w:t xml:space="preserve">7. CLINICAL PHARMACOLOGY (Section 12)</w:t>
      </w:r>
    </w:p>
    <w:p>
      <w:pPr>
        <w:spacing w:before="80" w:after="120" w:line="276"/>
        <w:jc w:val="both"/>
      </w:pPr>
      <w:r>
        <w:rPr>
          <w:rFonts w:ascii="Arial" w:cs="Arial" w:eastAsia="Arial" w:hAnsi="Arial"/>
          <w:b w:val="false"/>
          <w:bCs w:val="false"/>
          <w:i w:val="false"/>
          <w:iCs w:val="false"/>
          <w:color w:val="000000"/>
          <w:sz w:val="20"/>
          <w:szCs w:val="20"/>
        </w:rPr>
        <w:t xml:space="preserve">Section 12 has been agreed in full. Key agreed elements include: Mechanism of action (12.1); pharmacodynamic receptor occupancy data (12.2); population PK summary (12.3) including Cmax, Ctrough, AUC at steady state; and absence of QTc prolongation. The FDA did not request modifications to the clinical pharmacology section beyond adding the updated steady-state PK data from the final population PK model (Study CERV-PK-003, N=498).</w:t>
      </w:r>
    </w:p>
    <w:p>
      <w:pPr>
        <w:pStyle w:val="Heading1"/>
        <w:spacing w:before="320" w:after="120"/>
      </w:pPr>
      <w:r>
        <w:rPr>
          <w:rFonts w:ascii="Arial" w:cs="Arial" w:eastAsia="Arial" w:hAnsi="Arial"/>
          <w:b/>
          <w:bCs/>
          <w:color w:val="1F4E79"/>
          <w:sz w:val="36"/>
          <w:szCs w:val="36"/>
        </w:rPr>
        <w:t xml:space="preserve">8. CLINICAL STUDIES (Section 14)</w:t>
      </w:r>
    </w:p>
    <w:p>
      <w:pPr>
        <w:spacing w:before="80" w:after="120" w:line="276"/>
        <w:jc w:val="both"/>
      </w:pPr>
      <w:r>
        <w:rPr>
          <w:rFonts w:ascii="Arial" w:cs="Arial" w:eastAsia="Arial" w:hAnsi="Arial"/>
          <w:b w:val="false"/>
          <w:bCs w:val="false"/>
          <w:i w:val="false"/>
          <w:iCs w:val="false"/>
          <w:color w:val="000000"/>
          <w:sz w:val="20"/>
          <w:szCs w:val="20"/>
        </w:rPr>
        <w:t xml:space="preserve">Section 14 has been updated per CRL response to include:</w:t>
      </w:r>
    </w:p>
    <w:p>
      <w:pPr>
        <w:pStyle w:val="ListParagraph"/>
        <w:numPr>
          <w:ilvl w:val="0"/>
          <w:numId w:val="2"/>
        </w:numPr>
        <w:spacing w:before="60" w:after="60"/>
      </w:pPr>
      <w:r>
        <w:rPr>
          <w:rFonts w:ascii="Arial" w:cs="Arial" w:eastAsia="Arial" w:hAnsi="Arial"/>
          <w:sz w:val="20"/>
          <w:szCs w:val="20"/>
        </w:rPr>
        <w:t xml:space="preserve">Updated Table 14.1 with OS data (January 2026 data cutoff)</w:t>
      </w:r>
    </w:p>
    <w:p>
      <w:pPr>
        <w:pStyle w:val="ListParagraph"/>
        <w:numPr>
          <w:ilvl w:val="0"/>
          <w:numId w:val="2"/>
        </w:numPr>
        <w:spacing w:before="60" w:after="60"/>
      </w:pPr>
      <w:r>
        <w:rPr>
          <w:rFonts w:ascii="Arial" w:cs="Arial" w:eastAsia="Arial" w:hAnsi="Arial"/>
          <w:sz w:val="20"/>
          <w:szCs w:val="20"/>
        </w:rPr>
        <w:t xml:space="preserve">Addition of Figure 14.2 (Kaplan-Meier OS curve — agreed format per FDA style guide)</w:t>
      </w:r>
    </w:p>
    <w:p>
      <w:pPr>
        <w:pStyle w:val="ListParagraph"/>
        <w:numPr>
          <w:ilvl w:val="0"/>
          <w:numId w:val="2"/>
        </w:numPr>
        <w:spacing w:before="60" w:after="60"/>
      </w:pPr>
      <w:r>
        <w:rPr>
          <w:rFonts w:ascii="Arial" w:cs="Arial" w:eastAsia="Arial" w:hAnsi="Arial"/>
          <w:sz w:val="20"/>
          <w:szCs w:val="20"/>
        </w:rPr>
        <w:t xml:space="preserve">Revised Figure 14.3 (subgroup forest plot — OS HR added alongside PFS HR)</w:t>
      </w:r>
    </w:p>
    <w:p>
      <w:pPr>
        <w:spacing w:before="80" w:after="120" w:line="276"/>
        <w:jc w:val="both"/>
      </w:pPr>
      <w:r>
        <w:rPr>
          <w:rFonts w:ascii="Arial" w:cs="Arial" w:eastAsia="Arial" w:hAnsi="Arial"/>
          <w:b w:val="false"/>
          <w:bCs w:val="false"/>
          <w:i w:val="false"/>
          <w:iCs w:val="false"/>
          <w:color w:val="000000"/>
          <w:sz w:val="20"/>
          <w:szCs w:val="20"/>
        </w:rPr>
        <w:t xml:space="preserve">FDA confirmed acceptance of the updated Section 14 in the February 28, 2026, labeling alignment meeting. Section 14 is CLOSED.</w:t>
      </w:r>
    </w:p>
    <w:p>
      <w:pPr>
        <w:pStyle w:val="Heading1"/>
        <w:spacing w:before="320" w:after="120"/>
      </w:pPr>
      <w:r>
        <w:rPr>
          <w:rFonts w:ascii="Arial" w:cs="Arial" w:eastAsia="Arial" w:hAnsi="Arial"/>
          <w:b/>
          <w:bCs/>
          <w:color w:val="1F4E79"/>
          <w:sz w:val="36"/>
          <w:szCs w:val="36"/>
        </w:rPr>
        <w:t xml:space="preserve">9. OPEN ITEMS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2000"/>
        <w:gridCol w:w="1560"/>
      </w:tblGrid>
      <w:tr>
        <w:trPr>
          <w:tblHeader/>
        </w:trPr>
        <w:tc>
          <w:tcPr>
            <w:tcW w:type="dxa" w:w="8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w:t>
            </w:r>
          </w:p>
        </w:tc>
        <w:tc>
          <w:tcPr>
            <w:tcW w:type="dxa" w:w="2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PI Section</w:t>
            </w:r>
          </w:p>
        </w:tc>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Open Item Description</w:t>
            </w:r>
          </w:p>
        </w:tc>
        <w:tc>
          <w:tcPr>
            <w:tcW w:type="dxa" w:w="2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Next Step</w:t>
            </w:r>
          </w:p>
        </w:tc>
        <w:tc>
          <w:tcPr>
            <w:tcW w:type="dxa" w:w="15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Target Date</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Section 2.1</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Treatment duration cap (24-month): FDA position pending</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Labeling alignment meeting April 3, 2026</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April 3, 2026</w:t>
            </w:r>
          </w:p>
        </w:tc>
      </w:tr>
      <w:tr>
        <w:tc>
          <w:tcPr>
            <w:tcW w:type="dxa" w:w="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2</w:t>
            </w:r>
          </w:p>
        </w:tc>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Section 5.6</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Myocarditis incidence: FDA requests pooled safety data</w:t>
            </w:r>
          </w:p>
        </w:tc>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Sponsor to provide pooled analysis by March 31, 2026</w:t>
            </w:r>
          </w:p>
        </w:tc>
        <w:tc>
          <w:tcPr>
            <w:tcW w:type="dxa" w:w="15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March 31, 2026</w:t>
            </w:r>
          </w:p>
        </w:tc>
      </w:tr>
    </w:tbl>
    <w:p>
      <w:pPr>
        <w:spacing w:before="0" w:after="80"/>
      </w:pPr>
    </w:p>
    <w:p>
      <w:pPr>
        <w:spacing w:before="80" w:after="120" w:line="276"/>
        <w:jc w:val="both"/>
      </w:pPr>
      <w:r>
        <w:rPr>
          <w:rFonts w:ascii="Arial" w:cs="Arial" w:eastAsia="Arial" w:hAnsi="Arial"/>
          <w:b w:val="false"/>
          <w:bCs w:val="false"/>
          <w:i w:val="false"/>
          <w:iCs w:val="false"/>
          <w:color w:val="000000"/>
          <w:sz w:val="20"/>
          <w:szCs w:val="20"/>
        </w:rPr>
        <w:t xml:space="preserve">All other PI sections are CLOSED. Sponsor anticipates resolution of both open items by April 3, 2026. Final agreed PI will be submitted to FDA NDA 761XXX within 5 business days of resolution of all open items.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60" w:after="0"/>
    </w:pPr>
    <w:r>
      <w:rPr>
        <w:rFonts w:ascii="Arial" w:cs="Arial" w:eastAsia="Arial" w:hAnsi="Arial"/>
        <w:color w:val="999999"/>
        <w:sz w:val="16"/>
        <w:szCs w:val="16"/>
      </w:rPr>
      <w:t xml:space="preserve">CONFIDENTIAL — FOR REGULATORY PURPOSES ONLY</w:t>
    </w:r>
    <w:r>
      <w:rPr>
        <w:rFonts w:ascii="Arial" w:cs="Arial" w:eastAsia="Arial" w:hAnsi="Arial"/>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spacing w:before="0" w:after="60"/>
    </w:pPr>
    <w:r>
      <w:rPr>
        <w:rFonts w:ascii="Arial" w:cs="Arial" w:eastAsia="Arial" w:hAnsi="Arial"/>
        <w:color w:val="2E75B6"/>
        <w:sz w:val="17"/>
        <w:szCs w:val="17"/>
      </w:rPr>
      <w:t xml:space="preserve">CERVIMAB (anti-PD-1) | dMMR/MSI-H mCRC</w:t>
    </w:r>
    <w:r>
      <w:rPr>
        <w:rFonts w:ascii="Arial" w:cs="Arial" w:eastAsia="Arial" w:hAnsi="Arial"/>
        <w:color w:val="777777"/>
        <w:sz w:val="17"/>
        <w:szCs w:val="17"/>
      </w:rPr>
      <w:t xml:space="preserve">	Labeling Negotiations Record (PI/SmPC)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 w:type="paragraph" w:styleId="Heading4">
    <w:name w:val="Heading 4"/>
    <w:basedOn w:val="Normal"/>
    <w:next w:val="Normal"/>
    <w:qFormat/>
    <w:pPr>
      <w:spacing w:before="140" w:after="6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2026-03-16T14:13:56.772Z</dcterms:created>
  <dcterms:modified xsi:type="dcterms:W3CDTF">2026-03-16T14:13:56.772Z</dcterms:modified>
</cp:coreProperties>
</file>

<file path=docProps/custom.xml><?xml version="1.0" encoding="utf-8"?>
<Properties xmlns="http://schemas.openxmlformats.org/officeDocument/2006/custom-properties" xmlns:vt="http://schemas.openxmlformats.org/officeDocument/2006/docPropsVTypes"/>
</file>