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jc w:val="center"/>
      </w:pPr>
      <w:r>
        <w:rPr>
          <w:rFonts w:ascii="Arial" w:cs="Arial" w:eastAsia="Arial" w:hAnsi="Arial"/>
          <w:b/>
          <w:bCs/>
          <w:color w:val="555555"/>
          <w:sz w:val="28"/>
          <w:szCs w:val="28"/>
        </w:rPr>
        <w:t xml:space="preserve">独立行政法人医薬品医療機器総合機構</w:t>
      </w:r>
    </w:p>
    <w:p>
      <w:pPr>
        <w:spacing w:before="20" w:after="20"/>
        <w:jc w:val="center"/>
      </w:pPr>
      <w:r>
        <w:rPr>
          <w:rFonts w:ascii="Arial" w:cs="Arial" w:eastAsia="Arial" w:hAnsi="Arial"/>
          <w:b/>
          <w:bCs/>
          <w:color w:val="555555"/>
          <w:sz w:val="22"/>
          <w:szCs w:val="22"/>
        </w:rPr>
        <w:t xml:space="preserve">Pharmaceuticals and Medical Devices Agency (PMDA)</w:t>
      </w:r>
    </w:p>
    <w:p>
      <w:pPr>
        <w:spacing w:before="20" w:after="20"/>
        <w:jc w:val="center"/>
      </w:pPr>
      <w:r>
        <w:rPr>
          <w:rFonts w:ascii="Arial" w:cs="Arial" w:eastAsia="Arial" w:hAnsi="Arial"/>
          <w:color w:val="666666"/>
          <w:sz w:val="20"/>
          <w:szCs w:val="20"/>
        </w:rPr>
        <w:t xml:space="preserve">Ministry of Health, Labour and Welfare (MHLW) / 厚生労働省</w:t>
      </w:r>
    </w:p>
    <w:p>
      <w:pPr>
        <w:pBdr>
          <w:bottom w:val="single" w:color="8B0000" w:sz="8" w:space="8"/>
        </w:pBdr>
        <w:spacing w:before="120" w:after="120"/>
        <w:jc w:val="center"/>
      </w:pPr>
      <w:r>
        <w:rPr>
          <w:rFonts w:ascii="Arial" w:cs="Arial" w:eastAsia="Arial" w:hAnsi="Arial"/>
          <w:b/>
          <w:bCs/>
          <w:color w:val="8B0000"/>
          <w:sz w:val="36"/>
          <w:szCs w:val="36"/>
        </w:rPr>
        <w:t xml:space="preserve">新医薬品製造販売承認申請書</w:t>
      </w:r>
    </w:p>
    <w:p>
      <w:pPr>
        <w:spacing w:before="60" w:after="200"/>
        <w:jc w:val="center"/>
      </w:pPr>
      <w:r>
        <w:rPr>
          <w:rFonts w:ascii="Arial" w:cs="Arial" w:eastAsia="Arial" w:hAnsi="Arial"/>
          <w:b/>
          <w:bCs/>
          <w:color w:val="333333"/>
          <w:sz w:val="22"/>
          <w:szCs w:val="22"/>
        </w:rPr>
        <w:t xml:space="preserve">New Drug Application (J-NDA) — Japanese New Drug (生物製剤 / Biologic)</w:t>
      </w:r>
    </w:p>
    <w:p>
      <w:pPr>
        <w:spacing w:before="80" w:after="40"/>
        <w:jc w:val="center"/>
      </w:pPr>
      <w:r>
        <w:rPr>
          <w:rFonts w:ascii="Arial" w:cs="Arial" w:eastAsia="Arial" w:hAnsi="Arial"/>
          <w:b/>
          <w:bCs/>
          <w:color w:val="8B0000"/>
          <w:sz w:val="56"/>
          <w:szCs w:val="56"/>
        </w:rPr>
        <w:t xml:space="preserve">CERVIMAB</w:t>
      </w:r>
    </w:p>
    <w:p>
      <w:pPr>
        <w:spacing w:before="0" w:after="40"/>
        <w:jc w:val="center"/>
      </w:pPr>
      <w:r>
        <w:rPr>
          <w:rFonts w:ascii="Arial" w:cs="Arial" w:eastAsia="Arial" w:hAnsi="Arial"/>
          <w:i/>
          <w:iCs/>
          <w:color w:val="444444"/>
          <w:sz w:val="26"/>
          <w:szCs w:val="26"/>
        </w:rPr>
        <w:t xml:space="preserve">(cervimab / セルビマブ)</w:t>
      </w:r>
    </w:p>
    <w:p>
      <w:pPr>
        <w:spacing w:before="0" w:after="280"/>
        <w:jc w:val="center"/>
      </w:pPr>
      <w:r>
        <w:rPr>
          <w:rFonts w:ascii="Arial" w:cs="Arial" w:eastAsia="Arial" w:hAnsi="Arial"/>
          <w:color w:val="333333"/>
          <w:sz w:val="22"/>
          <w:szCs w:val="22"/>
        </w:rPr>
        <w:t xml:space="preserve">200 mg/4 mL 点滴静注用濃縮液（concentrate for solution for infusion / IV drip）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申請者名 / Applicant: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Archon Biotherapeutics K.K. (アーコン・バイオセラピューティクス株式会社)</w:t>
            </w:r>
          </w:p>
        </w:tc>
      </w:tr>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申請者住所 / Address: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〒105-0021 東京都港区東新橋1丁目9番1号 東京汐留ビルディング 14階</w:t>
            </w:r>
          </w:p>
        </w:tc>
      </w:tr>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申請区分 / Application Category: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医療用医薬品 新有効成分含有医薬品 (New active ingredient — Biologic) — 生物製剤第1類</w:t>
            </w:r>
          </w:p>
        </w:tc>
      </w:tr>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申請年月日 / Date of Application: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令和7年11月14日 (November 14, 2025)</w:t>
            </w:r>
          </w:p>
        </w:tc>
      </w:tr>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元号年号:</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令和7年</w:t>
            </w:r>
          </w:p>
        </w:tc>
      </w:tr>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一般的名称 / INN: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cervimab（セルビマブ）— INN pending (WHO application submitted)</w:t>
            </w:r>
          </w:p>
        </w:tc>
      </w:tr>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販売名 / Proposed Trade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セルビマブ点滴静注200mg (CERVIMAB IV 200 mg)</w:t>
            </w:r>
          </w:p>
        </w:tc>
      </w:tr>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有効成分 / Active Ingredient: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セルビマブ (cervimab) — 抗PD-1ヒト化IgG4モノクローナル抗体</w:t>
            </w:r>
          </w:p>
        </w:tc>
      </w:tr>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用法用量 / Dosage &amp; Admin: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成人: 400 mg 1回 6週間毎 静脈内点滴投与（30分かけて）</w:t>
            </w:r>
          </w:p>
        </w:tc>
      </w:tr>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効能又は効果 / Proposed Indication: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切除不能なdMMR/MSI-H大腸癌（フッ化ピリミジン系薬剤・オキサリプラチン・イリノテカン療法後の増悪例）</w:t>
            </w:r>
          </w:p>
        </w:tc>
      </w:tr>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製造販売業者 / MAH:</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Archon Biotherapeutics K.K.</w:t>
            </w:r>
          </w:p>
        </w:tc>
      </w:tr>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製造業者（原薬）/ DS Manufacturer:</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Archon BioManufacturing, Inc., Lexington, MA, USA (MHLW Foreign Mfr. Accreditation No. pending)</w:t>
            </w:r>
          </w:p>
        </w:tc>
      </w:tr>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製造業者（製剤）/ DP Manufacturer:</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Patheon Biologics GmbH, Vienna, Austria (MHLW Foreign Mfr. Accreditation No. pending)</w:t>
            </w:r>
          </w:p>
        </w:tc>
      </w:tr>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薬事担当者 / Regulatory Contact: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山田 花子 (Hanako Yamada), 薬事部長 | regulatory.japan@archonbio.com | +81 3 5555 0199</w:t>
            </w:r>
          </w:p>
        </w:tc>
      </w:tr>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申請区分コード / Application Code: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1-1 (新有効成分含有医薬品)</w:t>
            </w:r>
          </w:p>
        </w:tc>
      </w:tr>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ICH CTD Sequence No.:</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0000 (Initial Submission)</w:t>
            </w:r>
          </w:p>
        </w:tc>
      </w:tr>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参照IND番号 / Reference: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MHLW 薬事相談番号: YAKUJI/2022-0123</w:t>
            </w:r>
          </w:p>
        </w:tc>
      </w:tr>
    </w:tbl>
    <w:p>
      <w:r>
        <w:br w:type="page"/>
      </w:r>
    </w:p>
    <w:p>
      <w:pPr>
        <w:pStyle w:val="Heading1"/>
        <w:pBdr>
          <w:bottom w:val="single" w:color="8B0000" w:sz="6" w:space="4"/>
        </w:pBdr>
        <w:spacing w:before="360" w:after="120"/>
      </w:pPr>
      <w:r>
        <w:rPr>
          <w:rFonts w:ascii="Arial" w:cs="Arial" w:eastAsia="Arial" w:hAnsi="Arial"/>
          <w:b/>
          <w:bCs/>
          <w:color w:val="8B0000"/>
          <w:sz w:val="28"/>
          <w:szCs w:val="28"/>
        </w:rPr>
        <w:t xml:space="preserve">第1部 （Module 1） — 申請書等行政情報及び添付書類（Administrative Information）</w:t>
      </w:r>
    </w:p>
    <w:p>
      <w:pPr>
        <w:pStyle w:val="Heading2"/>
        <w:spacing w:before="240" w:after="80"/>
      </w:pPr>
      <w:r>
        <w:rPr>
          <w:rFonts w:ascii="Arial" w:cs="Arial" w:eastAsia="Arial" w:hAnsi="Arial"/>
          <w:b/>
          <w:bCs/>
          <w:color w:val="CC0000"/>
          <w:sz w:val="24"/>
          <w:szCs w:val="24"/>
        </w:rPr>
        <w:t xml:space="preserve">1.1  申請書（Summary / Cover Application Form）</w:t>
      </w:r>
    </w:p>
    <w:p>
      <w:pPr>
        <w:spacing w:before="60" w:after="100"/>
      </w:pPr>
      <w:r>
        <w:rPr>
          <w:rFonts w:ascii="Arial" w:cs="Arial" w:eastAsia="Arial" w:hAnsi="Arial"/>
          <w:sz w:val="22"/>
          <w:szCs w:val="22"/>
        </w:rPr>
        <w:t xml:space="preserve">The formal 承認申請書 (Application Form) is submitted as a separate MHLW-prescribed form (様式第15号) in Module 1.1. Key information is summarized below for regulatory reference.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申請種類:</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新有効成分含有医薬品（生物製剤） — 第1類承認申請</w:t>
            </w:r>
          </w:p>
        </w:tc>
      </w:tr>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審査区分:</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優先審査 (Priority Review) — 希少疾病用医薬品（オーファン）相当の未充足医療ニーズ</w:t>
            </w:r>
          </w:p>
        </w:tc>
      </w:tr>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希少疾病指定:</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大腸癌（dMMR/MSI-H）患者はわが国では年間推計1,200–2,000名に相当 — オーファン薬指定非該当（対象患者数5万人超の場合あり）</w:t>
            </w:r>
          </w:p>
        </w:tc>
      </w:tr>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前臨床会議:</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PMDA対面助言（事前面談）2022年3月15日（AMED 橋渡し研究推進プログラム協力）</w:t>
            </w:r>
          </w:p>
        </w:tc>
      </w:tr>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相談区分:</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事前面談・開発前相談 (Pre-Submission Consultation) 2×実施 (2022, 2024)</w:t>
            </w:r>
          </w:p>
        </w:tc>
      </w:tr>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製造工程:</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遺伝子組換え技術（CHO細胞）— 生物製剤製造管理基準（GMP）準拠</w:t>
            </w:r>
          </w:p>
        </w:tc>
      </w:tr>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特許情報:</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特許番号JP 7234567（物質特許），JP 7890123（用途特許）— 明細書写し添付</w:t>
            </w:r>
          </w:p>
        </w:tc>
      </w:tr>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再審査期間:</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再審査期間8年（新有効成分）— 申請日より起算</w:t>
            </w:r>
          </w:p>
        </w:tc>
      </w:tr>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薬価収載申請:</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承認後速やかに中央社会保険医療協議会（中医協）薬価算定組織へ申請予定</w:t>
            </w:r>
          </w:p>
        </w:tc>
      </w:tr>
    </w:tbl>
    <w:p>
      <w:pPr>
        <w:spacing w:before="60" w:after="60"/>
      </w:pPr>
      <w:r>
        <w:t xml:space="preserve"/>
      </w:r>
    </w:p>
    <w:p>
      <w:pPr>
        <w:pStyle w:val="Heading2"/>
        <w:spacing w:before="240" w:after="80"/>
      </w:pPr>
      <w:r>
        <w:rPr>
          <w:rFonts w:ascii="Arial" w:cs="Arial" w:eastAsia="Arial" w:hAnsi="Arial"/>
          <w:b/>
          <w:bCs/>
          <w:color w:val="CC0000"/>
          <w:sz w:val="24"/>
          <w:szCs w:val="24"/>
        </w:rPr>
        <w:t xml:space="preserve">1.2  添付書類（Comprehensive Table of Contents — J-NDA 申請資料一覧）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960"/>
        <w:gridCol w:w="2800"/>
      </w:tblGrid>
      <w:tr>
        <w:trPr>
          <w:tblHeader/>
        </w:trPr>
        <w:tc>
          <w:tcPr>
            <w:tcW w:type="dxa" w:w="16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 / 資料番号</w:t>
            </w:r>
          </w:p>
        </w:tc>
        <w:tc>
          <w:tcPr>
            <w:tcW w:type="dxa" w:w="496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Title / 資料名称</w:t>
            </w:r>
          </w:p>
        </w:tc>
        <w:tc>
          <w:tcPr>
            <w:tcW w:type="dxa" w:w="28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 / 状態</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申請書 (Application Form — 様式第15号)</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提出済 / Submitted</w:t>
            </w:r>
          </w:p>
        </w:tc>
      </w:tr>
      <w:tr>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1.2</w:t>
            </w:r>
          </w:p>
        </w:tc>
        <w:tc>
          <w:tcPr>
            <w:tcW w:type="dxa" w:w="4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申請品目の概要及び目次</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本書 / This Document</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審査担当者への連絡先情報</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提出済 / Submitted</w:t>
            </w:r>
          </w:p>
        </w:tc>
      </w:tr>
      <w:tr>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1.4</w:t>
            </w:r>
          </w:p>
        </w:tc>
        <w:tc>
          <w:tcPr>
            <w:tcW w:type="dxa" w:w="4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国内外における開発状況 (Global Development Status)</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提出済 / Submitted</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特許情報 (Patent Information)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提出済 / Submitted</w:t>
            </w:r>
          </w:p>
        </w:tc>
      </w:tr>
      <w:tr>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1.6</w:t>
            </w:r>
          </w:p>
        </w:tc>
        <w:tc>
          <w:tcPr>
            <w:tcW w:type="dxa" w:w="4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生物製剤の製造管理及び品質管理に関する情報</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提出済 / Submitted</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環境影響評価資料 (Environmental Impact Assessment)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提出済 / Submitted</w:t>
            </w:r>
          </w:p>
        </w:tc>
      </w:tr>
      <w:tr>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2.1</w:t>
            </w:r>
          </w:p>
        </w:tc>
        <w:tc>
          <w:tcPr>
            <w:tcW w:type="dxa" w:w="4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CTD 目次</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提出済 / Submitted</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CTD 序文（Introduction）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提出済 / Submitted</w:t>
            </w:r>
          </w:p>
        </w:tc>
      </w:tr>
      <w:tr>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2.3</w:t>
            </w:r>
          </w:p>
        </w:tc>
        <w:tc>
          <w:tcPr>
            <w:tcW w:type="dxa" w:w="4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品質に関する概括資料（Quality Overall Summary）</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提出済 / Submitted</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非臨床に関する概括評価（Nonclinical Overview）</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提出済 / Submitted</w:t>
            </w:r>
          </w:p>
        </w:tc>
      </w:tr>
      <w:tr>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2.5</w:t>
            </w:r>
          </w:p>
        </w:tc>
        <w:tc>
          <w:tcPr>
            <w:tcW w:type="dxa" w:w="4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臨床に関する概括評価（Clinical Overview）</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提出済 / Submitted</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2.6</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非臨床試験の概要文及び概要表（Nonclinical Summary）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提出済 / Submitted</w:t>
            </w:r>
          </w:p>
        </w:tc>
      </w:tr>
      <w:tr>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2.7</w:t>
            </w:r>
          </w:p>
        </w:tc>
        <w:tc>
          <w:tcPr>
            <w:tcW w:type="dxa" w:w="4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臨床概要（Clinical Summary）</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提出済 / Submitted</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品質に関する文書（CTD Module 3 — CMC）</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提出済 / Submitted</w:t>
            </w:r>
          </w:p>
        </w:tc>
      </w:tr>
      <w:tr>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4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非臨床試験報告書（CTD Module 4）</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提出済 / Submitted</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臨床試験報告書（CTD Module 5）</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提出済 / Submitted</w:t>
            </w:r>
          </w:p>
        </w:tc>
      </w:tr>
      <w:tr>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5 (Japan-specific)</w:t>
            </w:r>
          </w:p>
        </w:tc>
        <w:tc>
          <w:tcPr>
            <w:tcW w:type="dxa" w:w="4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日本人データ追加解析報告書 (Japanese Patient Subgroup Analysis)</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提出済 / Submitted</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 (Japan-specific)</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民族的感受性に関する資料（E5 Bridging Study Assessment）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提出済 / Submitted</w:t>
            </w:r>
          </w:p>
        </w:tc>
      </w:tr>
    </w:tbl>
    <w:p>
      <w:r>
        <w:br w:type="page"/>
      </w:r>
    </w:p>
    <w:p>
      <w:pPr>
        <w:pStyle w:val="Heading2"/>
        <w:spacing w:before="240" w:after="80"/>
      </w:pPr>
      <w:r>
        <w:rPr>
          <w:rFonts w:ascii="Arial" w:cs="Arial" w:eastAsia="Arial" w:hAnsi="Arial"/>
          <w:b/>
          <w:bCs/>
          <w:color w:val="CC0000"/>
          <w:sz w:val="24"/>
          <w:szCs w:val="24"/>
        </w:rPr>
        <w:t xml:space="preserve">1.3  国内外の開発状況（Global Development / Regulatory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国・地域 / Region</w:t>
            </w:r>
          </w:p>
        </w:tc>
        <w:tc>
          <w:tcPr>
            <w:tcW w:type="dxa" w:w="22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申請状況 / Status</w:t>
            </w:r>
          </w:p>
        </w:tc>
        <w:tc>
          <w:tcPr>
            <w:tcW w:type="dxa" w:w="22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申請日 / Date</w:t>
            </w:r>
          </w:p>
        </w:tc>
        <w:tc>
          <w:tcPr>
            <w:tcW w:type="dxa" w:w="296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備考 / Notes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米国 (USA) — FDA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BLA 761XXX 申請済</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2025年11月14日</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優先審査（Priority Review）取得 — BTD 2022年3月取得済</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欧州 (EU) — EMA</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MAA EMEA/H/C/006XXX 申請済</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2025年11月14日</w:t>
            </w:r>
          </w:p>
        </w:tc>
        <w:tc>
          <w:tcPr>
            <w:tcW w:type="dxa" w:w="2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PRIME 指定取得済（2022年4月）— 迅速審査申請中（150日審査）</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日本 (Japan) — PMDA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本申請（J-NDA）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2025年11月14日</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優先審査申請 — PMDA 事前面談完了（2022, 2024）</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カナダ (Canada) — HC</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New Drug Submission 申請済</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2025年11月14日</w:t>
            </w:r>
          </w:p>
        </w:tc>
        <w:tc>
          <w:tcPr>
            <w:tcW w:type="dxa" w:w="2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Priority Review Request 申請中</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韓国 (Korea) — MFDS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申請準備中 / Planned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2026年Q1予定</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台湾 (Taiwan) — TFDA</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申請準備中 / Planned</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2026年Q1予定</w:t>
            </w:r>
          </w:p>
        </w:tc>
        <w:tc>
          <w:tcPr>
            <w:tcW w:type="dxa" w:w="2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オーストラリア (Australia) — TGA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申請準備中 / Planned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2026年Q2予定</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ARTG provisional registration pathway</w:t>
            </w:r>
          </w:p>
        </w:tc>
      </w:tr>
    </w:tbl>
    <w:p>
      <w:r>
        <w:br w:type="page"/>
      </w:r>
    </w:p>
    <w:p>
      <w:pPr>
        <w:pStyle w:val="Heading1"/>
        <w:pBdr>
          <w:bottom w:val="single" w:color="8B0000" w:sz="6" w:space="4"/>
        </w:pBdr>
        <w:spacing w:before="360" w:after="120"/>
      </w:pPr>
      <w:r>
        <w:rPr>
          <w:rFonts w:ascii="Arial" w:cs="Arial" w:eastAsia="Arial" w:hAnsi="Arial"/>
          <w:b/>
          <w:bCs/>
          <w:color w:val="8B0000"/>
          <w:sz w:val="28"/>
          <w:szCs w:val="28"/>
        </w:rPr>
        <w:t xml:space="preserve">第2部・第5部 （Modules 2 &amp; 5） — 日本特有の資料（Japan-Specific Documents）</w:t>
      </w:r>
    </w:p>
    <w:p>
      <w:pPr>
        <w:pStyle w:val="Heading2"/>
        <w:spacing w:before="240" w:after="80"/>
      </w:pPr>
      <w:r>
        <w:rPr>
          <w:rFonts w:ascii="Arial" w:cs="Arial" w:eastAsia="Arial" w:hAnsi="Arial"/>
          <w:b/>
          <w:bCs/>
          <w:color w:val="CC0000"/>
          <w:sz w:val="24"/>
          <w:szCs w:val="24"/>
        </w:rPr>
        <w:t xml:space="preserve">2.5  臨床に関する概括評価 — 日本人患者データ（Clinical Overview — Japanese Patient Data）</w:t>
      </w:r>
    </w:p>
    <w:p>
      <w:pPr>
        <w:pStyle w:val="Heading3"/>
        <w:spacing w:before="180" w:after="60"/>
      </w:pPr>
      <w:r>
        <w:rPr>
          <w:rFonts w:ascii="Arial" w:cs="Arial" w:eastAsia="Arial" w:hAnsi="Arial"/>
          <w:b/>
          <w:bCs/>
          <w:color w:val="2C2C2C"/>
          <w:sz w:val="22"/>
          <w:szCs w:val="22"/>
        </w:rPr>
        <w:t xml:space="preserve">2.5.1  日本人患者の組入れ状況 (Japanese Patient Enrollment in RESTORE-CRC)</w:t>
      </w:r>
    </w:p>
    <w:p>
      <w:pPr>
        <w:spacing w:before="60" w:after="100"/>
      </w:pPr>
      <w:r>
        <w:rPr>
          <w:rFonts w:ascii="Arial" w:cs="Arial" w:eastAsia="Arial" w:hAnsi="Arial"/>
          <w:sz w:val="22"/>
          <w:szCs w:val="22"/>
        </w:rPr>
        <w:t xml:space="preserve">RESTORE-CRC試験（CERVIMAB-301）には、日本国内12施設から計78名の患者が組み入れられた（全ITT集団612名の12.7%）。日本人患者の組入れは、ICH E5ガイドラインに基づく民族的感受性に関する評価を可能とするために計画的に確保された。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rPr>
          <w:tblHeader/>
        </w:trPr>
        <w:tc>
          <w:tcPr>
            <w:tcW w:type="dxa" w:w="30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項目 / Parameter</w:t>
            </w:r>
          </w:p>
        </w:tc>
        <w:tc>
          <w:tcPr>
            <w:tcW w:type="dxa" w:w="316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日本人集団 (n=78)</w:t>
            </w:r>
          </w:p>
        </w:tc>
        <w:tc>
          <w:tcPr>
            <w:tcW w:type="dxa" w:w="32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全体集団 (n=612)</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無作為化割り付け（CERVIMAB群）</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40名 (51.3%)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307名 (50.2%)</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無作為化割り付け（対照群）</w:t>
            </w:r>
          </w:p>
        </w:tc>
        <w:tc>
          <w:tcPr>
            <w:tcW w:type="dxa" w:w="3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38名 (48.7%)</w:t>
            </w:r>
          </w:p>
        </w:tc>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305名 (49.8%)</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全生存期間（OS）中央値 — CERVIMAB群</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21.8ヶ月 (95% CI: 15.2–NR)</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20.4ヶ月 (95% CI: 17.8–23.6)</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OS ハザード比（HR）</w:t>
            </w:r>
          </w:p>
        </w:tc>
        <w:tc>
          <w:tcPr>
            <w:tcW w:type="dxa" w:w="3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0.41 (95% CI: 0.22–0.76)</w:t>
            </w:r>
          </w:p>
        </w:tc>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0.44 (95% CI: 0.35–0.55)</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奏効率（ORR）— CERVIMAB群</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40.0% (16/40)</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38.4% (118/307)</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無増悪生存期間（PFS）中央値 — CERVIMAB群</w:t>
            </w:r>
          </w:p>
        </w:tc>
        <w:tc>
          <w:tcPr>
            <w:tcW w:type="dxa" w:w="3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7.2ヶ月 (95% CI: 4.8–NR)</w:t>
            </w:r>
          </w:p>
        </w:tc>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6.9ヶ月 (95% CI: 5.7–8.4)</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Grade 3–4 TRAE（いずれかの事象）</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27.5% (11/40)</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22.1%</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投与中止に至った有害事象</w:t>
            </w:r>
          </w:p>
        </w:tc>
        <w:tc>
          <w:tcPr>
            <w:tcW w:type="dxa" w:w="3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7.5% (3/40)</w:t>
            </w:r>
          </w:p>
        </w:tc>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8.5%</w:t>
            </w:r>
          </w:p>
        </w:tc>
      </w:tr>
    </w:tbl>
    <w:p>
      <w:pPr>
        <w:spacing w:before="60" w:after="60"/>
      </w:pPr>
      <w:r>
        <w:t xml:space="preserve"/>
      </w:r>
    </w:p>
    <w:p>
      <w:pPr>
        <w:spacing w:before="60" w:after="100"/>
      </w:pPr>
      <w:r>
        <w:rPr>
          <w:rFonts w:ascii="Arial" w:cs="Arial" w:eastAsia="Arial" w:hAnsi="Arial"/>
          <w:sz w:val="22"/>
          <w:szCs w:val="22"/>
        </w:rPr>
        <w:t xml:space="preserve">考察（Interpretation）: 日本人部分集団の有効性（OS HR 0.41、ORR 40.0%）は、全体集団の結果（OS HR 0.44、ORR 38.4%）と一致しており、民族的感受性による差異は認められない。ICH E5ガイドラインに基づく評価では、日本人への外挿は適切と判断される。Grade 3–4 TRAE発現率がやや高い傾向（27.5% vs. 22.1%）は、日本人集団が少数であるため統計学的には有意ではなく、観察期間内に解消した（全例回復または軽快）。この傾向については第5部のCSR補足解析において詳細に考察している。</w:t>
      </w:r>
    </w:p>
    <w:p>
      <w:pPr>
        <w:spacing w:before="60" w:after="60"/>
      </w:pPr>
      <w:r>
        <w:t xml:space="preserve"/>
      </w:r>
    </w:p>
    <w:p>
      <w:pPr>
        <w:pStyle w:val="Heading3"/>
        <w:spacing w:before="180" w:after="60"/>
      </w:pPr>
      <w:r>
        <w:rPr>
          <w:rFonts w:ascii="Arial" w:cs="Arial" w:eastAsia="Arial" w:hAnsi="Arial"/>
          <w:b/>
          <w:bCs/>
          <w:color w:val="2C2C2C"/>
          <w:sz w:val="22"/>
          <w:szCs w:val="22"/>
        </w:rPr>
        <w:t xml:space="preserve">2.5.2  ICH E5 民族的感受性評価（Ethnic Sensitivity Assessment per ICH E5）</w:t>
      </w:r>
    </w:p>
    <w:p>
      <w:pPr>
        <w:spacing w:before="60" w:after="100"/>
      </w:pPr>
      <w:r>
        <w:rPr>
          <w:rFonts w:ascii="Arial" w:cs="Arial" w:eastAsia="Arial" w:hAnsi="Arial"/>
          <w:sz w:val="22"/>
          <w:szCs w:val="22"/>
        </w:rPr>
        <w:t xml:space="preserve">ICH E5「外国臨床データを受け入れる際の民族的要因について」に基づき、cervimabのPK/PDプロファイルにおける民族的差異を評価した。</w:t>
      </w:r>
    </w:p>
    <w:p>
      <w:pPr>
        <w:spacing w:before="60" w:after="100"/>
      </w:pPr>
      <w:r>
        <w:rPr>
          <w:rFonts w:ascii="Arial" w:cs="Arial" w:eastAsia="Arial" w:hAnsi="Arial"/>
          <w:b/>
          <w:bCs/>
          <w:sz w:val="22"/>
          <w:szCs w:val="22"/>
        </w:rPr>
        <w:t xml:space="preserve">薬物動態（PK）評価:</w:t>
      </w:r>
    </w:p>
    <w:p>
      <w:pPr>
        <w:spacing w:before="60" w:after="100"/>
      </w:pPr>
      <w:r>
        <w:rPr>
          <w:rFonts w:ascii="Arial" w:cs="Arial" w:eastAsia="Arial" w:hAnsi="Arial"/>
          <w:sz w:val="22"/>
          <w:szCs w:val="22"/>
        </w:rPr>
        <w:t xml:space="preserve">PopPKモデルによる解析では、体重補正後、日本人患者（n=78）のcervimab曝露（AUC、Cmax、Ctrough）は非日本人患者と比較して±20%以内であり、民族的差異は認められなかった。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PK パラメータ</w:t>
            </w:r>
          </w:p>
        </w:tc>
        <w:tc>
          <w:tcPr>
            <w:tcW w:type="dxa" w:w="30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日本人患者（幾何平均）</w:t>
            </w:r>
          </w:p>
        </w:tc>
        <w:tc>
          <w:tcPr>
            <w:tcW w:type="dxa" w:w="30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非日本人患者（幾何平均）</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Cycle 1 Cmax (μg/mL)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392.4</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381.7</w:t>
            </w:r>
          </w:p>
        </w:tc>
      </w:tr>
      <w:tr>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Cycle 1 AUCtau (μg·day/mL)</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8,942</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8,715</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Cycle 3 Ctrough (μg/mL)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42.8</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40.2</w:t>
            </w:r>
          </w:p>
        </w:tc>
      </w:tr>
      <w:tr>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CL (mL/day)</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214.3</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221.6</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Vd (mL)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3,847</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3,920</w:t>
            </w:r>
          </w:p>
        </w:tc>
      </w:tr>
      <w:tr>
        <w:tc>
          <w:tcPr>
            <w:tcW w:type="dxa" w:w="33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t1/2 (days)</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24.7</w:t>
            </w:r>
          </w:p>
        </w:tc>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25.3</w:t>
            </w:r>
          </w:p>
        </w:tc>
      </w:tr>
    </w:tbl>
    <w:p>
      <w:pPr>
        <w:spacing w:before="60" w:after="60"/>
      </w:pPr>
      <w:r>
        <w:t xml:space="preserve"/>
      </w:r>
    </w:p>
    <w:p>
      <w:pPr>
        <w:spacing w:before="60" w:after="100"/>
      </w:pPr>
      <w:r>
        <w:rPr>
          <w:rFonts w:ascii="Arial" w:cs="Arial" w:eastAsia="Arial" w:hAnsi="Arial"/>
          <w:sz w:val="22"/>
          <w:szCs w:val="22"/>
        </w:rPr>
        <w:t xml:space="preserve">結論: 日本人被験者と非日本人被験者の間に、cervimabの薬物動態に臨床的に意味のある民族的差異は認められない。追加の民族的ブリッジング試験（日本人単独のPK試験）は不要と判断される。</w:t>
      </w:r>
    </w:p>
    <w:p>
      <w:pPr>
        <w:spacing w:before="60" w:after="60"/>
      </w:pPr>
      <w:r>
        <w:t xml:space="preserve"/>
      </w:r>
    </w:p>
    <w:p>
      <w:pPr>
        <w:pStyle w:val="Heading3"/>
        <w:spacing w:before="180" w:after="60"/>
      </w:pPr>
      <w:r>
        <w:rPr>
          <w:rFonts w:ascii="Arial" w:cs="Arial" w:eastAsia="Arial" w:hAnsi="Arial"/>
          <w:b/>
          <w:bCs/>
          <w:color w:val="2C2C2C"/>
          <w:sz w:val="22"/>
          <w:szCs w:val="22"/>
        </w:rPr>
        <w:t xml:space="preserve">2.5.3  日本における標準治療との比較（Comparison with Japanese Standard of Care）</w:t>
      </w:r>
    </w:p>
    <w:p>
      <w:pPr>
        <w:spacing w:before="60" w:after="100"/>
      </w:pPr>
      <w:r>
        <w:rPr>
          <w:rFonts w:ascii="Arial" w:cs="Arial" w:eastAsia="Arial" w:hAnsi="Arial"/>
          <w:sz w:val="22"/>
          <w:szCs w:val="22"/>
        </w:rPr>
        <w:t xml:space="preserve">日本においても、フッ化ピリミジン系薬剤（5-FU/カペシタビン）＋オキサリプラチン（FOLFOX/CAPOX）およびイリノテカン系療法（FOLFIRI）は大腸癌の標準的な1次・2次化学療法として確立されている。3次治療以降の標準治療としては、レゴラフェニブ（スチバーガ®）およびトリフルリジン・チピラシル（ロンサーフ®）が日本の保険診療で承認されている点は国際的状況と同様である。</w:t>
      </w:r>
    </w:p>
    <w:p>
      <w:pPr>
        <w:spacing w:before="60" w:after="100"/>
      </w:pPr>
      <w:r>
        <w:rPr>
          <w:rFonts w:ascii="Arial" w:cs="Arial" w:eastAsia="Arial" w:hAnsi="Arial"/>
          <w:sz w:val="22"/>
          <w:szCs w:val="22"/>
        </w:rPr>
        <w:t xml:space="preserve">重要事項: ニボルマブ（オプジーボ®）は日本においてdMMR/MSI-H大腸癌への適応が承認されている（2021年）。本申請はニボルマブとの競合となるが、cervimabはQ6W（6週間毎）という投与間隔の長さ、および直接比較試験（RESTORE-CRC）での実証されたOSベネフィットを差別化の根拠とする。</w:t>
      </w:r>
    </w:p>
    <w:p>
      <w:r>
        <w:br w:type="page"/>
      </w:r>
    </w:p>
    <w:p>
      <w:pPr>
        <w:pStyle w:val="Heading2"/>
        <w:spacing w:before="240" w:after="80"/>
      </w:pPr>
      <w:r>
        <w:rPr>
          <w:rFonts w:ascii="Arial" w:cs="Arial" w:eastAsia="Arial" w:hAnsi="Arial"/>
          <w:b/>
          <w:bCs/>
          <w:color w:val="CC0000"/>
          <w:sz w:val="24"/>
          <w:szCs w:val="24"/>
        </w:rPr>
        <w:t xml:space="preserve">5.3  日本人に関する追加報告書（Japan-Specific Appendices to Module 5）</w:t>
      </w:r>
    </w:p>
    <w:p>
      <w:pPr>
        <w:pStyle w:val="Heading3"/>
        <w:spacing w:before="180" w:after="60"/>
      </w:pPr>
      <w:r>
        <w:rPr>
          <w:rFonts w:ascii="Arial" w:cs="Arial" w:eastAsia="Arial" w:hAnsi="Arial"/>
          <w:b/>
          <w:bCs/>
          <w:color w:val="2C2C2C"/>
          <w:sz w:val="22"/>
          <w:szCs w:val="22"/>
        </w:rPr>
        <w:t xml:space="preserve">5.3.J-1  日本人部分集団の詳細有効性解析（Detailed Efficacy Analysis — Japanese Subpopulation）</w:t>
      </w:r>
    </w:p>
    <w:p>
      <w:pPr>
        <w:spacing w:before="60" w:after="100"/>
      </w:pPr>
      <w:r>
        <w:rPr>
          <w:rFonts w:ascii="Arial" w:cs="Arial" w:eastAsia="Arial" w:hAnsi="Arial"/>
          <w:sz w:val="22"/>
          <w:szCs w:val="22"/>
        </w:rPr>
        <w:t xml:space="preserve">日本人部分集団（n=78）のカプラン・マイヤー生存曲線、森林プロット（事前規定のサブグループ別OS HRの視覚的要約）、ならびに施設別感度分析の結果をこのセクションに示す。</w:t>
      </w:r>
    </w:p>
    <w:p>
      <w:pPr>
        <w:spacing w:before="60" w:after="100"/>
      </w:pPr>
      <w:r>
        <w:rPr>
          <w:rFonts w:ascii="Arial" w:cs="Arial" w:eastAsia="Arial" w:hAnsi="Arial"/>
          <w:sz w:val="22"/>
          <w:szCs w:val="22"/>
        </w:rPr>
        <w:t xml:space="preserve">主要な知見（Key Findings）:</w:t>
      </w:r>
    </w:p>
    <w:p>
      <w:pPr>
        <w:pStyle w:val="ListParagraph"/>
        <w:numPr>
          <w:ilvl w:val="0"/>
          <w:numId w:val="2"/>
        </w:numPr>
        <w:spacing w:before="40" w:after="40"/>
      </w:pPr>
      <w:r>
        <w:rPr>
          <w:rFonts w:ascii="Arial" w:cs="Arial" w:eastAsia="Arial" w:hAnsi="Arial"/>
          <w:sz w:val="22"/>
          <w:szCs w:val="22"/>
        </w:rPr>
        <w:t xml:space="preserve">日本人患者における12ヶ月OS率: 72.5%（CERVIMAB群）vs. 36.8%（対照群）</w:t>
      </w:r>
    </w:p>
    <w:p>
      <w:pPr>
        <w:pStyle w:val="ListParagraph"/>
        <w:numPr>
          <w:ilvl w:val="0"/>
          <w:numId w:val="2"/>
        </w:numPr>
        <w:spacing w:before="40" w:after="40"/>
      </w:pPr>
      <w:r>
        <w:rPr>
          <w:rFonts w:ascii="Arial" w:cs="Arial" w:eastAsia="Arial" w:hAnsi="Arial"/>
          <w:sz w:val="22"/>
          <w:szCs w:val="22"/>
        </w:rPr>
        <w:t xml:space="preserve">完全奏効（CR）率: 15.0%（6/40）— 全体集団の12.1%と数値的に一致</w:t>
      </w:r>
    </w:p>
    <w:p>
      <w:pPr>
        <w:pStyle w:val="ListParagraph"/>
        <w:numPr>
          <w:ilvl w:val="0"/>
          <w:numId w:val="2"/>
        </w:numPr>
        <w:spacing w:before="40" w:after="40"/>
      </w:pPr>
      <w:r>
        <w:rPr>
          <w:rFonts w:ascii="Arial" w:cs="Arial" w:eastAsia="Arial" w:hAnsi="Arial"/>
          <w:sz w:val="22"/>
          <w:szCs w:val="22"/>
        </w:rPr>
        <w:t xml:space="preserve">ベネフィットは、BRAF V600E変異の有無、ECOG PS分類にかかわらず一貫して認められた</w:t>
      </w:r>
    </w:p>
    <w:p>
      <w:pPr>
        <w:pStyle w:val="ListParagraph"/>
        <w:numPr>
          <w:ilvl w:val="0"/>
          <w:numId w:val="2"/>
        </w:numPr>
        <w:spacing w:before="40" w:after="40"/>
      </w:pPr>
      <w:r>
        <w:rPr>
          <w:rFonts w:ascii="Arial" w:cs="Arial" w:eastAsia="Arial" w:hAnsi="Arial"/>
          <w:sz w:val="22"/>
          <w:szCs w:val="22"/>
        </w:rPr>
        <w:t xml:space="preserve">日本人施設（12施設）において、プロトコル逸脱率は4.8%（グローバル率6.2%より低い）</w:t>
      </w:r>
    </w:p>
    <w:p>
      <w:pPr>
        <w:pStyle w:val="Heading3"/>
        <w:spacing w:before="180" w:after="60"/>
      </w:pPr>
      <w:r>
        <w:rPr>
          <w:rFonts w:ascii="Arial" w:cs="Arial" w:eastAsia="Arial" w:hAnsi="Arial"/>
          <w:b/>
          <w:bCs/>
          <w:color w:val="2C2C2C"/>
          <w:sz w:val="22"/>
          <w:szCs w:val="22"/>
        </w:rPr>
        <w:t xml:space="preserve">5.3.J-2  日本人に対する安全性プロファイル（Safety Profile — Japanese Patients）</w:t>
      </w:r>
    </w:p>
    <w:p>
      <w:pPr>
        <w:spacing w:before="60" w:after="100"/>
      </w:pPr>
      <w:r>
        <w:rPr>
          <w:rFonts w:ascii="Arial" w:cs="Arial" w:eastAsia="Arial" w:hAnsi="Arial"/>
          <w:sz w:val="22"/>
          <w:szCs w:val="22"/>
        </w:rPr>
        <w:t xml:space="preserve">日本人被験者における有害事象（AE）の発現状況を全体集団と比較した詳細解析を実施した。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rPr>
          <w:tblHeader/>
        </w:trPr>
        <w:tc>
          <w:tcPr>
            <w:tcW w:type="dxa" w:w="376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有害事象 / Adverse Reaction</w:t>
            </w:r>
          </w:p>
        </w:tc>
        <w:tc>
          <w:tcPr>
            <w:tcW w:type="dxa" w:w="28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日本人 N=40 全Grade (%)</w:t>
            </w:r>
          </w:p>
        </w:tc>
        <w:tc>
          <w:tcPr>
            <w:tcW w:type="dxa" w:w="28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全体集団 N=614 全Grade (%)</w:t>
            </w:r>
          </w:p>
        </w:tc>
      </w:tr>
      <w:tr>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疲労 (Fatigue)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42.5%</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38.2%</w:t>
            </w:r>
          </w:p>
        </w:tc>
      </w:tr>
      <w:tr>
        <w:tc>
          <w:tcPr>
            <w:tcW w:type="dxa" w:w="3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下痢・大腸炎 (Diarrhoea/Colitis)</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30.0%</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27.4%</w:t>
            </w:r>
          </w:p>
        </w:tc>
      </w:tr>
      <w:tr>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発疹 (Rash — 各種)</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22.5%</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24.1%</w:t>
            </w:r>
          </w:p>
        </w:tc>
      </w:tr>
      <w:tr>
        <w:tc>
          <w:tcPr>
            <w:tcW w:type="dxa" w:w="3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甲状腺機能低下症 (Hypothyroidism)</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22.5%*</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18.3%</w:t>
            </w:r>
          </w:p>
        </w:tc>
      </w:tr>
      <w:tr>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肝機能障害 ALT/AST上昇 (Hepatitis)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17.5%</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14.2%</w:t>
            </w:r>
          </w:p>
        </w:tc>
      </w:tr>
      <w:tr>
        <w:tc>
          <w:tcPr>
            <w:tcW w:type="dxa" w:w="3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間質性肺炎 (Pneumonitis)</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10.0%*</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6.4%</w:t>
            </w:r>
          </w:p>
        </w:tc>
      </w:tr>
      <w:tr>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1型糖尿病 (Type 1 DM)</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r>
      <w:tr>
        <w:tc>
          <w:tcPr>
            <w:tcW w:type="dxa" w:w="3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副腎不全 (Adrenal Insufficiency)</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5.0%</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4.1%</w:t>
            </w:r>
          </w:p>
        </w:tc>
      </w:tr>
      <w:tr>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infusion関連反応 (IRR)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5.7%</w:t>
            </w:r>
          </w:p>
        </w:tc>
      </w:tr>
      <w:tr>
        <w:tc>
          <w:tcPr>
            <w:tcW w:type="dxa" w:w="3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Grade 3–4 TRAE (any)</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27.5%</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22.1%</w:t>
            </w:r>
          </w:p>
        </w:tc>
      </w:tr>
    </w:tbl>
    <w:p>
      <w:pPr>
        <w:spacing w:before="60" w:after="100"/>
      </w:pPr>
      <w:r>
        <w:rPr>
          <w:rFonts w:ascii="Arial" w:cs="Arial" w:eastAsia="Arial" w:hAnsi="Arial"/>
          <w:i/>
          <w:iCs/>
          <w:sz w:val="22"/>
          <w:szCs w:val="22"/>
        </w:rPr>
        <w:t xml:space="preserve">* 甲状腺機能低下症および間質性肺炎の発現頻度が全体集団と比較してやや高い傾向が認められた。この傾向はPD-1阻害剤全般に関するアジア人集団における既報告知見と一致する（Nishino et al., J Thorac Oncol 2019; Nakano et al., Oncologist 2020）。管理可能であり、致死的な事象は認められなかった。RMPに日本人患者に対する追加リスクコミュニケーション施策（医療従事者向けガイダンス資料）を含める。</w:t>
      </w:r>
    </w:p>
    <w:p>
      <w:r>
        <w:br w:type="page"/>
      </w:r>
    </w:p>
    <w:p>
      <w:pPr>
        <w:pStyle w:val="Heading2"/>
        <w:spacing w:before="240" w:after="80"/>
      </w:pPr>
      <w:r>
        <w:rPr>
          <w:rFonts w:ascii="Arial" w:cs="Arial" w:eastAsia="Arial" w:hAnsi="Arial"/>
          <w:b/>
          <w:bCs/>
          <w:color w:val="CC0000"/>
          <w:sz w:val="24"/>
          <w:szCs w:val="24"/>
        </w:rPr>
        <w:t xml:space="preserve">2.5.4  PMDAへの対面助言記録（PMDA Scientific Advice / 対面助言の記録）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日付 / Date</w:t>
            </w:r>
          </w:p>
        </w:tc>
        <w:tc>
          <w:tcPr>
            <w:tcW w:type="dxa" w:w="20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相談区分 / Type</w:t>
            </w:r>
          </w:p>
        </w:tc>
        <w:tc>
          <w:tcPr>
            <w:tcW w:type="dxa" w:w="556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主な合意事項 / Key Outcomes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2022年3月15日</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開発前相談（事前面談）</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PMDAは、日本人患者を含むグローバル試験（RESTORE-CRC）の実施により、別途日本人専用Phase 3試験は不要と合意。日本人組み入れ目標：全体のおよそ10–15%。E5評価の枠組みを合意。</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2022年10月4日</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品質相談（生物製剤製造）</w:t>
            </w:r>
          </w:p>
        </w:tc>
        <w:tc>
          <w:tcPr>
            <w:tcW w:type="dxa" w:w="5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CHO細胞による製造プロセス、ウイルスクリアランス評価（4ステップ）、参照標準物質の設定方法、日本薬局方（JP 17th Ed.）準拠を確認。国内バッチリリース試験（品質管理）の要件を合意。</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2024年3月22日</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申請前相談（Pre-NDA）</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申請資料（Module 1–5）の構成を確認。優先審査申請の適格性を確認（未充足医療ニーズ要件充足）。日本人部分集団データをModule 5に組み込む形式を合意。間質性肺炎モニタリングに関する日本特有の安全対策（医療従事者教育資材）の必要性を確認。</w:t>
            </w:r>
          </w:p>
        </w:tc>
      </w:tr>
    </w:tbl>
    <w:p>
      <w:r>
        <w:br w:type="page"/>
      </w:r>
    </w:p>
    <w:p>
      <w:pPr>
        <w:pStyle w:val="Heading2"/>
        <w:spacing w:before="240" w:after="80"/>
      </w:pPr>
      <w:r>
        <w:rPr>
          <w:rFonts w:ascii="Arial" w:cs="Arial" w:eastAsia="Arial" w:hAnsi="Arial"/>
          <w:b/>
          <w:bCs/>
          <w:color w:val="CC0000"/>
          <w:sz w:val="24"/>
          <w:szCs w:val="24"/>
        </w:rPr>
        <w:t xml:space="preserve">2.5.5  日本における後期第III相試験の見解（RESTORE-CRC — Japan Site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参加施設数:</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12施設（国立がん研究センター東病院、大阪大学病院、慶應義塾大学病院 他9施設）</w:t>
            </w:r>
          </w:p>
        </w:tc>
      </w:tr>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Japanese IRB Approval:</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各施設倫理委員会承認取得済 — 治験届受理番号：厚生労働省 治験届 CTN2021-ARCHON-301-JP</w:t>
            </w:r>
          </w:p>
        </w:tc>
      </w:tr>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日本人患者登録期間:</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2021年10月12日（第1例目登録）〜 2022年11月30日（最終例登録）</w:t>
            </w:r>
          </w:p>
        </w:tc>
      </w:tr>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主担当医師 (PI):</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田中 誠一郎 教授（国立がん研究センター東病院 消化管内科） — 詳細はModule 5を参照</w:t>
            </w:r>
          </w:p>
        </w:tc>
      </w:tr>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日本部分集団最終解析:</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全体試験のデータカットオフと同一（2024年4月30日）</w:t>
            </w:r>
          </w:p>
        </w:tc>
      </w:tr>
      <w:tr>
        <w:tc>
          <w:tcPr>
            <w:tcW w:type="dxa" w:w="32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sz w:val="20"/>
                <w:szCs w:val="20"/>
              </w:rPr>
              <w:t xml:space="preserve">データ品質:</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日本サイトのモニタリング査察（Archon社内 + CRO GCP監査）: 主要逸脱 0件、軽微逸脱2件（是正済み）</w:t>
            </w:r>
          </w:p>
        </w:tc>
      </w:tr>
    </w:tbl>
    <w:p>
      <w:r>
        <w:br w:type="page"/>
      </w:r>
    </w:p>
    <w:p>
      <w:pPr>
        <w:pStyle w:val="Heading1"/>
        <w:pBdr>
          <w:bottom w:val="single" w:color="8B0000" w:sz="6" w:space="4"/>
        </w:pBdr>
        <w:spacing w:before="360" w:after="120"/>
      </w:pPr>
      <w:r>
        <w:rPr>
          <w:rFonts w:ascii="Arial" w:cs="Arial" w:eastAsia="Arial" w:hAnsi="Arial"/>
          <w:b/>
          <w:bCs/>
          <w:color w:val="8B0000"/>
          <w:sz w:val="28"/>
          <w:szCs w:val="28"/>
        </w:rPr>
        <w:t xml:space="preserve">第3部–第4部 （Modules 3–4） — 品質・非臨床（Quality / Nonclinical — Japan-Specific）</w:t>
      </w:r>
    </w:p>
    <w:p>
      <w:pPr>
        <w:pStyle w:val="Heading2"/>
        <w:spacing w:before="240" w:after="80"/>
      </w:pPr>
      <w:r>
        <w:rPr>
          <w:rFonts w:ascii="Arial" w:cs="Arial" w:eastAsia="Arial" w:hAnsi="Arial"/>
          <w:b/>
          <w:bCs/>
          <w:color w:val="CC0000"/>
          <w:sz w:val="24"/>
          <w:szCs w:val="24"/>
        </w:rPr>
        <w:t xml:space="preserve">3.2  品質（CMC）— 日本特有の事項（Japan-Specific CMC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3200"/>
        <w:gridCol w:w="800"/>
      </w:tblGrid>
      <w:tr>
        <w:trPr>
          <w:tblHeader/>
        </w:trPr>
        <w:tc>
          <w:tcPr>
            <w:tcW w:type="dxa" w:w="18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セクション</w:t>
            </w:r>
          </w:p>
        </w:tc>
        <w:tc>
          <w:tcPr>
            <w:tcW w:type="dxa" w:w="356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事項 / Topic</w:t>
            </w:r>
          </w:p>
        </w:tc>
        <w:tc>
          <w:tcPr>
            <w:tcW w:type="dxa" w:w="32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日本特有の要件 / JP Requirement</w:t>
            </w:r>
          </w:p>
        </w:tc>
        <w:tc>
          <w:tcPr>
            <w:tcW w:type="dxa" w:w="8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状態</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3.2.S.4.1</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薬局方規格 (Pharmacopoeial Standards)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日本薬局方（JP17）準拠; バイオテクノロジー応用医薬品通則（JP Appendix 3G）適用</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適合</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3.2.S.7</w:t>
            </w:r>
          </w:p>
        </w:tc>
        <w:tc>
          <w:tcPr>
            <w:tcW w:type="dxa" w:w="3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安定性試験 — 国内バッチ</w:t>
            </w:r>
          </w:p>
        </w:tc>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国内流通バッチでの長期保存試験（25℃/60%RH）実施（輸入品の場合も実施要）</w:t>
            </w:r>
          </w:p>
        </w:tc>
        <w:tc>
          <w:tcPr>
            <w:tcW w:type="dxa" w:w="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実施中（3ロット、18ヶ月データ添付）</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3.2.P.4</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添加剤 — ポリソルベート80</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JP第17改正版「ポリソルベート80」規格適合証明書(CoA)添付</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添付済</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3.2.P.5.1</w:t>
            </w:r>
          </w:p>
        </w:tc>
        <w:tc>
          <w:tcPr>
            <w:tcW w:type="dxa" w:w="3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規格及び試験方法 — エンドトキシン</w:t>
            </w:r>
          </w:p>
        </w:tc>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日本薬局方 4.01エンドトキシン試験法（LAL）準拠 — 限度値 ≤0.5 EU/mg（日本国内向けバッチリリース適用）</w:t>
            </w:r>
          </w:p>
        </w:tc>
        <w:tc>
          <w:tcPr>
            <w:tcW w:type="dxa" w:w="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準拠済</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3.2.A.1</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製造施設 — 外国製造業者認定</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米国（Lexington, MA）及びオーストリア（Vienna）製造業者の外国製造業者認定申請書を同時提出; GMP適合性評価資料添付</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申請中</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3.2.P.7</w:t>
            </w:r>
          </w:p>
        </w:tc>
        <w:tc>
          <w:tcPr>
            <w:tcW w:type="dxa" w:w="3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容器・施栓系 — 国内表示</w:t>
            </w:r>
          </w:p>
        </w:tc>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バイアルラベル及び外箱の日本語表示（承認後）; 電子添付文書（電子化添付文書義務化対応）準備中</w:t>
            </w:r>
          </w:p>
        </w:tc>
        <w:tc>
          <w:tcPr>
            <w:tcW w:type="dxa" w:w="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設計中</w:t>
            </w:r>
          </w:p>
        </w:tc>
      </w:tr>
    </w:tbl>
    <w:p>
      <w:pPr>
        <w:spacing w:before="60" w:after="60"/>
      </w:pPr>
      <w:r>
        <w:t xml:space="preserve"/>
      </w:r>
    </w:p>
    <w:p>
      <w:pPr>
        <w:pStyle w:val="Heading2"/>
        <w:spacing w:before="240" w:after="80"/>
      </w:pPr>
      <w:r>
        <w:rPr>
          <w:rFonts w:ascii="Arial" w:cs="Arial" w:eastAsia="Arial" w:hAnsi="Arial"/>
          <w:b/>
          <w:bCs/>
          <w:color w:val="CC0000"/>
          <w:sz w:val="24"/>
          <w:szCs w:val="24"/>
        </w:rPr>
        <w:t xml:space="preserve">製造販売後調査計画（Post-Marketing Surveillance Plan — 市販後調査）</w:t>
      </w:r>
    </w:p>
    <w:p>
      <w:pPr>
        <w:spacing w:before="60" w:after="100"/>
      </w:pPr>
      <w:r>
        <w:rPr>
          <w:rFonts w:ascii="Arial" w:cs="Arial" w:eastAsia="Arial" w:hAnsi="Arial"/>
          <w:sz w:val="22"/>
          <w:szCs w:val="22"/>
        </w:rPr>
        <w:t xml:space="preserve">本申請においては、以下の製造販売後調査（PMS）の実施を計画している。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調査種別</w:t>
            </w:r>
          </w:p>
        </w:tc>
        <w:tc>
          <w:tcPr>
            <w:tcW w:type="dxa" w:w="416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目的・内容</w:t>
            </w:r>
          </w:p>
        </w:tc>
        <w:tc>
          <w:tcPr>
            <w:tcW w:type="dxa" w:w="28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計画症例数・期間</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特定使用成績調査（市販後臨床試験）</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日本人dMMR/MSI-H大腸癌患者における長期有効性・安全性の確認（特に間質性肺炎・免疫関連有害事象の日本人特有のリスク評価）</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300例・3年間</w:t>
            </w:r>
          </w:p>
        </w:tc>
      </w:tr>
      <w:tr>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使用成績調査（一般使用成績調査）</w:t>
            </w:r>
          </w:p>
        </w:tc>
        <w:tc>
          <w:tcPr>
            <w:tcW w:type="dxa" w:w="4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実臨床における安全性確認（市販直後調査含む）— 初期6ヶ月は市販直後調査として全例報告</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1,000例・6年間</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製造販売後臨床試験（PMCT）</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小児（2–17歳）における安全性・PK試験（PIP/PDCO deferred study相当 — 国内実施予定）</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計画中（承認後2年以内に実施計画書提出）</w:t>
            </w:r>
          </w:p>
        </w:tc>
      </w:tr>
    </w:tbl>
    <w:p>
      <w:r>
        <w:br w:type="page"/>
      </w:r>
    </w:p>
    <w:p>
      <w:pPr>
        <w:pBdr>
          <w:top w:val="single" w:color="8B0000" w:sz="8" w:space="8"/>
        </w:pBdr>
        <w:spacing w:before="360" w:after="120"/>
        <w:jc w:val="center"/>
      </w:pPr>
      <w:r>
        <w:rPr>
          <w:rFonts w:ascii="Arial" w:cs="Arial" w:eastAsia="Arial" w:hAnsi="Arial"/>
          <w:b/>
          <w:bCs/>
          <w:color w:val="8B0000"/>
          <w:sz w:val="22"/>
          <w:szCs w:val="22"/>
        </w:rPr>
        <w:t xml:space="preserve">— 以上 / END OF J-NDA SUBMISSION — CERVIMAB — PMDA —</w:t>
      </w:r>
    </w:p>
    <w:p>
      <w:pPr>
        <w:spacing w:before="40" w:after="40"/>
        <w:jc w:val="center"/>
      </w:pPr>
      <w:r>
        <w:rPr>
          <w:rFonts w:ascii="Arial" w:cs="Arial" w:eastAsia="Arial" w:hAnsi="Arial"/>
          <w:b/>
          <w:bCs/>
          <w:color w:val="CC0000"/>
          <w:sz w:val="18"/>
          <w:szCs w:val="18"/>
        </w:rPr>
        <w:t xml:space="preserve">機密情報 — 厚生労働省・医薬品医療機器総合機構への審査用提出資料 — 無断複製禁止</w:t>
      </w:r>
    </w:p>
    <w:sectPr>
      <w:headerReference w:type="default" r:id="rId6"/>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0000" w:sz="4" w:space="4"/>
      </w:pBdr>
      <w:tabs>
        <w:tab w:val="right" w:pos="9026"/>
      </w:tabs>
    </w:pPr>
    <w:r>
      <w:rPr>
        <w:rFonts w:ascii="Arial" w:cs="Arial" w:eastAsia="Arial" w:hAnsi="Arial"/>
        <w:color w:val="777777"/>
        <w:sz w:val="16"/>
        <w:szCs w:val="16"/>
      </w:rPr>
      <w:t xml:space="preserve">© 2025 Archon Biotherapeutics K.K.  |  CERVIMAB J-NDA  |  PMDA Submission</w:t>
    </w:r>
    <w:r>
      <w:rPr>
        <w:rFonts w:ascii="Arial" w:cs="Arial" w:eastAsia="Arial" w:hAnsi="Arial"/>
        <w:color w:val="777777"/>
        <w:sz w:val="16"/>
        <w:szCs w:val="16"/>
      </w:rPr>
      <w:t xml:space="preserve">	Page </w:t>
    </w:r>
    <w:r>
      <w:rPr>
        <w:rFonts w:ascii="Arial" w:cs="Arial" w:eastAsia="Arial" w:hAnsi="Arial"/>
        <w:color w:val="777777"/>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6" w:space="4"/>
      </w:pBdr>
    </w:pPr>
    <w:r>
      <w:rPr>
        <w:rFonts w:ascii="Arial" w:cs="Arial" w:eastAsia="Arial" w:hAnsi="Arial"/>
        <w:color w:val="555555"/>
        <w:sz w:val="18"/>
        <w:szCs w:val="18"/>
      </w:rPr>
      <w:t xml:space="preserve">CERVIMAB — J-NDA PMDA Submission  |  承認申請書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8B0000"/>
      <w:sz w:val="28"/>
      <w:szCs w:val="28"/>
    </w:rPr>
  </w:style>
  <w:style w:type="paragraph" w:styleId="Heading2">
    <w:name w:val="Heading 2"/>
    <w:basedOn w:val="Normal"/>
    <w:next w:val="Normal"/>
    <w:qFormat/>
    <w:pPr>
      <w:spacing w:before="240" w:after="80"/>
      <w:outlineLvl w:val="1"/>
    </w:pPr>
    <w:rPr>
      <w:rFonts w:ascii="Arial" w:cs="Arial" w:eastAsia="Arial" w:hAnsi="Arial"/>
      <w:b/>
      <w:bCs/>
      <w:color w:val="CC0000"/>
      <w:sz w:val="24"/>
      <w:szCs w:val="24"/>
    </w:rPr>
  </w:style>
  <w:style w:type="paragraph" w:styleId="Heading3">
    <w:name w:val="Heading 3"/>
    <w:basedOn w:val="Normal"/>
    <w:next w:val="Normal"/>
    <w:qFormat/>
    <w:pPr>
      <w:spacing w:before="180" w:after="60"/>
      <w:outlineLvl w:val="2"/>
    </w:pPr>
    <w:rPr>
      <w:rFonts w:ascii="Arial" w:cs="Arial" w:eastAsia="Arial"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2026-03-16T14:18:20.301Z</dcterms:created>
  <dcterms:modified xsi:type="dcterms:W3CDTF">2026-03-16T14:18:20.302Z</dcterms:modified>
</cp:coreProperties>
</file>

<file path=docProps/custom.xml><?xml version="1.0" encoding="utf-8"?>
<Properties xmlns="http://schemas.openxmlformats.org/officeDocument/2006/custom-properties" xmlns:vt="http://schemas.openxmlformats.org/officeDocument/2006/docPropsVTypes"/>
</file>