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0" w:after="80"/>
        <w:jc w:val="center"/>
      </w:pPr>
      <w:r>
        <w:rPr>
          <w:rFonts w:ascii="Arial" w:cs="Arial" w:eastAsia="Arial" w:hAnsi="Arial"/>
          <w:b/>
          <w:bCs/>
          <w:color w:val="1F3864"/>
          <w:sz w:val="28"/>
          <w:szCs w:val="28"/>
        </w:rPr>
        <w:t xml:space="preserve">NovaMed Biosciences, Inc.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12"/>
              <w:right w:val="single" w:color="1F3864" w:sz="4"/>
            </w:tcBorders>
            <w:shd w:fill="EBF2FA" w:val="clear"/>
            <w:tcMar>
              <w:top w:type="dxa" w:w="240"/>
              <w:left w:type="dxa" w:w="360"/>
              <w:bottom w:type="dxa" w:w="240"/>
              <w:right w:type="dxa" w:w="360"/>
            </w:tcMar>
          </w:tcPr>
          <w:p>
            <w:pPr>
              <w:spacing w:before="40" w:after="40"/>
              <w:jc w:val="center"/>
            </w:pPr>
            <w:r>
              <w:rPr>
                <w:rFonts w:ascii="Arial" w:cs="Arial" w:eastAsia="Arial" w:hAnsi="Arial"/>
                <w:b/>
                <w:bCs/>
                <w:color w:val="1F3864"/>
                <w:sz w:val="28"/>
                <w:szCs w:val="28"/>
              </w:rPr>
              <w:t xml:space="preserve">CLINICAL STUDY PROTOCOL</w:t>
            </w:r>
          </w:p>
          <w:p>
            <w:pPr>
              <w:spacing w:before="40" w:after="40"/>
              <w:jc w:val="center"/>
            </w:pPr>
            <w:r>
              <w:rPr>
                <w:rFonts w:ascii="Arial" w:cs="Arial" w:eastAsia="Arial" w:hAnsi="Arial"/>
                <w:b/>
                <w:bCs/>
                <w:color w:val="333333"/>
                <w:sz w:val="24"/>
                <w:szCs w:val="24"/>
              </w:rPr>
              <w:t xml:space="preserve">Thorough QT/QTc Study:</w:t>
            </w:r>
          </w:p>
          <w:p>
            <w:pPr>
              <w:spacing w:before="40" w:after="40"/>
              <w:jc w:val="center"/>
            </w:pPr>
            <w:r>
              <w:rPr>
                <w:rFonts w:ascii="Arial" w:cs="Arial" w:eastAsia="Arial" w:hAnsi="Arial"/>
                <w:b/>
                <w:bCs/>
                <w:color w:val="333333"/>
                <w:sz w:val="22"/>
                <w:szCs w:val="22"/>
              </w:rPr>
              <w:t xml:space="preserve">Effect of CERVIMAB on Cardiac Repolarization in Subjects with</w:t>
            </w:r>
          </w:p>
          <w:p>
            <w:pPr>
              <w:spacing w:before="40" w:after="40"/>
              <w:jc w:val="center"/>
            </w:pPr>
            <w:r>
              <w:rPr>
                <w:rFonts w:ascii="Arial" w:cs="Arial" w:eastAsia="Arial" w:hAnsi="Arial"/>
                <w:b/>
                <w:bCs/>
                <w:color w:val="333333"/>
                <w:sz w:val="22"/>
                <w:szCs w:val="22"/>
              </w:rPr>
              <w:t xml:space="preserve">dMMR/MSI-H Metastatic Colorectal Cancer</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b/>
                <w:bCs/>
                <w:color w:val="555555"/>
                <w:sz w:val="20"/>
                <w:szCs w:val="20"/>
              </w:rPr>
              <w:t xml:space="preserve">Protocol Number:</w:t>
            </w:r>
          </w:p>
          <w:p>
            <w:pPr>
              <w:spacing w:before="40" w:after="40"/>
              <w:jc w:val="center"/>
            </w:pPr>
            <w:r>
              <w:rPr>
                <w:rFonts w:ascii="Arial" w:cs="Arial" w:eastAsia="Arial" w:hAnsi="Arial"/>
                <w:color w:val="222222"/>
                <w:sz w:val="20"/>
                <w:szCs w:val="20"/>
              </w:rPr>
              <w:t xml:space="preserve">CER-QT-003</w:t>
            </w:r>
          </w:p>
          <w:p>
            <w:pPr>
              <w:spacing w:before="40" w:after="40"/>
              <w:jc w:val="center"/>
            </w:pPr>
            <w:r>
              <w:rPr>
                <w:rFonts w:ascii="Arial" w:cs="Arial" w:eastAsia="Arial" w:hAnsi="Arial"/>
                <w:b/>
                <w:bCs/>
                <w:color w:val="555555"/>
                <w:sz w:val="20"/>
                <w:szCs w:val="20"/>
              </w:rPr>
              <w:t xml:space="preserve">Study Phase:</w:t>
            </w:r>
          </w:p>
          <w:p>
            <w:pPr>
              <w:spacing w:before="40" w:after="40"/>
              <w:jc w:val="center"/>
            </w:pPr>
            <w:r>
              <w:rPr>
                <w:rFonts w:ascii="Arial" w:cs="Arial" w:eastAsia="Arial" w:hAnsi="Arial"/>
                <w:color w:val="222222"/>
                <w:sz w:val="20"/>
                <w:szCs w:val="20"/>
              </w:rPr>
              <w:t xml:space="preserve">Phase 3 — Cardiac Safety Sub-Study (ICH E14 Thorough QT Study)</w:t>
            </w:r>
          </w:p>
          <w:p>
            <w:pPr>
              <w:spacing w:before="40" w:after="40"/>
              <w:jc w:val="center"/>
            </w:pPr>
            <w:r>
              <w:rPr>
                <w:rFonts w:ascii="Arial" w:cs="Arial" w:eastAsia="Arial" w:hAnsi="Arial"/>
                <w:b/>
                <w:bCs/>
                <w:color w:val="555555"/>
                <w:sz w:val="20"/>
                <w:szCs w:val="20"/>
              </w:rPr>
              <w:t xml:space="preserve">Version:</w:t>
            </w:r>
          </w:p>
          <w:p>
            <w:pPr>
              <w:spacing w:before="40" w:after="40"/>
              <w:jc w:val="center"/>
            </w:pPr>
            <w:r>
              <w:rPr>
                <w:rFonts w:ascii="Arial" w:cs="Arial" w:eastAsia="Arial" w:hAnsi="Arial"/>
                <w:color w:val="222222"/>
                <w:sz w:val="20"/>
                <w:szCs w:val="20"/>
              </w:rPr>
              <w:t xml:space="preserve">Version 1.0  |  Date: [DRAFT — NOT FOR CLINICAL USE]</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color w:val="555555"/>
                <w:sz w:val="18"/>
                <w:szCs w:val="18"/>
              </w:rPr>
              <w:t xml:space="preserve">Conducted Per: ICH E14 Guideline (2005) | FDA Guidance: E14 Q&amp;A (2012, 2017 updates)</w:t>
            </w:r>
          </w:p>
          <w:p>
            <w:pPr>
              <w:spacing w:before="40" w:after="40"/>
              <w:jc w:val="center"/>
            </w:pPr>
            <w:r>
              <w:rPr>
                <w:rFonts w:ascii="Arial" w:cs="Arial" w:eastAsia="Arial" w:hAnsi="Arial"/>
                <w:sz w:val="14"/>
                <w:szCs w:val="14"/>
              </w:rPr>
              <w:t xml:space="preserve"/>
            </w:r>
          </w:p>
          <w:p>
            <w:pPr>
              <w:spacing w:before="40" w:after="40"/>
              <w:jc w:val="center"/>
            </w:pPr>
            <w:r>
              <w:rPr>
                <w:rFonts w:ascii="Arial" w:cs="Arial" w:eastAsia="Arial" w:hAnsi="Arial"/>
                <w:b/>
                <w:bCs/>
                <w:color w:val="8B0000"/>
                <w:sz w:val="18"/>
                <w:szCs w:val="18"/>
              </w:rPr>
              <w:t xml:space="preserve">CONFIDENTIAL — FOR REGULATORY SUBMISSION ONLY</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CEA" w:val="clear"/>
            <w:tcMar>
              <w:top w:type="dxa" w:w="100"/>
              <w:left w:type="dxa" w:w="160"/>
              <w:bottom w:type="dxa" w:w="100"/>
              <w:right w:type="dxa" w:w="160"/>
            </w:tcMar>
          </w:tcPr>
          <w:p>
            <w:pPr>
              <w:spacing w:before="40" w:after="40"/>
            </w:pPr>
            <w:r>
              <w:rPr>
                <w:rFonts w:ascii="Arial" w:cs="Arial" w:eastAsia="Arial" w:hAnsi="Arial"/>
                <w:b/>
                <w:bCs/>
                <w:color w:val="8B0000"/>
                <w:sz w:val="18"/>
                <w:szCs w:val="18"/>
              </w:rPr>
              <w:t xml:space="preserve">WARNING: </w:t>
            </w:r>
            <w:r>
              <w:rPr>
                <w:rFonts w:ascii="Arial" w:cs="Arial" w:eastAsia="Arial" w:hAnsi="Arial"/>
                <w:color w:val="5C0000"/>
                <w:sz w:val="18"/>
                <w:szCs w:val="18"/>
              </w:rPr>
              <w:t xml:space="preserve">This protocol is a fictional example for regulatory and educational purposes. CER-QT-003 is illustrative only. All ECG data, PK parameters, and subject characteristics presented herein are hypothetical. Reference ICH E14 (2005) and FDA E14 Q&amp;A guidance documents for regulatory requirements.</w:t>
            </w:r>
          </w:p>
        </w:tc>
      </w:tr>
    </w:tbl>
    <w:p>
      <w:pPr>
        <w:spacing w:before="60" w:after="60"/>
      </w:pPr>
      <w:r>
        <w:t xml:space="preserve"/>
      </w:r>
    </w:p>
    <w:p>
      <w:pPr>
        <w:pStyle w:val="Heading1"/>
        <w:pBdr>
          <w:bottom w:val="single" w:color="1F3864" w:sz="8" w:space="4"/>
        </w:pBdr>
        <w:spacing w:before="320" w:after="160"/>
      </w:pPr>
      <w:r>
        <w:rPr>
          <w:rFonts w:ascii="Arial" w:cs="Arial" w:eastAsia="Arial" w:hAnsi="Arial"/>
          <w:b/>
          <w:bCs/>
          <w:color w:val="1F3864"/>
          <w:sz w:val="28"/>
          <w:szCs w:val="28"/>
        </w:rPr>
        <w:t xml:space="preserve">1. 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Evaluation of the Effect of CERVIMAB on Cardiac Repolarization (QTc Interval) in Subjects with dMMR/MSI-H Metastatic Colorectal Cancer: A Thorough QT/QTc Study</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Protocol Number</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CER-QT-003</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Design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Randomized, double-blind (where feasible), placebo-controlled, crossover design (for evaluable PK/QTc assessment); or parallel-group if crossover is not feasible in this oncology population</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Drug (Test)</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CERVIMAB 400 mg IV Q3W (Cycle 1, Day 1) — supratherapeutic exposure arm: CERVIMAB 800 mg IV (single dose, Cycle 1 only)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Comparator (Positive Control)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Moxifloxacin 400 mg oral single dose (sensitivity assay validation)</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Comparator (Negative Control)</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Placebo IV infusion (0.9% NaCl)</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Primary Objective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Determine whether CERVIMAB causes a clinically meaningful prolongation of the QTc interval at therapeutic and supratherapeutic exposures</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Primary Endpoint</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Placebo-corrected change from baseline in QTcF (ΔΔQTcF) at each time point post-dose, with primary analysis at Cmax timepoint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Sample Size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N=72 (n=24/arm in crossover; or n=18/group × 4 groups in parallel design)</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Regulatory Basis</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ICH E14 (2005); FDA E14 Q&amp;A Document (2012, Q&amp;As 3.1, 3.2); EMA/CHMP/ICH/2/2004</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2. BACKGROUND AND REGULATORY RATIONALE</w:t>
      </w:r>
    </w:p>
    <w:p>
      <w:pPr>
        <w:pStyle w:val="Heading2"/>
        <w:spacing w:before="240" w:after="120"/>
      </w:pPr>
      <w:r>
        <w:rPr>
          <w:rFonts w:ascii="Arial" w:cs="Arial" w:eastAsia="Arial" w:hAnsi="Arial"/>
          <w:b/>
          <w:bCs/>
          <w:color w:val="2E5F9E"/>
          <w:sz w:val="24"/>
          <w:szCs w:val="24"/>
        </w:rPr>
        <w:t xml:space="preserve">2.1  ICH E14 Requirements</w:t>
      </w:r>
    </w:p>
    <w:p>
      <w:pPr>
        <w:spacing w:before="60" w:after="60"/>
      </w:pPr>
      <w:r>
        <w:rPr>
          <w:rFonts w:ascii="Arial" w:cs="Arial" w:eastAsia="Arial" w:hAnsi="Arial"/>
          <w:b w:val="false"/>
          <w:bCs w:val="false"/>
          <w:color w:val="111111"/>
          <w:sz w:val="20"/>
          <w:szCs w:val="20"/>
        </w:rPr>
        <w:t xml:space="preserve">The International Conference on Harmonisation (ICH) E14 guideline, Effect of Test Drugs on the QT/QTc Interval Including Lead for the Detection of Potential Proarrhythmic Effects, requires that sponsors conduct a thorough QT/QTc study (TQT) as part of the non-clinical and clinical cardiac safety evaluation of a new drug prior to regulatory approval. The study is designed to determine whether the drug has a threshold pharmacological effect on cardiac repolarization, defined as a mean QTcF prolongation of &gt;10 ms above placebo-corrected baseline, with an upper bound of the two-sided 90% CI exceeding 10 ms (the regulatory threshold of clinical concern).</w:t>
      </w:r>
    </w:p>
    <w:p>
      <w:pPr>
        <w:spacing w:before="60" w:after="60"/>
      </w:pPr>
      <w:r>
        <w:t xml:space="preserve"/>
      </w:r>
    </w:p>
    <w:p>
      <w:pPr>
        <w:spacing w:before="60" w:after="60"/>
      </w:pPr>
      <w:r>
        <w:rPr>
          <w:rFonts w:ascii="Arial" w:cs="Arial" w:eastAsia="Arial" w:hAnsi="Arial"/>
          <w:b w:val="false"/>
          <w:bCs w:val="false"/>
          <w:color w:val="111111"/>
          <w:sz w:val="20"/>
          <w:szCs w:val="20"/>
        </w:rPr>
        <w:t xml:space="preserve">Under the 2012 and 2017 FDA E14 Q&amp;A updates, a dedicated TQT study may be waived (concentration-QTc [C-QTc] analysis substituted) if: (1) adequate QTc data with PK are available from early phase studies at supratherapeutic exposures, and (2) the drug mechanism does not suggest hERG channel liability. However, given that CERVIMAB is a novel anti-PD-1 antibody with a distinct immune-modulatory mechanism and that PD-1 pathway activation has been associated with myocarditis and cardiac conduction changes in post-marketing surveillance, NovaMed elects to conduct a formal TQT/concentration-QTc integrated analysis.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2.2  Cardiac Safety Considerations for CERVIMAB</w:t>
      </w:r>
    </w:p>
    <w:p>
      <w:pPr>
        <w:spacing w:before="60" w:after="60"/>
      </w:pPr>
      <w:r>
        <w:rPr>
          <w:rFonts w:ascii="Arial" w:cs="Arial" w:eastAsia="Arial" w:hAnsi="Arial"/>
          <w:b w:val="false"/>
          <w:bCs w:val="false"/>
          <w:color w:val="111111"/>
          <w:sz w:val="20"/>
          <w:szCs w:val="20"/>
        </w:rPr>
        <w:t xml:space="preserve">Anti-PD-1 immune checkpoint inhibitors have been associated with immune-mediated cardiotoxicity, including:</w:t>
      </w:r>
    </w:p>
    <w:p>
      <w:pPr>
        <w:pStyle w:val="ListParagraph"/>
        <w:numPr>
          <w:ilvl w:val="0"/>
          <w:numId w:val="2"/>
        </w:numPr>
        <w:spacing w:before="40" w:after="40"/>
      </w:pPr>
      <w:r>
        <w:rPr>
          <w:rFonts w:ascii="Arial" w:cs="Arial" w:eastAsia="Arial" w:hAnsi="Arial"/>
          <w:sz w:val="20"/>
          <w:szCs w:val="20"/>
        </w:rPr>
        <w:t xml:space="preserve">Immune-mediated myocarditis (incidence ~1–2%; can be fatal in ~25–50% of affected subjects)</w:t>
      </w:r>
    </w:p>
    <w:p>
      <w:pPr>
        <w:pStyle w:val="ListParagraph"/>
        <w:numPr>
          <w:ilvl w:val="0"/>
          <w:numId w:val="2"/>
        </w:numPr>
        <w:spacing w:before="40" w:after="40"/>
      </w:pPr>
      <w:r>
        <w:rPr>
          <w:rFonts w:ascii="Arial" w:cs="Arial" w:eastAsia="Arial" w:hAnsi="Arial"/>
          <w:sz w:val="20"/>
          <w:szCs w:val="20"/>
        </w:rPr>
        <w:t xml:space="preserve">Pericarditis, pericardial effusion</w:t>
      </w:r>
    </w:p>
    <w:p>
      <w:pPr>
        <w:pStyle w:val="ListParagraph"/>
        <w:numPr>
          <w:ilvl w:val="0"/>
          <w:numId w:val="2"/>
        </w:numPr>
        <w:spacing w:before="40" w:after="40"/>
      </w:pPr>
      <w:r>
        <w:rPr>
          <w:rFonts w:ascii="Arial" w:cs="Arial" w:eastAsia="Arial" w:hAnsi="Arial"/>
          <w:sz w:val="20"/>
          <w:szCs w:val="20"/>
        </w:rPr>
        <w:t xml:space="preserve">Arrhythmias: atrial fibrillation, complete heart block, ventricular tachycardia</w:t>
      </w:r>
    </w:p>
    <w:p>
      <w:pPr>
        <w:pStyle w:val="ListParagraph"/>
        <w:numPr>
          <w:ilvl w:val="0"/>
          <w:numId w:val="2"/>
        </w:numPr>
        <w:spacing w:before="40" w:after="40"/>
      </w:pPr>
      <w:r>
        <w:rPr>
          <w:rFonts w:ascii="Arial" w:cs="Arial" w:eastAsia="Arial" w:hAnsi="Arial"/>
          <w:sz w:val="20"/>
          <w:szCs w:val="20"/>
        </w:rPr>
        <w:t xml:space="preserve">Troponin elevation without overt cardiac symptoms</w:t>
      </w:r>
    </w:p>
    <w:p>
      <w:pPr>
        <w:spacing w:before="60" w:after="60"/>
      </w:pPr>
      <w:r>
        <w:t xml:space="preserve"/>
      </w:r>
    </w:p>
    <w:p>
      <w:pPr>
        <w:spacing w:before="60" w:after="60"/>
      </w:pPr>
      <w:r>
        <w:rPr>
          <w:rFonts w:ascii="Arial" w:cs="Arial" w:eastAsia="Arial" w:hAnsi="Arial"/>
          <w:b w:val="false"/>
          <w:bCs w:val="false"/>
          <w:color w:val="111111"/>
          <w:sz w:val="20"/>
          <w:szCs w:val="20"/>
        </w:rPr>
        <w:t xml:space="preserve">Beyond direct cardiac irAEs, immune-mediated endocrinopathies (e.g., thyroiditis, adrenal insufficiency) may secondarily alter QTc through electrolyte changes (hypokalemia, hypomagnesemia). The TQT study will explicitly evaluate QTc at matched PK timepoints to differentiate direct pharmacological effects from secondary electrolyte-mediated changes.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2.3  Known PK and QTc Data at Time of Protocol Development</w:t>
      </w:r>
    </w:p>
    <w:p>
      <w:pPr>
        <w:spacing w:before="60" w:after="60"/>
      </w:pPr>
      <w:r>
        <w:rPr>
          <w:rFonts w:ascii="Arial" w:cs="Arial" w:eastAsia="Arial" w:hAnsi="Arial"/>
          <w:b w:val="false"/>
          <w:bCs w:val="false"/>
          <w:color w:val="111111"/>
          <w:sz w:val="20"/>
          <w:szCs w:val="20"/>
        </w:rPr>
        <w:t xml:space="preserve">Across the CER-101 and CER-301 studies, 12-lead ECG data collected at pre-dose and 1–2 time points post-dose showed no signal of QTcF prolongation at therapeutic doses (400 mg IV Q6W; mean Cmax ~124 μg/mL). However, these data were not collected according to TQT standards (i.e., no continuous Holter monitoring, single time-point post-dose ECG only, no moxifloxacin positive control). This dedicated TQT study provides the regulatory-grade assessment required for the NDA/BLA package.</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3. STUDY DESIGN</w:t>
      </w:r>
    </w:p>
    <w:p>
      <w:pPr>
        <w:pStyle w:val="Heading2"/>
        <w:spacing w:before="240" w:after="120"/>
      </w:pPr>
      <w:r>
        <w:rPr>
          <w:rFonts w:ascii="Arial" w:cs="Arial" w:eastAsia="Arial" w:hAnsi="Arial"/>
          <w:b/>
          <w:bCs/>
          <w:color w:val="2E5F9E"/>
          <w:sz w:val="24"/>
          <w:szCs w:val="24"/>
        </w:rPr>
        <w:t xml:space="preserve">3.1  Overall Design</w:t>
      </w:r>
    </w:p>
    <w:p>
      <w:pPr>
        <w:spacing w:before="60" w:after="60"/>
      </w:pPr>
      <w:r>
        <w:rPr>
          <w:rFonts w:ascii="Arial" w:cs="Arial" w:eastAsia="Arial" w:hAnsi="Arial"/>
          <w:b w:val="false"/>
          <w:bCs w:val="false"/>
          <w:color w:val="111111"/>
          <w:sz w:val="20"/>
          <w:szCs w:val="20"/>
        </w:rPr>
        <w:t xml:space="preserve">CER-QT-003 is a Phase 3 sub-study employing an integrated approach combining a parallel-group TQT component with concentration-QTc (C-QTc) modeling. Given the oncology population and ethical constraints of placebo-only arms, a modified parallel-group design is employed as follows: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Arm</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Treatment</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Purpose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CERVIMAB 400 mg IV (therapeutic dose)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18</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Primary TQT assessment at therapeutic exposure (Cmax ~124 μg/mL)</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B</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CERVIMAB 800 mg IV (supratherapeutic, single dose Day 1)</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18</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TQT assessment at supratherapeutic exposure (~2× Cmax; required per ICH E14)</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Placebo (0.9% NaCl IV)</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18</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Negative control for ΔΔQTcF calculation</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Moxifloxacin 400 mg oral (single dose)</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18</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Positive control (assay sensitivity validation; expected ΔΔQTcF ~10–14 ms at Tmax)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E6" w:val="clear"/>
            <w:tcMar>
              <w:top w:type="dxa" w:w="100"/>
              <w:left w:type="dxa" w:w="160"/>
              <w:bottom w:type="dxa" w:w="100"/>
              <w:right w:type="dxa" w:w="160"/>
            </w:tcMar>
          </w:tcPr>
          <w:p>
            <w:pPr>
              <w:spacing w:before="40" w:after="40"/>
            </w:pPr>
            <w:r>
              <w:rPr>
                <w:rFonts w:ascii="Arial" w:cs="Arial" w:eastAsia="Arial" w:hAnsi="Arial"/>
                <w:b/>
                <w:bCs/>
                <w:color w:val="7B4800"/>
                <w:sz w:val="18"/>
                <w:szCs w:val="18"/>
              </w:rPr>
              <w:t xml:space="preserve">NOTE: </w:t>
            </w:r>
            <w:r>
              <w:rPr>
                <w:rFonts w:ascii="Arial" w:cs="Arial" w:eastAsia="Arial" w:hAnsi="Arial"/>
                <w:color w:val="5C3700"/>
                <w:sz w:val="18"/>
                <w:szCs w:val="18"/>
              </w:rPr>
              <w:t xml:space="preserve">Subjects in Arms A, B, and C who complete the TQT assessment period (through Day 15) are eligible to roll into the CER-301 continuation study or CER-LTS-001 per eligibility criteria. All Arms receive concomitant standard-of-care supportive management.</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3.2  Study Period and Visit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Period</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Timeframe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Key Activity</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ECG / PK Assessments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Screening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Days −21 to −1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Eligibility, cardiac history, baseline labs, ANA, troponin, BNP, echocardiogram (LVEF)</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Triplicate 12-lead ECG on 3 separate days for baseline QTcF determination (computerized reading)</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Baseline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−1 to Day 1 pre-dose</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Continuous 12-lead Holter monitor placed; electrolytes, Mg corrected if needed</w:t>
            </w:r>
          </w:p>
        </w:tc>
        <w:tc>
          <w:tcPr>
            <w:tcW w:type="dxa" w:w="29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Holter ECG over 24h pre-dose for time-matched baseline QTcF</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Treatment / PK-QTc Period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1 through Day 15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Study drug administration; intensive PK + concurrent Holter ECG</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Holter ECG Days 1–4; triplicate 12-lead ECGs at matched PK timepoints; PK blood draws</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Safety Follow-Up</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15 to Day 42</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Safety assessments; troponin/ECG for symptoms</w:t>
            </w:r>
          </w:p>
        </w:tc>
        <w:tc>
          <w:tcPr>
            <w:tcW w:type="dxa" w:w="29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Standard 12-lead ECG at Day 28 and Day 42; ADA sample</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4. ECG METHODOLOGY</w:t>
      </w:r>
    </w:p>
    <w:p>
      <w:pPr>
        <w:pStyle w:val="Heading2"/>
        <w:spacing w:before="240" w:after="120"/>
      </w:pPr>
      <w:r>
        <w:rPr>
          <w:rFonts w:ascii="Arial" w:cs="Arial" w:eastAsia="Arial" w:hAnsi="Arial"/>
          <w:b/>
          <w:bCs/>
          <w:color w:val="2E5F9E"/>
          <w:sz w:val="24"/>
          <w:szCs w:val="24"/>
        </w:rPr>
        <w:t xml:space="preserve">4.1  ECG Collection Standards</w:t>
      </w:r>
    </w:p>
    <w:p>
      <w:pPr>
        <w:spacing w:before="60" w:after="60"/>
      </w:pPr>
      <w:r>
        <w:rPr>
          <w:rFonts w:ascii="Arial" w:cs="Arial" w:eastAsia="Arial" w:hAnsi="Arial"/>
          <w:b w:val="false"/>
          <w:bCs w:val="false"/>
          <w:color w:val="111111"/>
          <w:sz w:val="20"/>
          <w:szCs w:val="20"/>
        </w:rPr>
        <w:t xml:space="preserve">All ECGs will be collected per TQT-grade standards:</w:t>
      </w:r>
    </w:p>
    <w:p>
      <w:pPr>
        <w:pStyle w:val="ListParagraph"/>
        <w:numPr>
          <w:ilvl w:val="0"/>
          <w:numId w:val="2"/>
        </w:numPr>
        <w:spacing w:before="40" w:after="40"/>
      </w:pPr>
      <w:r>
        <w:rPr>
          <w:rFonts w:ascii="Arial" w:cs="Arial" w:eastAsia="Arial" w:hAnsi="Arial"/>
          <w:sz w:val="20"/>
          <w:szCs w:val="20"/>
        </w:rPr>
        <w:t xml:space="preserve">Triplicate 12-lead digital ECGs collected at each time-matched post-dose timepoint (within 5-minute window per replicate)</w:t>
      </w:r>
    </w:p>
    <w:p>
      <w:pPr>
        <w:pStyle w:val="ListParagraph"/>
        <w:numPr>
          <w:ilvl w:val="0"/>
          <w:numId w:val="2"/>
        </w:numPr>
        <w:spacing w:before="40" w:after="40"/>
      </w:pPr>
      <w:r>
        <w:rPr>
          <w:rFonts w:ascii="Arial" w:cs="Arial" w:eastAsia="Arial" w:hAnsi="Arial"/>
          <w:sz w:val="20"/>
          <w:szCs w:val="20"/>
        </w:rPr>
        <w:t xml:space="preserve">Subjects supine for ≥10 minutes before ECG acquisition; ECG collected before blood sampling to avoid positional/movement artifact</w:t>
      </w:r>
    </w:p>
    <w:p>
      <w:pPr>
        <w:pStyle w:val="ListParagraph"/>
        <w:numPr>
          <w:ilvl w:val="0"/>
          <w:numId w:val="2"/>
        </w:numPr>
        <w:spacing w:before="40" w:after="40"/>
      </w:pPr>
      <w:r>
        <w:rPr>
          <w:rFonts w:ascii="Arial" w:cs="Arial" w:eastAsia="Arial" w:hAnsi="Arial"/>
          <w:sz w:val="20"/>
          <w:szCs w:val="20"/>
        </w:rPr>
        <w:t xml:space="preserve">Continuous 12-lead Holter monitoring (24-hour digital Holter) for the first 4 days post-dose for time-matched QTcF extraction</w:t>
      </w:r>
    </w:p>
    <w:p>
      <w:pPr>
        <w:pStyle w:val="ListParagraph"/>
        <w:numPr>
          <w:ilvl w:val="0"/>
          <w:numId w:val="2"/>
        </w:numPr>
        <w:spacing w:before="40" w:after="40"/>
      </w:pPr>
      <w:r>
        <w:rPr>
          <w:rFonts w:ascii="Arial" w:cs="Arial" w:eastAsia="Arial" w:hAnsi="Arial"/>
          <w:sz w:val="20"/>
          <w:szCs w:val="20"/>
        </w:rPr>
        <w:t xml:space="preserve">Central ECG laboratory: All ECGs transmitted digitally to an independent, FDA-qualified central ECG reading laboratory (blinded to treatment arm, timepoint, and PK data)</w:t>
      </w:r>
    </w:p>
    <w:p>
      <w:pPr>
        <w:pStyle w:val="ListParagraph"/>
        <w:numPr>
          <w:ilvl w:val="0"/>
          <w:numId w:val="2"/>
        </w:numPr>
        <w:spacing w:before="40" w:after="40"/>
      </w:pPr>
      <w:r>
        <w:rPr>
          <w:rFonts w:ascii="Arial" w:cs="Arial" w:eastAsia="Arial" w:hAnsi="Arial"/>
          <w:sz w:val="20"/>
          <w:szCs w:val="20"/>
        </w:rPr>
        <w:t xml:space="preserve">QTcF (Fridericia correction) is the primary correction method; QTcB and QTci will be analyzed as supportive</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4.2  ECG Timepoints (Arms A and B — CERVIMAB)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Nominal Timepoint</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Day</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Rationale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Pre-dose (0h)</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1</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Time-matched baseline for ΔΔQTcF</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End of infusion (60 min)</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1</w:t>
            </w:r>
          </w:p>
        </w:tc>
        <w:tc>
          <w:tcPr>
            <w:tcW w:type="dxa" w:w="4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Near-Cmax for IV infusion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1h, 2h, 4h, 8h, 24h post EOI</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1–2</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Dense Cmax window coverage</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48h, 72h post EOI</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3–4</w:t>
            </w:r>
          </w:p>
        </w:tc>
        <w:tc>
          <w:tcPr>
            <w:tcW w:type="dxa" w:w="4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Post-Cmax distribution phase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8 and Day 15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8, 15</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Late time points; confirm return to baseline; correlate with declining serum concentrations</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4.3  Positive Control Validation (Arm D — Moxifloxacin)</w:t>
      </w:r>
    </w:p>
    <w:p>
      <w:pPr>
        <w:spacing w:before="60" w:after="60"/>
      </w:pPr>
      <w:r>
        <w:rPr>
          <w:rFonts w:ascii="Arial" w:cs="Arial" w:eastAsia="Arial" w:hAnsi="Arial"/>
          <w:b w:val="false"/>
          <w:bCs w:val="false"/>
          <w:color w:val="111111"/>
          <w:sz w:val="20"/>
          <w:szCs w:val="20"/>
        </w:rPr>
        <w:t xml:space="preserve">Moxifloxacin 400 mg oral will be administered as a single dose to Arm D subjects on Day 1. ECGs will be collected at: pre-dose, 0.5h, 1h, 2h, 3h, 4h, 6h, 8h, and 12h post-dose. The assay is considered validated (i.e., sensitive) if the lower bound of the 90% CI for ΔΔQTcF exceeds 5 ms at any time point within 1–4h post-dose (the expected moxifloxacin Tmax window). Failure to demonstrate sensitivity will require investigation and protocol amendment before primary analysis.</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5. PHARMACOKINETIC AND CONCENTRATION-QTc ANALYSIS</w:t>
      </w:r>
    </w:p>
    <w:p>
      <w:pPr>
        <w:pStyle w:val="Heading2"/>
        <w:spacing w:before="240" w:after="120"/>
      </w:pPr>
      <w:r>
        <w:rPr>
          <w:rFonts w:ascii="Arial" w:cs="Arial" w:eastAsia="Arial" w:hAnsi="Arial"/>
          <w:b/>
          <w:bCs/>
          <w:color w:val="2E5F9E"/>
          <w:sz w:val="24"/>
          <w:szCs w:val="24"/>
        </w:rPr>
        <w:t xml:space="preserve">5.1  PK Assessment</w:t>
      </w:r>
    </w:p>
    <w:p>
      <w:pPr>
        <w:spacing w:before="60" w:after="60"/>
      </w:pPr>
      <w:r>
        <w:rPr>
          <w:rFonts w:ascii="Arial" w:cs="Arial" w:eastAsia="Arial" w:hAnsi="Arial"/>
          <w:b w:val="false"/>
          <w:bCs w:val="false"/>
          <w:color w:val="111111"/>
          <w:sz w:val="20"/>
          <w:szCs w:val="20"/>
        </w:rPr>
        <w:t xml:space="preserve">Serum CERVIMAB concentration measurements will be performed from blood samples collected at all ECG timepoints (time-matched PK-ECG pairs required). Validated bioanalytical assay (ELISA, LLOQ ≤1 ng/mL) developed per FDA Guidance for Industry: Bioanalytical Method Validation (2018).</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5.2  Concentration-QTc (C-QTc) Modeling</w:t>
      </w:r>
    </w:p>
    <w:p>
      <w:pPr>
        <w:spacing w:before="60" w:after="60"/>
      </w:pPr>
      <w:r>
        <w:rPr>
          <w:rFonts w:ascii="Arial" w:cs="Arial" w:eastAsia="Arial" w:hAnsi="Arial"/>
          <w:b w:val="false"/>
          <w:bCs w:val="false"/>
          <w:color w:val="111111"/>
          <w:sz w:val="20"/>
          <w:szCs w:val="20"/>
        </w:rPr>
        <w:t xml:space="preserve">As per the 2017 FDA E14 Q&amp;A and ICH E14 R3 update, a pre-specified linear mixed-effects concentration-QTc (C-QTc) model will be fit to all time-matched PK-QTc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Parameter</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Specification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Model</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ΔQTcF = α + β × [CERVIMAB] + γ × TIME + δ × [CERVIMAB:TIME interaction (if significant)] + random effects</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PK Metric</w:t>
            </w:r>
          </w:p>
        </w:tc>
        <w:tc>
          <w:tcPr>
            <w:tcW w:type="dxa" w:w="69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Serum CERVIMAB concentration (μg/mL) at each time-matched ECG timepoint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Primary Interpretation</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Slope β: change in QTcF (ms) per μg/mL increase in CERVIMAB concentration</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Decision Threshold</w:t>
            </w:r>
          </w:p>
        </w:tc>
        <w:tc>
          <w:tcPr>
            <w:tcW w:type="dxa" w:w="69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If upper bound of 90% CI for predicted ΔΔQTcF at geometric mean Cmax &lt;10 ms, no QT concern identified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Software</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R v4.x (nlme, lme4 packages) or SAS v9.4; pre-specified analysis code lodged in SAP</w:t>
            </w:r>
          </w:p>
        </w:tc>
      </w:tr>
      <w:tr>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Sensitivity Analysis</w:t>
            </w:r>
          </w:p>
        </w:tc>
        <w:tc>
          <w:tcPr>
            <w:tcW w:type="dxa" w:w="69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Emax model as pre-specified sensitivity analysis; QTcB and QTci as supportive corrections</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5.3  Primary Statistical Endpoint</w:t>
      </w:r>
    </w:p>
    <w:p>
      <w:pPr>
        <w:spacing w:before="60" w:after="60"/>
      </w:pPr>
      <w:r>
        <w:rPr>
          <w:rFonts w:ascii="Arial" w:cs="Arial" w:eastAsia="Arial" w:hAnsi="Arial"/>
          <w:b w:val="false"/>
          <w:bCs w:val="false"/>
          <w:color w:val="111111"/>
          <w:sz w:val="20"/>
          <w:szCs w:val="20"/>
        </w:rPr>
        <w:t xml:space="preserve">The primary analysis is the largest mean ΔΔQTcF (placebo-corrected change from time-matched baseline QTcF) observed at any timepoint in Arms A and B, with corresponding two-sided 90% CI. The study will be considered to demonstrate absence of clinically meaningful QTc prolongation if:</w:t>
      </w:r>
    </w:p>
    <w:p>
      <w:pPr>
        <w:pStyle w:val="ListParagraph"/>
        <w:numPr>
          <w:ilvl w:val="0"/>
          <w:numId w:val="2"/>
        </w:numPr>
        <w:spacing w:before="40" w:after="40"/>
      </w:pPr>
      <w:r>
        <w:rPr>
          <w:rFonts w:ascii="Arial" w:cs="Arial" w:eastAsia="Arial" w:hAnsi="Arial"/>
          <w:sz w:val="20"/>
          <w:szCs w:val="20"/>
        </w:rPr>
        <w:t xml:space="preserve">The upper bound of the two-sided 90% CI of the mean ΔΔQTcF at each pre-specified timepoint is below 10 ms</w:t>
      </w:r>
    </w:p>
    <w:p>
      <w:pPr>
        <w:pStyle w:val="ListParagraph"/>
        <w:numPr>
          <w:ilvl w:val="0"/>
          <w:numId w:val="2"/>
        </w:numPr>
        <w:spacing w:before="40" w:after="40"/>
      </w:pPr>
      <w:r>
        <w:rPr>
          <w:rFonts w:ascii="Arial" w:cs="Arial" w:eastAsia="Arial" w:hAnsi="Arial"/>
          <w:sz w:val="20"/>
          <w:szCs w:val="20"/>
        </w:rPr>
        <w:t xml:space="preserve">The upper bound of the 90% CI for the C-QTc model-predicted ΔΔQTcF at 2× geometric mean Cmax is below 10 ms</w:t>
      </w:r>
    </w:p>
    <w:p>
      <w:pPr>
        <w:spacing w:before="60" w:after="60"/>
      </w:pPr>
      <w:r>
        <w:t xml:space="preserve"/>
      </w:r>
    </w:p>
    <w:p>
      <w:pPr>
        <w:spacing w:before="60" w:after="60"/>
      </w:pPr>
      <w:r>
        <w:rPr>
          <w:rFonts w:ascii="Arial" w:cs="Arial" w:eastAsia="Arial" w:hAnsi="Arial"/>
          <w:b w:val="false"/>
          <w:bCs w:val="false"/>
          <w:color w:val="111111"/>
          <w:sz w:val="20"/>
          <w:szCs w:val="20"/>
        </w:rPr>
        <w:t xml:space="preserve">If either criterion is not met, additional analysis, labeling language, and risk mitigation strategy will be developed in consultation with FDA Cardiac Safety team.</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6. CARDIAC SAFETY MONITORING</w:t>
      </w:r>
    </w:p>
    <w:p>
      <w:pPr>
        <w:pStyle w:val="Heading2"/>
        <w:spacing w:before="240" w:after="120"/>
      </w:pPr>
      <w:r>
        <w:rPr>
          <w:rFonts w:ascii="Arial" w:cs="Arial" w:eastAsia="Arial" w:hAnsi="Arial"/>
          <w:b/>
          <w:bCs/>
          <w:color w:val="2E5F9E"/>
          <w:sz w:val="24"/>
          <w:szCs w:val="24"/>
        </w:rPr>
        <w:t xml:space="preserve">6.1  Pre-specified Criteria for Individual Subject ECG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ECG Finding</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Action Required</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Timing</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QTcF 450–480 ms (newly elevated from &lt;450 ms baseline)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Repeat ECG x3; electrolytes; notify investigator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Within 1h of finding</w:t>
            </w:r>
          </w:p>
        </w:tc>
      </w:tr>
      <w:tr>
        <w:tc>
          <w:tcPr>
            <w:tcW w:type="dxa" w:w="3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QTcF &gt;480 ms or ΔQTcF from baseline &gt;60 ms</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Hold study drug; cardiology consult; daily ECG monitoring; notify sponsor within 24h</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Immediate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QTcF &gt;500 ms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Permanent discontinuation; urgent cardiac evaluation; ICU-level monitoring; SAE report within 24h</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Immediate</w:t>
            </w:r>
          </w:p>
        </w:tc>
      </w:tr>
      <w:tr>
        <w:tc>
          <w:tcPr>
            <w:tcW w:type="dxa" w:w="3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New bundle branch block (QRS &gt;120 ms)</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Repeat ECG; cardiology consult; assess for myocarditis (troponin, echo)</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Within 4h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New T-wave inversion ≥0.3 mV, new pathological Q-waves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Cardiology consult; troponin; echo; consider cardiac MRI</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Within 12h</w:t>
            </w:r>
          </w:p>
        </w:tc>
      </w:tr>
      <w:tr>
        <w:tc>
          <w:tcPr>
            <w:tcW w:type="dxa" w:w="3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Troponin elevation &gt;2× ULN (new)</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Hold study drug; cardiology consult; serial troponins q6h x24h; echo</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Immediate</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6.2  Cardiac Immune-Related Adverse Events</w:t>
      </w:r>
    </w:p>
    <w:p>
      <w:pPr>
        <w:spacing w:before="60" w:after="60"/>
      </w:pPr>
      <w:r>
        <w:rPr>
          <w:rFonts w:ascii="Arial" w:cs="Arial" w:eastAsia="Arial" w:hAnsi="Arial"/>
          <w:b w:val="false"/>
          <w:bCs w:val="false"/>
          <w:color w:val="111111"/>
          <w:sz w:val="20"/>
          <w:szCs w:val="20"/>
        </w:rPr>
        <w:t xml:space="preserve">Immune-mediated myocarditis is of particular concern given the mechanism of action of anti-PD-1 therapy. All subjects will have troponin I (high-sensitivity), BNP/NT-proBNP, and ECG collected at Screening, Day 1 pre-dose, Day 7, Day 15, and any unscheduled visit for cardiac symptoms. If troponin elevation ≥2× ULN or new significant ECG changes are observed:</w:t>
      </w:r>
    </w:p>
    <w:p>
      <w:pPr>
        <w:pStyle w:val="ListParagraph"/>
        <w:numPr>
          <w:ilvl w:val="0"/>
          <w:numId w:val="3"/>
        </w:numPr>
        <w:spacing w:before="40" w:after="40"/>
      </w:pPr>
      <w:r>
        <w:rPr>
          <w:rFonts w:ascii="Arial" w:cs="Arial" w:eastAsia="Arial" w:hAnsi="Arial"/>
          <w:sz w:val="20"/>
          <w:szCs w:val="20"/>
        </w:rPr>
        <w:t xml:space="preserve">Immediately hold study drug and all systemic anticancer therapy</w:t>
      </w:r>
    </w:p>
    <w:p>
      <w:pPr>
        <w:pStyle w:val="ListParagraph"/>
        <w:numPr>
          <w:ilvl w:val="0"/>
          <w:numId w:val="3"/>
        </w:numPr>
        <w:spacing w:before="40" w:after="40"/>
      </w:pPr>
      <w:r>
        <w:rPr>
          <w:rFonts w:ascii="Arial" w:cs="Arial" w:eastAsia="Arial" w:hAnsi="Arial"/>
          <w:sz w:val="20"/>
          <w:szCs w:val="20"/>
        </w:rPr>
        <w:t xml:space="preserve">Obtain urgent 12-lead ECG, echocardiogram, and cardiac MRI (if feasible)</w:t>
      </w:r>
    </w:p>
    <w:p>
      <w:pPr>
        <w:pStyle w:val="ListParagraph"/>
        <w:numPr>
          <w:ilvl w:val="0"/>
          <w:numId w:val="3"/>
        </w:numPr>
        <w:spacing w:before="40" w:after="40"/>
      </w:pPr>
      <w:r>
        <w:rPr>
          <w:rFonts w:ascii="Arial" w:cs="Arial" w:eastAsia="Arial" w:hAnsi="Arial"/>
          <w:sz w:val="20"/>
          <w:szCs w:val="20"/>
        </w:rPr>
        <w:t xml:space="preserve">Initiate high-dose methylprednisolone 1–2 mg/kg/day IV immediately if myocarditis is clinically suspected</w:t>
      </w:r>
    </w:p>
    <w:p>
      <w:pPr>
        <w:pStyle w:val="ListParagraph"/>
        <w:numPr>
          <w:ilvl w:val="0"/>
          <w:numId w:val="3"/>
        </w:numPr>
        <w:spacing w:before="40" w:after="40"/>
      </w:pPr>
      <w:r>
        <w:rPr>
          <w:rFonts w:ascii="Arial" w:cs="Arial" w:eastAsia="Arial" w:hAnsi="Arial"/>
          <w:sz w:val="20"/>
          <w:szCs w:val="20"/>
        </w:rPr>
        <w:t xml:space="preserve">Report as SAE to sponsor within 24 hours; expedited IND Safety Report within 7 days if fatal or life-threatening</w:t>
      </w:r>
    </w:p>
    <w:p>
      <w:pPr>
        <w:pStyle w:val="ListParagraph"/>
        <w:numPr>
          <w:ilvl w:val="0"/>
          <w:numId w:val="3"/>
        </w:numPr>
        <w:spacing w:before="40" w:after="40"/>
      </w:pPr>
      <w:r>
        <w:rPr>
          <w:rFonts w:ascii="Arial" w:cs="Arial" w:eastAsia="Arial" w:hAnsi="Arial"/>
          <w:sz w:val="20"/>
          <w:szCs w:val="20"/>
        </w:rPr>
        <w:t xml:space="preserve">Cardiology co-management required for all confirmed cardiac irAEs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6.3  Independent Cardiac Safety Review</w:t>
      </w:r>
    </w:p>
    <w:p>
      <w:pPr>
        <w:spacing w:before="60" w:after="60"/>
      </w:pPr>
      <w:r>
        <w:rPr>
          <w:rFonts w:ascii="Arial" w:cs="Arial" w:eastAsia="Arial" w:hAnsi="Arial"/>
          <w:b w:val="false"/>
          <w:bCs w:val="false"/>
          <w:color w:val="111111"/>
          <w:sz w:val="20"/>
          <w:szCs w:val="20"/>
        </w:rPr>
        <w:t xml:space="preserve">A qualified independent Cardiac Safety Review Committee (CSRC), consisting of at least two board-certified cardiologists with electrophysiology expertise and one clinical pharmacologist, will review all serious cardiac events, ECG outliers (QTcF &gt;480 ms), and any troponin elevations in real-time. The CSRC will advise the medical monitor and sponsor on subject continuation and protocol modifications.</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7. STATISTICAL ANALYSIS PLAN OVERVIEW</w:t>
      </w:r>
    </w:p>
    <w:p>
      <w:pPr>
        <w:pStyle w:val="Heading2"/>
        <w:spacing w:before="240" w:after="120"/>
      </w:pPr>
      <w:r>
        <w:rPr>
          <w:rFonts w:ascii="Arial" w:cs="Arial" w:eastAsia="Arial" w:hAnsi="Arial"/>
          <w:b/>
          <w:bCs/>
          <w:color w:val="2E5F9E"/>
          <w:sz w:val="24"/>
          <w:szCs w:val="24"/>
        </w:rPr>
        <w:t xml:space="preserve">7.1  Sample Size Justification</w:t>
      </w:r>
    </w:p>
    <w:p>
      <w:pPr>
        <w:spacing w:before="60" w:after="60"/>
      </w:pPr>
      <w:r>
        <w:rPr>
          <w:rFonts w:ascii="Arial" w:cs="Arial" w:eastAsia="Arial" w:hAnsi="Arial"/>
          <w:b w:val="false"/>
          <w:bCs w:val="false"/>
          <w:color w:val="111111"/>
          <w:sz w:val="20"/>
          <w:szCs w:val="20"/>
        </w:rPr>
        <w:t xml:space="preserve">A sample size of n=18 per arm (N=72 total) provides ≥90% power to detect the absence of a mean ΔΔQTcF &gt;10 ms at any timepoint, assuming a true ΔΔQTcF of 0 ms (no effect), SD of QTcF change of 9 ms (based on literature data for oncology TQT studies with IV biologics), and applying a one-sample t-test approach for the ΔΔQTcF at the primary timepoint. Allowance for up to 20% dropout provides an enrollment target of n=23 per arm.</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7.2  ECG Data Analysis</w:t>
      </w:r>
    </w:p>
    <w:p>
      <w:pPr>
        <w:pStyle w:val="ListParagraph"/>
        <w:numPr>
          <w:ilvl w:val="0"/>
          <w:numId w:val="2"/>
        </w:numPr>
        <w:spacing w:before="40" w:after="40"/>
      </w:pPr>
      <w:r>
        <w:rPr>
          <w:rFonts w:ascii="Arial" w:cs="Arial" w:eastAsia="Arial" w:hAnsi="Arial"/>
          <w:sz w:val="20"/>
          <w:szCs w:val="20"/>
        </w:rPr>
        <w:t xml:space="preserve">ECG data processing: Central ECG laboratory will provide digitally adjudicated measurements of RR, PR, QRS, QT, QTcF, QTcB, QTci intervals; median of triplicates used</w:t>
      </w:r>
    </w:p>
    <w:p>
      <w:pPr>
        <w:pStyle w:val="ListParagraph"/>
        <w:numPr>
          <w:ilvl w:val="0"/>
          <w:numId w:val="2"/>
        </w:numPr>
        <w:spacing w:before="40" w:after="40"/>
      </w:pPr>
      <w:r>
        <w:rPr>
          <w:rFonts w:ascii="Arial" w:cs="Arial" w:eastAsia="Arial" w:hAnsi="Arial"/>
          <w:sz w:val="20"/>
          <w:szCs w:val="20"/>
        </w:rPr>
        <w:t xml:space="preserve">Time-matched baseline: Pre-dose ECG at corresponding nominal clock time on the day prior to dosing (Holter-extracted)</w:t>
      </w:r>
    </w:p>
    <w:p>
      <w:pPr>
        <w:pStyle w:val="ListParagraph"/>
        <w:numPr>
          <w:ilvl w:val="0"/>
          <w:numId w:val="2"/>
        </w:numPr>
        <w:spacing w:before="40" w:after="40"/>
      </w:pPr>
      <w:r>
        <w:rPr>
          <w:rFonts w:ascii="Arial" w:cs="Arial" w:eastAsia="Arial" w:hAnsi="Arial"/>
          <w:sz w:val="20"/>
          <w:szCs w:val="20"/>
        </w:rPr>
        <w:t xml:space="preserve">Primary analysis: Baseline-adjusted and placebo-corrected (ΔΔQTcF) by the intersection-union principle with 90% CI at each pre-specified timepoint</w:t>
      </w:r>
    </w:p>
    <w:p>
      <w:pPr>
        <w:pStyle w:val="ListParagraph"/>
        <w:numPr>
          <w:ilvl w:val="0"/>
          <w:numId w:val="2"/>
        </w:numPr>
        <w:spacing w:before="40" w:after="40"/>
      </w:pPr>
      <w:r>
        <w:rPr>
          <w:rFonts w:ascii="Arial" w:cs="Arial" w:eastAsia="Arial" w:hAnsi="Arial"/>
          <w:sz w:val="20"/>
          <w:szCs w:val="20"/>
        </w:rPr>
        <w:t xml:space="preserve">Outlier analysis: Proportion of subjects with QTcF &gt;450, &gt;480, &gt;500 ms and ΔQTcF &gt;30, &gt;60 ms tabulated per arm</w:t>
      </w:r>
    </w:p>
    <w:p>
      <w:pPr>
        <w:pStyle w:val="ListParagraph"/>
        <w:numPr>
          <w:ilvl w:val="0"/>
          <w:numId w:val="2"/>
        </w:numPr>
        <w:spacing w:before="40" w:after="40"/>
      </w:pPr>
      <w:r>
        <w:rPr>
          <w:rFonts w:ascii="Arial" w:cs="Arial" w:eastAsia="Arial" w:hAnsi="Arial"/>
          <w:sz w:val="20"/>
          <w:szCs w:val="20"/>
        </w:rPr>
        <w:t xml:space="preserve">Categorical analysis: Fisher's exact test for proportion with any QTcF threshold-exceeding event</w:t>
      </w:r>
    </w:p>
    <w:p>
      <w:pPr>
        <w:pStyle w:val="ListParagraph"/>
        <w:numPr>
          <w:ilvl w:val="0"/>
          <w:numId w:val="2"/>
        </w:numPr>
        <w:spacing w:before="40" w:after="40"/>
      </w:pPr>
      <w:r>
        <w:rPr>
          <w:rFonts w:ascii="Arial" w:cs="Arial" w:eastAsia="Arial" w:hAnsi="Arial"/>
          <w:sz w:val="20"/>
          <w:szCs w:val="20"/>
        </w:rPr>
        <w:t xml:space="preserve">C-QTc analysis: As specified in Section 5.2; pre-specified analysis code filed with FDA prior to database lock</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7.3  Analysis Populations</w:t>
      </w:r>
    </w:p>
    <w:p>
      <w:pPr>
        <w:pStyle w:val="ListParagraph"/>
        <w:numPr>
          <w:ilvl w:val="0"/>
          <w:numId w:val="2"/>
        </w:numPr>
        <w:spacing w:before="40" w:after="40"/>
      </w:pPr>
      <w:r>
        <w:rPr>
          <w:rFonts w:ascii="Arial" w:cs="Arial" w:eastAsia="Arial" w:hAnsi="Arial"/>
          <w:sz w:val="20"/>
          <w:szCs w:val="20"/>
        </w:rPr>
        <w:t xml:space="preserve">Full Analysis Set (FAS): All randomized subjects who received ≥1 dose and have ≥1 post-dose ECG</w:t>
      </w:r>
    </w:p>
    <w:p>
      <w:pPr>
        <w:pStyle w:val="ListParagraph"/>
        <w:numPr>
          <w:ilvl w:val="0"/>
          <w:numId w:val="2"/>
        </w:numPr>
        <w:spacing w:before="40" w:after="40"/>
      </w:pPr>
      <w:r>
        <w:rPr>
          <w:rFonts w:ascii="Arial" w:cs="Arial" w:eastAsia="Arial" w:hAnsi="Arial"/>
          <w:sz w:val="20"/>
          <w:szCs w:val="20"/>
        </w:rPr>
        <w:t xml:space="preserve">PK-QTc Analysis Set: All FAS subjects with ≥1 matched PK-ECG pair within the specified time window</w:t>
      </w:r>
    </w:p>
    <w:p>
      <w:pPr>
        <w:pStyle w:val="ListParagraph"/>
        <w:numPr>
          <w:ilvl w:val="0"/>
          <w:numId w:val="2"/>
        </w:numPr>
        <w:spacing w:before="40" w:after="40"/>
      </w:pPr>
      <w:r>
        <w:rPr>
          <w:rFonts w:ascii="Arial" w:cs="Arial" w:eastAsia="Arial" w:hAnsi="Arial"/>
          <w:sz w:val="20"/>
          <w:szCs w:val="20"/>
        </w:rPr>
        <w:t xml:space="preserve">Positive Control Validation Set: Arm D subjects with ≥1 post-dose ECG in the 1–4h Tmax window</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8. REGULATORY DELIVERABLES AND LABELING</w:t>
      </w:r>
    </w:p>
    <w:p>
      <w:pPr>
        <w:pStyle w:val="Heading2"/>
        <w:spacing w:before="240" w:after="120"/>
      </w:pPr>
      <w:r>
        <w:rPr>
          <w:rFonts w:ascii="Arial" w:cs="Arial" w:eastAsia="Arial" w:hAnsi="Arial"/>
          <w:b/>
          <w:bCs/>
          <w:color w:val="2E5F9E"/>
          <w:sz w:val="24"/>
          <w:szCs w:val="24"/>
        </w:rPr>
        <w:t xml:space="preserve">8.1  Study Report</w:t>
      </w:r>
    </w:p>
    <w:p>
      <w:pPr>
        <w:spacing w:before="60" w:after="60"/>
      </w:pPr>
      <w:r>
        <w:rPr>
          <w:rFonts w:ascii="Arial" w:cs="Arial" w:eastAsia="Arial" w:hAnsi="Arial"/>
          <w:b w:val="false"/>
          <w:bCs w:val="false"/>
          <w:color w:val="111111"/>
          <w:sz w:val="20"/>
          <w:szCs w:val="20"/>
        </w:rPr>
        <w:t xml:space="preserve">The TQT Clinical Study Report (CSR) will be prepared per ICH E3 and will include:</w:t>
      </w:r>
    </w:p>
    <w:p>
      <w:pPr>
        <w:pStyle w:val="ListParagraph"/>
        <w:numPr>
          <w:ilvl w:val="0"/>
          <w:numId w:val="2"/>
        </w:numPr>
        <w:spacing w:before="40" w:after="40"/>
      </w:pPr>
      <w:r>
        <w:rPr>
          <w:rFonts w:ascii="Arial" w:cs="Arial" w:eastAsia="Arial" w:hAnsi="Arial"/>
          <w:sz w:val="20"/>
          <w:szCs w:val="20"/>
        </w:rPr>
        <w:t xml:space="preserve">Full demographic and disposition tables by arm</w:t>
      </w:r>
    </w:p>
    <w:p>
      <w:pPr>
        <w:pStyle w:val="ListParagraph"/>
        <w:numPr>
          <w:ilvl w:val="0"/>
          <w:numId w:val="2"/>
        </w:numPr>
        <w:spacing w:before="40" w:after="40"/>
      </w:pPr>
      <w:r>
        <w:rPr>
          <w:rFonts w:ascii="Arial" w:cs="Arial" w:eastAsia="Arial" w:hAnsi="Arial"/>
          <w:sz w:val="20"/>
          <w:szCs w:val="20"/>
        </w:rPr>
        <w:t xml:space="preserve">Mean ΔΔQTcF plots with 90% CI at each timepoint for Arms A, B, D (waterfall plots and time-course graphs)</w:t>
      </w:r>
    </w:p>
    <w:p>
      <w:pPr>
        <w:pStyle w:val="ListParagraph"/>
        <w:numPr>
          <w:ilvl w:val="0"/>
          <w:numId w:val="2"/>
        </w:numPr>
        <w:spacing w:before="40" w:after="40"/>
      </w:pPr>
      <w:r>
        <w:rPr>
          <w:rFonts w:ascii="Arial" w:cs="Arial" w:eastAsia="Arial" w:hAnsi="Arial"/>
          <w:sz w:val="20"/>
          <w:szCs w:val="20"/>
        </w:rPr>
        <w:t xml:space="preserve">C-QTc analysis results with predicted ΔΔQTcF at therapeutic and supratherapeutic Cmax</w:t>
      </w:r>
    </w:p>
    <w:p>
      <w:pPr>
        <w:pStyle w:val="ListParagraph"/>
        <w:numPr>
          <w:ilvl w:val="0"/>
          <w:numId w:val="2"/>
        </w:numPr>
        <w:spacing w:before="40" w:after="40"/>
      </w:pPr>
      <w:r>
        <w:rPr>
          <w:rFonts w:ascii="Arial" w:cs="Arial" w:eastAsia="Arial" w:hAnsi="Arial"/>
          <w:sz w:val="20"/>
          <w:szCs w:val="20"/>
        </w:rPr>
        <w:t xml:space="preserve">Positive control validation section with moxifloxacin ΔΔQTcF estimates</w:t>
      </w:r>
    </w:p>
    <w:p>
      <w:pPr>
        <w:pStyle w:val="ListParagraph"/>
        <w:numPr>
          <w:ilvl w:val="0"/>
          <w:numId w:val="2"/>
        </w:numPr>
        <w:spacing w:before="40" w:after="40"/>
      </w:pPr>
      <w:r>
        <w:rPr>
          <w:rFonts w:ascii="Arial" w:cs="Arial" w:eastAsia="Arial" w:hAnsi="Arial"/>
          <w:sz w:val="20"/>
          <w:szCs w:val="20"/>
        </w:rPr>
        <w:t xml:space="preserve">Integrated safety summary: cardiac adverse events, troponin findings, ECG outliers</w:t>
      </w:r>
    </w:p>
    <w:p>
      <w:pPr>
        <w:pStyle w:val="ListParagraph"/>
        <w:numPr>
          <w:ilvl w:val="0"/>
          <w:numId w:val="2"/>
        </w:numPr>
        <w:spacing w:before="40" w:after="40"/>
      </w:pPr>
      <w:r>
        <w:rPr>
          <w:rFonts w:ascii="Arial" w:cs="Arial" w:eastAsia="Arial" w:hAnsi="Arial"/>
          <w:sz w:val="20"/>
          <w:szCs w:val="20"/>
        </w:rPr>
        <w:t xml:space="preserve">Pharmacokinetic summary by arm (NCA and PopPK linkage to CER-301 dataset)</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8.2  Regulatory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Deliverable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Target Timeline</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Regulatory Submission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Interim cardiac safety summary</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After all subjects complete Day 42</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IND Safety Update (if signal identified)</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C-QTc integrated analysis</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12 months post-LSLV</w:t>
            </w:r>
          </w:p>
        </w:tc>
        <w:tc>
          <w:tcPr>
            <w:tcW w:type="dxa" w:w="4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NDA/BLA Module 2.7.2 (Clinical Summary of Pharmacology)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TQT Clinical Study Report</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14 months post-LSLV</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NDA/BLA Module 5.3.3.2 (Clinical Pharmacology)</w:t>
            </w:r>
          </w:p>
        </w:tc>
      </w:tr>
      <w:tr>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Labeling language (Sections 5.1, 12.3)</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Following FDA review</w:t>
            </w:r>
          </w:p>
        </w:tc>
        <w:tc>
          <w:tcPr>
            <w:tcW w:type="dxa" w:w="4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Response to Day 74 letter or pre-NDA meeting discussion</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8.3  Anticipated Labeling Language</w:t>
      </w:r>
    </w:p>
    <w:p>
      <w:pPr>
        <w:spacing w:before="60" w:after="60"/>
      </w:pPr>
      <w:r>
        <w:rPr>
          <w:rFonts w:ascii="Arial" w:cs="Arial" w:eastAsia="Arial" w:hAnsi="Arial"/>
          <w:b w:val="false"/>
          <w:bCs w:val="false"/>
          <w:color w:val="111111"/>
          <w:sz w:val="20"/>
          <w:szCs w:val="20"/>
        </w:rPr>
        <w:t xml:space="preserve">Based on the expected absence of clinically meaningful QTcF prolongation at therapeutic doses, the following labeling language is anticipated for CERVIMAB (subject to FDA 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4F4F4" w:val="clear"/>
            <w:tcMar>
              <w:top w:type="dxa" w:w="120"/>
              <w:left w:type="dxa" w:w="200"/>
              <w:bottom w:type="dxa" w:w="120"/>
              <w:right w:type="dxa" w:w="200"/>
            </w:tcMar>
          </w:tcPr>
          <w:p>
            <w:pPr>
              <w:spacing w:before="60" w:after="80"/>
            </w:pPr>
            <w:r>
              <w:rPr>
                <w:rFonts w:ascii="Courier New" w:cs="Courier New" w:eastAsia="Courier New" w:hAnsi="Courier New"/>
                <w:b/>
                <w:bCs/>
                <w:color w:val="333333"/>
                <w:sz w:val="18"/>
                <w:szCs w:val="18"/>
              </w:rPr>
              <w:t xml:space="preserve">PROPOSED LABEL TEXT — Section 12.3 (Cardiac Electrophysiology):</w:t>
            </w:r>
          </w:p>
          <w:p>
            <w:pPr>
              <w:spacing w:before="40" w:after="40"/>
            </w:pPr>
            <w:r>
              <w:rPr>
                <w:rFonts w:ascii="Courier New" w:cs="Courier New" w:eastAsia="Courier New" w:hAnsi="Courier New"/>
                <w:color w:val="333333"/>
                <w:sz w:val="18"/>
                <w:szCs w:val="18"/>
              </w:rPr>
              <w:t xml:space="preserve">In a dedicated QTc study in [N] subjects with dMMR/MSI-H metastatic colorectal cancer, CERVIMAB at the recommended dose of 400 mg IV and at a supratherapeutic dose of 800 mg IV did not prolong the QTc interval to a clinically relevant extent. The largest upper bound of the 90% confidence interval for mean QTcF change from placebo-corrected baseline (ΔΔQTcF) was [X] ms at Cmax. No subjects had a QTcF &gt;500 ms or ΔQTcF &gt;60 ms. The concentration-QTc analysis demonstrated a slope of [β] ms per μg/mL (90% CI: [lower], [upper]) with a predicted ΔΔQTcF of [Y] ms (90% CI: [lower], [upper]) at the geometric mean Cmax.</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E6" w:val="clear"/>
            <w:tcMar>
              <w:top w:type="dxa" w:w="100"/>
              <w:left w:type="dxa" w:w="160"/>
              <w:bottom w:type="dxa" w:w="100"/>
              <w:right w:type="dxa" w:w="160"/>
            </w:tcMar>
          </w:tcPr>
          <w:p>
            <w:pPr>
              <w:spacing w:before="40" w:after="40"/>
            </w:pPr>
            <w:r>
              <w:rPr>
                <w:rFonts w:ascii="Arial" w:cs="Arial" w:eastAsia="Arial" w:hAnsi="Arial"/>
                <w:b/>
                <w:bCs/>
                <w:color w:val="7B4800"/>
                <w:sz w:val="18"/>
                <w:szCs w:val="18"/>
              </w:rPr>
              <w:t xml:space="preserve">NOTE: </w:t>
            </w:r>
            <w:r>
              <w:rPr>
                <w:rFonts w:ascii="Arial" w:cs="Arial" w:eastAsia="Arial" w:hAnsi="Arial"/>
                <w:color w:val="5C3700"/>
                <w:sz w:val="18"/>
                <w:szCs w:val="18"/>
              </w:rPr>
              <w:t xml:space="preserve">This TQT protocol is a representative example prepared per ICH E14 (2005), FDA E14 Q&amp;A (2012, 2017), and CPOE Cardiac Safety Research Consortium best practices. Protocol CER-QT-003 is fictional. All ECG data, PK parameters, and subject characteristics are hypothetical and for illustrative purposes only.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4"/>
      </w:pBdr>
      <w:tabs>
        <w:tab w:val="center" w:pos="4680"/>
        <w:tab w:val="right" w:pos="9360"/>
      </w:tabs>
    </w:pPr>
    <w:r>
      <w:rPr>
        <w:rFonts w:ascii="Arial" w:cs="Arial" w:eastAsia="Arial" w:hAnsi="Arial"/>
        <w:color w:val="666666"/>
        <w:sz w:val="16"/>
        <w:szCs w:val="16"/>
      </w:rPr>
      <w:t xml:space="preserve">NovaMed Biosciences, Inc.  |  CERVIMAB (PD-1 Inhibitor)</w:t>
    </w:r>
    <w:r>
      <w:rPr>
        <w:rFonts w:ascii="Arial" w:cs="Arial" w:eastAsia="Arial" w:hAnsi="Arial"/>
        <w:color w:val="666666"/>
        <w:sz w:val="16"/>
        <w:szCs w:val="16"/>
      </w:rPr>
      <w:t xml:space="preserve">	CER-QT-003 v1.0</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4"/>
      </w:pBdr>
    </w:pPr>
    <w:r>
      <w:rPr>
        <w:rFonts w:ascii="Arial" w:cs="Arial" w:eastAsia="Arial" w:hAnsi="Arial"/>
        <w:b/>
        <w:bCs/>
        <w:color w:val="2E5F9E"/>
        <w:sz w:val="16"/>
        <w:szCs w:val="16"/>
      </w:rPr>
      <w:t xml:space="preserve">CONFIDENTIAL — INVESTIGATIONAL NEW DRUG</w:t>
    </w:r>
    <w:r>
      <w:rPr>
        <w:rFonts w:ascii="Arial" w:cs="Arial" w:eastAsia="Arial" w:hAnsi="Arial"/>
        <w:color w:val="666666"/>
        <w:sz w:val="16"/>
        <w:szCs w:val="16"/>
      </w:rPr>
      <w:t xml:space="preserve">    |    Thorough QT/QTc Study (TQT)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2026-03-16T14:11:36.106Z</dcterms:created>
  <dcterms:modified xsi:type="dcterms:W3CDTF">2026-03-16T14:11:36.106Z</dcterms:modified>
</cp:coreProperties>
</file>

<file path=docProps/custom.xml><?xml version="1.0" encoding="utf-8"?>
<Properties xmlns="http://schemas.openxmlformats.org/officeDocument/2006/custom-properties" xmlns:vt="http://schemas.openxmlformats.org/officeDocument/2006/docPropsVTypes"/>
</file>