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PEDIATRIC STUDY REPORT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5FA3"/>
          <w:sz w:val="24"/>
          <w:szCs w:val="24"/>
        </w:rPr>
        <w:t xml:space="preserve">Pursuant to the Pediatric Research Equity Act (PREA)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CERVIMAB (cerviximab-pgrc)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Study: CERV-PED-001 — Phase I/II Study of Cervimab in Pediatric Patients (Ages 2 to &lt;18 Years) with dMMR/MSI-H Solid Tumors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 Number: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CERV-PED-001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 Number: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 761XXX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PREA Requirement: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PREA Deferral — Pediatric Plan # PP-CERV-2024-001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NovImmune Therapeutics, Inc.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Regulatory Framework: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U.S.C. 505B (PREA); 21 CFR 314.55; FDA Pediatric Study Plans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 Phase: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I/II (PK/PD, Safety, Preliminary Efficacy)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Population: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Pediatric patients 2 to &lt;18 years with dMMR/MSI-H solid tumors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Type: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Pediatric Study Report (Full Report per ICH E11)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Version: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Cut-Off: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Date: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Pediatric Study Report presents the findings of CERV-PED-001, a Phase I/II, open-label, multicenter study evaluating the safety, pharmacokinetics (PK), pharmacodynamics (PD), and preliminary efficacy of cervimab in pediatric patients aged 2 to &lt;18 years with relapsed or refractory dMMR/MSI-H solid tumors. This study was conducted pursuant to the PREA deferral agreed with FDA (Pediatric Plan PP-CERV-2024-001) as a post-marketing requirement under BLA 761XXX.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total of 78 pediatric patients were enrolled across 22 pediatric oncology centers. The study met its primary PK objective: cervimab exposure (AUC and Cmax) in pediatric patients at the weight-adjusted dose of 3 mg/kg Q3W was within 80-125% of the target exposure range established in adults at 400 mg Q6W. The safety profile was consistent with the known profile in adults, with no unexpected pediatric-specific safety signals identified. Preliminary efficacy data demonstrated an ORR of 36% (95% CI: 24-49%) in the evaluable population.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BACKGROUND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Pediatric Relevance and PREA Basis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While metastatic CRC is exceedingly rare in the pediatric population, dMMR/MSI-H solid tumors in children — including high-grade gliomas with germline MMR mutations (Constitutional Mismatch Repair Deficiency, CMMRD), colorectal tumors in Lynch syndrome, and other MSI-H solid tumors — present an unmet medical need. The FDA's Oncology Center of Excellence (OCE) identified dMMR/MSI-H as a disease-relevant molecular feature across multiple pediatric solid tumor types and required a PREA study.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Prior Nonclinical and Clinical Data Supporting Pediatric Study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Nonclinical juvenile animal toxicity studies (6-month rat and 3-month cynomolgus monkey, conducted per ICH S11) demonstrated no pediatric-specific developmental or reproductive toxicities at exposures up to 10-fold the clinical AUC. PD-1 expression profiles and T-cell receptor repertoires in pediatric dMMR tumors mirror those in adult tumors, supporting the biological plausibility of cervimab activity in the pediatric setting.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FDA-Agreed Pediatric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FDA agreed to a PREA deferral pending availability of adult safety and PK data. The agreed Pediatric Plan specified: (1) a Phase I PK/safety run-in in patients ≥12 years; (2) dose extrapolation to younger patients using population PK modeling; (3) an expansion cohort (Phase II) across all age groups at the recommended pediatric dose (RPeD).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STUDY DESIGN AND METHODS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Study Design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CERV-PED-001 was conducted in two sequential stages: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Stage 1 (Dose-Finding, n=18): Open-label PK/PD run-in in adolescents (12 to &lt;18 years) using a modified 3+3 design starting at 2 mg/kg Q3W, escalating to 3 mg/kg Q3W and 5 mg/kg Q3W. Dose-limiting toxicities (DLTs) were assessed over Cycle 1 (21 days).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Stage 2 (Expansion, n=60): Enrollment of patients across three age cohorts (Cohort 1: 12-&lt;18 years; Cohort 2: 6-&lt;12 years; Cohort 3: 2-&lt;6 years) at the RPeD of 3 mg/kg Q3W, with PopPK-guided dose confirmation for younger cohorts.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Eligibility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eligibility criteria included: age 2 to &lt;18 years; histologically confirmed solid tumor with centrally confirmed dMMR/MSI-H; relapsed or refractory disease with no adequate standard therapy; ECOG/Lansky performance status ≥50; adequate organ function; and no prior anti-PD-1/PD-L1 therapy.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Pharmacokinetic Assessments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Serial PK sampling was performed at Cycles 1, 3, and 6. Rich PK sampling at Cycle 1 (Cohort 1 and Cohort 2) and sparse PK sampling at subsequent cycles for all cohorts was used to support population PK model building. PK parameters estimated included: AUC0-21d, Cmax, Ctrough, t½, CL/F, and Vd.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PHARMACOKINETIC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Population PK Model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two-compartment model with first-order elimination, incorporating body weight as an allometric covariate on clearance and volume, provided the best fit to the pooled pediatric-adult dataset. Weight-normalized clearance in pediatric patients was consistent with adults after allometric scaling.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PK Parameter Summary — Cervimab 3 mg/kg Q3W Pediatric vs. 400 mg Q6W Adult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 Parameter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Pediatric (2-&lt;18y) n=72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Adult (CERV-301) n=312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Geometric Mean Ratio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90% 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AUC0-42d (mcg*day/mL)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4,820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0.89–1.00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Cmax (mcg/mL)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0.91–0.99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Ctrough Cycle 3 (mcg/mL)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0.85–0.94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t½ (days)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0.94–1.01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►  All ratios within pre-specified bioequivalence window (0.80–1.25). RPeD confirmed at 3 mg/kg Q3W for all pediatric age cohorts.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SAFETY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Overview of Adverse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Parameter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 Grades n (%)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3-4 n (%)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treatment-emergent 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 (91%)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(31%)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treatment-related 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 (71%)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(18%)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Serious AE (SAE)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 (28%)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Immune-related AE (any)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 (37%)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(10%)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irAE leading to discontinuation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Fatal 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(1.3%)*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►  *Fatal AE: 1 patient (age 14) died due to disease progression; not assessed as treatment-related.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Pediatric-Specific Safety Observations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pediatric-specific safety signals were identified. The irAE profile was qualitatively similar to adults. Notably, no cases of immune-mediated myocarditis were observed. Infusion reactions were observed in 3 patients (4%), all Grade 1-2, managed with antihistamines. Growth parameters (height, weight, Tanner staging) were monitored throughout; no meaningful deviations from expected age-appropriate trajectories were observed.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EFFICACY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Objective Response Rate (Primary Efficacy Endpoint)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Among 72 response-evaluable patients, the ORR was 36.1% (95% CI: 24.9–48.7%), including 4 complete responses (5.6%) and 22 partial responses (30.6%). Disease control rate (DCR) was 65.3%.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Efficacy by Tumor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2160"/>
        <w:gridCol w:w="2040"/>
      </w:tblGrid>
      <w:tr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Tumor Type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ORR (95% CI)</w:t>
            </w:r>
          </w:p>
        </w:tc>
        <w:tc>
          <w:tcPr>
            <w:tcW w:type="dxa" w:w="20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DCR (95% CI)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CMMRD-related glioma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33% (15–57%)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67% (43–85%)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Colorectal (Lynch syndrome)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 (26–66%)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77% (56–91%)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 MSI-H solid tumors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31% (17–49%)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56% (39–73%)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CONCLUSIONS AND REGULATORY IMPLICATIONS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CERV-PED-001 has fulfilled the terms of the FDA-agreed Pediatric Plan (PP-CERV-2024-001). Key conclusions: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Recommended Pediatric Dose (RPeD) of 3 mg/kg Q3W achieves PK exposures comparable to the approved adult dose, satisfying the primary PK objective.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safety profile in pediatric patients is consistent with the known adult profile, with no identified pediatric-specific safety signals.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Preliminary efficacy data support anti-tumor activity of cervimab across dMMR/MSI-H pediatric solid tumor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These data support a pediatric labeling update for cervimab in patients ≥2 years with dMMR/MSI-H solid tumors and will be submitted as a supplemental BLA.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report is submitted in fulfillment of PREA requirements per 21 U.S.C. 505B. A request for pediatric labeling changes will accompany this report.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2"/>
      </w:pBdr>
      <w:spacing w:before="80"/>
    </w:pPr>
    <w:r>
      <w:rPr>
        <w:rFonts w:ascii="Arial" w:cs="Arial" w:eastAsia="Arial" w:hAnsi="Arial"/>
        <w:color w:val="777777"/>
        <w:sz w:val="16"/>
        <w:szCs w:val="16"/>
      </w:rPr>
      <w:t xml:space="preserve">CERV-PED-001 — PREA Pediatric Study Report v1.0   |   For Regulatory Purposes Only   |   Page </w:t>
    </w:r>
    <w:fldSimple w:instr="PAGE">
      <w:r>
        <w:rPr>
          <w:rFonts w:ascii="Arial" w:cs="Arial" w:eastAsia="Arial" w:hAnsi="Arial"/>
          <w:color w:val="777777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2"/>
      </w:pBdr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CERVIMAB (cerviximab-pgrc) — CONFIDENTIAL</w:t>
    </w: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   |   PEDIATRIC STUDY REPORT — CERV-PED-001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2026-03-16T14:48:10.413Z</dcterms:created>
  <dcterms:modified xsi:type="dcterms:W3CDTF">2026-03-16T14:48:10.413Z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