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Nonclinical Safety &amp; Pharmacokinetics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180"/>
        <w:jc w:val="center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Dose-Response Curve Analysis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— Preclinical Dose-Toxicity and Dose-Exposure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MOS-DRC-2022-006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2022-10-28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Summary — Supports IND 135-892 Section 7 | 21 CFR 312.23(a)(8); ICH S3A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S9; ICH S6(R1); ICH S3A; 21 CFR 58 (GLP)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This document contains proprietary preclinical safety information supporting IND 135-892. Distribution restricted to the IND working group and regulatory authorities. Prepared per FDA GLP regulations (21 CFR Part 58) and ICH M4S CTD format.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presents dose-response analyses for Cervimab across all nonclinical toxicology studies, covering: (1) dose-toxicity relationships for adverse endpoints, (2) dose-exposure (PK) relationships (linearity, accumulation), (3) dose-pharmacodynamic relationships (receptor occupancy, immune activation), and (4) benchmark dose (BMD) modeling for key toxicological endpoints. All analyses were performed using SAS v9.4 and GraphPad Prism v9.5.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Dose-Exposure Relationships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Single-Dose PK Linearity (Non-GLP Exploratory Study)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56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AUC₀₋∞ (µg·h/mL)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(days)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 (mL/h/kg)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Vss (mL/kg)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Dose-norm AUC (prop.)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2,980 ± 340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2.2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 ± 0.06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 ± 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2,980 (reference)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 ± 12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14,840 ± 1,680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 ± 0.06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 ± 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2,968 (0.996×)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 ± 48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58,640 ± 6,840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20.2 ± 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 ± 0.06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2,932 (0.984×)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(SD GLP)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2,116 ± 190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305,600 ± 27,200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2.6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 ± 0.05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± 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3,056 (1.026×)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Dose-normalized AUC is consistent across the 1–100 mg/kg range (ratio range: 0.984–1.026). CL and Vss are dose-independent, confirming linear PK (non-saturable FcRn-mediated clearance) over the preclinical dose range. Power model: AUC = 2,985 × dose^1.002 (slope 95% CI: 0.991–1.013); confirmed dose-proportionality (r²=0.9998). Absence of TMDD nonlinearity at these doses is consistent with soluble PD-1 target being low abundance (not saturable at Cmax tested).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Repeat-Dose Accumulation Analysis (13-Week Study, Q2W)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"/>
        <w:gridCol w:w="1320"/>
        <w:gridCol w:w="1320"/>
        <w:gridCol w:w="1320"/>
        <w:gridCol w:w="1560"/>
        <w:gridCol w:w="168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Cmin (µg/mL)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AUC₀₋τ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Accum. Ratio (R_acc)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PD-1 RO (est., %)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± 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1,240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~88% at Cmax; ~42% at Cmin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(steady-state est.)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± 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1.23× (predicted 1.20–1.40×)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~92% at Cmax; ~52% at Cmin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 ± 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4,240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~96% at Cmax; ~78% at Cmin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 (ss est.)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28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4,980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1.17×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~97% at Cmax; ~84% at Cmin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 ± 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624 ± 72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12,480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~99% at Cmax; ~96% at Cmin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 (with ADA)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± 28 ↓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 ± 84 ↓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10,840 ↓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0.87× (ADA-enhanced CL)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~98% at Cmax; ~92% at Cmin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Low accumulation ratio (R_acc ~1.17–1.26) at 3–10 mg/kg consistent with t½ ~20 days and Q2W dosing interval (τ/t½ ratio = 14/20 = 0.70). Predicted steady-state accumulation using formula R_acc = 1/(1-e^(-k_el×τ)) = ~1.25–1.40. Reduced AUC at 30 mg/kg Cycle 7 is attributable to ADA-mediated enhanced clearance (8/10 ADA positive). ADA-enhanced clearance does not affect safety interpretation (adverse effects occurred prior to and independent of ADA).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Dose-Toxicity Relationships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Key Adverse Endpoint Dose-Response: ALT (13-Week Study, Day 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1560"/>
        <w:gridCol w:w="1560"/>
        <w:gridCol w:w="1560"/>
        <w:gridCol w:w="168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ALT (U/L)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Change vs Vehicle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Multiples of ULN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Incidence &gt;2× ULN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BMDL₁₀ (mg/kg)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(vehicle)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± 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0.4× ULN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± 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+13%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0.45× ULN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± 14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0.56× ULN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58 ± 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+93%*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0.77× ULN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 (peak 1.4×)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21.4 mg/kg (95% CI: 14.2–32.8)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BMDL₁₀ (Benchmark Dose Lower Confidence Limit for 10% response): Hill model fit, BMDS v3.3 (EPA). BMDL₁₀ for ALT = 21.4 mg/kg provides &gt;21-fold safety margin vs proposed FIH dose of 1 mg/kg. No animal reached &gt;2× ULN ALT (ULN = 75 U/L for cynomolgus monkey). * p&lt;0.05 vs vehicle, Dunnett's.</w:t>
      </w:r>
    </w:p>
    <w:p>
      <w:pPr>
        <w:spacing w:before="80" w:after="8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BMD Analysis Summary — 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60"/>
        <w:gridCol w:w="1560"/>
        <w:gridCol w:w="1560"/>
        <w:gridCol w:w="2040"/>
      </w:tblGrid>
      <w:tr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NOAEL (mg/kg)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BMDL₁₀ (mg/kg)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margin vs 1 mg/kg FIH</w:t>
            </w:r>
          </w:p>
        </w:tc>
        <w:tc>
          <w:tcPr>
            <w:tcW w:type="dxa" w:w="20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fit (BMDS)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 elevation (biochemistry)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21.4×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Hill model; AIC=28.4; adequate fit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Colitis (histopathology, Grade 1)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18.8×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Quantal logistic; adequate fit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Spleen weight (organ weight)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(non-adverse)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(non-adverse)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4.2× (but non-adverse)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Model 3; AIC=22.1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weight (% gain attenuation)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(non-significant)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&gt;30 (below detection threshold)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&gt;30×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statistically significant relationship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WBC / lymphocytosis (pharmacological)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adverse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(pharmacological EC₅₀)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pharmacological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Sigmoidal Emax; EC₅₀=2.1 mg/kg; Emax=+68% WBC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Dose-Pharmacodynamic Relationships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Receptor Occupancy vs Dose (Cynomolgus Monkey, In Vivo Estimated)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vivo receptor occupancy (RO) was estimated from cynomolgus serum Cmax values and the in vitro KD for cyno PD-1 (0.61 nM), using the equation: RO% = 100 × Cmax / (Cmax + KD). This provides a conservative estimate (assumes no free drug loss at tissue level).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1560"/>
        <w:gridCol w:w="1560"/>
        <w:gridCol w:w="1560"/>
        <w:gridCol w:w="168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(nM)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cyno (nM)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RO% at Cmax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RO% at Cmin (steady state)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 (below FIH)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 ± 0.6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98% (TMDD saturation)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~82%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(FIH proposed)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&gt;99%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~96%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(NOAEL low)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&gt;99%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~98%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(NOAEL)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 ± 24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1,472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&gt;99.9%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~99%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(LOAEL)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624 ± 72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4,333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&gt;99.9%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~99.6%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In cynomolgus monkeys, PD-1 RO is essentially complete (&gt;99%) at all doses ≥1 mg/kg, indicating that the dose-toxicity relationship is not driven by differential RO but rather by total drug exposure and duration of immune activation. This is consistent with the absence of a clear dose-dependent irAE incidence at 3 vs 10 mg/kg (0/10 colitis at both doses). The MABEL approach (targeting ~20–30% RO in humans) is based on the human in vitro system (KD 0.42 nM), which translates to the proposed 1 mg/kg FIH starting dose.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Statistical Analysis: SAS v9.4 (mixed model ANOVA, Dunnett's post-test); BMD modeling: BMDS v3.3 (US EPA); Prism v9.5 for curve fitting. All datasets archived in Meridian ELN (21 CFR Part 11).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MOS-DRC-2022-006 v1.6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Toxicology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Dose-Response Curve Analysis Report</w:t>
    </w:r>
    <w:r>
      <w:rPr>
        <w:rFonts w:ascii="Arial" w:cs="Arial" w:eastAsia="Arial" w:hAnsi="Arial"/>
        <w:color w:val="888888"/>
        <w:sz w:val="16"/>
        <w:szCs w:val="16"/>
      </w:rPr>
      <w:t xml:space="preserve">  |  GLP / IND SUPPORTING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2026-03-15T18:31:56.984Z</dcterms:created>
  <dcterms:modified xsi:type="dcterms:W3CDTF">2026-03-15T18:31:56.984Z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