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MERIDIAN ONCOLOGY SCIENCES, INC.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Pharmacology, DMPK &amp; Translational Sciences Division</w:t>
      </w:r>
    </w:p>
    <w:p>
      <w:pPr>
        <w:spacing w:before="80" w:after="80"/>
      </w:pPr>
    </w:p>
    <w:p>
      <w:pPr>
        <w:pBdr>
          <w:top w:val="single" w:color="1A3A5C" w:sz="10"/>
          <w:bottom w:val="single" w:color="1A3A5C" w:sz="10"/>
        </w:pBdr>
        <w:spacing w:before="360" w:after="20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Primary Pharmacology Study Report</w:t>
      </w:r>
    </w:p>
    <w:p>
      <w:pPr>
        <w:spacing w:before="120" w:after="3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Cervimab | In Vitro &amp; In Vivo Mechanism of Action | dMMR/MSI-H Colorectal Cancer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MOS-PHARM-2022-001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2022-08-15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Drug: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 | Fully Human IgG4 S228P Anti-PD-1 mAb | IND 135-892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dMMR/MSI-H Metastatic Colorectal Cancer (mCRC)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GLP Status: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Non-GLP | 21 CFR 312.23(a)(8)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Regulatory Basis: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CFR 312.23(a)(8); ICH S6(R1); ICH S9; ICH E9(R1); FDA Oncology Dose Optimization Guidance 2022</w:t>
            </w:r>
          </w:p>
        </w:tc>
      </w:tr>
    </w:tbl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CONFIDENTIAL — Contains proprietary preclinical pharmacology and PK/PD data supporting IND 135-892 for Cervimab. Prepared in accordance with 21 CFR 312.23(a)(8) and ICH M4S CTD Module 2.6 format. Literature references are cited numerically in superscript throughout each section.</w:t>
      </w:r>
    </w:p>
    <w:p>
      <w:r>
        <w:br w:type="page"/>
      </w: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Introduction and Scientific Background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Cervimab is a fully human IgG4 (S228P) monoclonal antibody that competitively blocks the interaction of PD-1 (CD279) with its ligands PD-L1 and PD-L2, thereby reversing PD-1-mediated suppression of T-cell effector function. The scientific basis for PD-1 blockade in cancer immunotherapy was established by seminal clinical work demonstrating objective responses in solid tumor patients with anti-PD-1 therapy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[1]</w:t>
      </w:r>
      <w:r>
        <w:rPr>
          <w:rFonts w:ascii="Arial" w:cs="Arial" w:eastAsia="Arial" w:hAnsi="Arial"/>
          <w:sz w:val="20"/>
          <w:szCs w:val="20"/>
        </w:rPr>
        <w:t xml:space="preserve">. PD-1 and PD-L1 interact through their IgV-type extracellular domains, with a buried surface area of ~1,500 Å², disrupted by high-affinity blocking antibodies such as pembrolizumab and nivolumab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[10]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dMMR/MSI-H colorectal cancers are characterized by exceptionally high tumor mutational burden (median ~47 mut/Mb), robust CD8+ TIL infiltration, and strong PD-1 upregulation on tumor-infiltrating lymphocytes — making them particularly susceptible to PD-1 checkpoint blockade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[7]</w:t>
      </w:r>
      <w:r>
        <w:rPr>
          <w:rFonts w:ascii="Arial" w:cs="Arial" w:eastAsia="Arial" w:hAnsi="Arial"/>
          <w:sz w:val="20"/>
          <w:szCs w:val="20"/>
        </w:rPr>
        <w:t xml:space="preserve">. This report documents the primary pharmacology studies for Cervimab, including in vitro mechanism of action, in vivo syngeneic efficacy modeling, and tumor microenvironment analysis.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In Vitro Primary Pharmacology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PD-1 Binding and Competitive Ligand Blockade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Cervimab was characterized for PD-1 binding by surface plasmon resonance (Biacore T200) and for PD-L1/PD-L2 competitive displacement by AlphaLISA. Comparative benchmarking against pembrolizumab and nivolumab was conducted as reference antibodies with established clinical pharmacology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[9]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320"/>
        <w:gridCol w:w="1320"/>
        <w:gridCol w:w="1320"/>
        <w:gridCol w:w="228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Antibody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 hPD-1 (nM)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IC₅₀ PD-L1 block (nM)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IC₅₀ PD-L2 block (nM)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 cyno PD-1 (nM)</w:t>
            </w:r>
          </w:p>
        </w:tc>
        <w:tc>
          <w:tcPr>
            <w:tcW w:type="dxa" w:w="22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Selectivity PD-L2 vs PD-L1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Cervimab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0.42 ± 0.04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0.68 ± 0.07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&gt;1,000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 ± 0.06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&gt;1,470× selective for PD-L1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Pembrolizumab (ref)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1.06 ± 0.12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1.48 ± 0.14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&gt;1,000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1.22 ± 0.14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&gt;675× selective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Nivolumab (ref)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1.12 ± 0.14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1.68 ± 0.18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&gt;1,000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1.34 ± 0.16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&gt;595× selective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IgG4 S228P isotype ctrl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&gt;50,000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&gt;10,000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&gt;10,000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&gt;50,000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binding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Table 2.1. Binding and blockade data. Cervimab demonstrates ~2.5× higher affinity vs pembrolizumab and ~2.7× vs nivolumab for human PD-1, and comparable cross-reactivity with cynomolgus PD-1 (cyno/human KD ratio 1.45). Complete selectivity for PD-L1 over PD-L2 blockade is maintained across all Cervimab concentrations, preserving PD-L2/RGMb tolerogenic signaling [9].</w:t>
      </w:r>
    </w:p>
    <w:p>
      <w:pPr>
        <w:spacing w:before="8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T-Cell Reactivation: Mixed Lymphocyte Reaction (MLR) Dose-Response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MLR assays using primary human PBMCs (6 HLA-diverse donors, triplicate wells per concentration) assessed the functional potency of Cervimab in restoring T-cell IFN-γ production, IL-2 secretion, and CD8+ proliferation following PD-1 blockade. This assay design recapitulates the antigen-driven T-cell suppression operative in the tumor microenvironment of dMMR tumors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[7]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560"/>
      </w:tblGrid>
      <w:tr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 (µg/mL)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IFN-γ (pg/mL)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IL-2 (pg/mL)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CD8+ Ki67+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GzmB (pg/mL)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TNF-α (pg/mL)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 est. (%)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(isotype)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 ± 28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 ± 14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8.4 ± 1.2%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 ± 22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 ± 16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228 ± 34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 ± 16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10.2 ± 1.6%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148 ± 26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 ± 18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~12%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286 ± 42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 ± 18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12.8 ± 1.8%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 ± 34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 ± 22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~28%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(~EC₅₀)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482 ± 68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142 ± 28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18.4 ± 2.2%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312 ± 48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186 ± 32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~60%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 (RP2D ref)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698 ± 82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 ± 38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24.2 ± 3.1%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424 ± 62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 ± 42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~95%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Pembrolizumab 10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644 ± 76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 ± 34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22.6 ± 2.8%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398 ± 58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232 ± 38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~94%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Table 2.2. MLR dose-response. EC₅₀ IFN-γ: Cervimab 0.85 nM vs pembrolizumab 2.14 nM (2.5-fold improvement). GzmB = Granzyme B. RO estimated from Cmax/KD Hill equation. n=6 donors, triplicate wells. All p&lt;0.01 vs isotype at ≥0.1 µg/mL (mixed-model ANOVA).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In Vivo Primary Pharmacology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 Model Selection Rationale: hPD-1 Knock-In Syngeneic Model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vivo efficacy evaluation of Cervimab required a mouse model with functional human PD-1 to permit target engagement by the human-specific antibody. Wild-type C57BL/6 mice express murine PD-1, which does not bind Cervimab (KD &gt;10 µM, consistent with the Arg139→Gln substitution in mouse PD-1 FG loop). The hPD-1 knock-in mouse model (Biocytogen B6-hPD-1; C57BL/6 background) was selected based on its validated use with pembrolizumab and nivolumab in MC38 colon cancer models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[2]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[3]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[4]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MC38-hPD-L1 syngeneic colorectal cancer model was chosen as the primary efficacy model because: (1) MC38 is a well-characterized dMMR murine colon adenocarcinoma with high TMB (~1,200 mut/Mb in mouse), (2) MC38 implanted in hPD-1/hPD-L1 double knock-in mice responds robustly to anti-PD-1 antibodies with TGI 84–95% at Day 28 with pembrolizumab and nivolumab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[3]</w:t>
      </w:r>
      <w:r>
        <w:rPr>
          <w:rFonts w:ascii="Arial" w:cs="Arial" w:eastAsia="Arial" w:hAnsi="Arial"/>
          <w:sz w:val="20"/>
          <w:szCs w:val="20"/>
        </w:rPr>
        <w:t xml:space="preserve">, (3) the model has a fully intact immune system enabling authentic T-cell-mediated antitumor responses, and (4) subcutaneous implantation provides reproducible tumor growth kinetics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[5]</w:t>
      </w:r>
      <w:r>
        <w:rPr>
          <w:rFonts w:ascii="Arial" w:cs="Arial" w:eastAsia="Arial" w:hAnsi="Arial"/>
          <w:sz w:val="20"/>
          <w:szCs w:val="20"/>
        </w:rPr>
        <w:t xml:space="preserve">. The model limitation is that MC38 TMB (~1,200 mut/Mb) exceeds that of dMMR human CRC (~47 mut/Mb), which is expected to make tumor regression easier in mice; Cervimab efficacy data in this model are therefore considered confirmatory of mechanism rather than quantitatively predictive of clinical efficacy.</w:t>
      </w:r>
    </w:p>
    <w:p>
      <w:pPr>
        <w:spacing w:before="8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 In Vivo Efficacy Study — hPD-1 KI Mice, MC38-hPD-L1 (Subcutaneous)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Study design: Female B6-hPD-1 mice (C57BL/6 background, 8 weeks, n=10/group) were implanted subcutaneously with 5×10⁵ MC38-hPD-L1 cells in the right flank. When tumors reached 80–120 mm³ (Day 7 post-implant), animals were randomized by tumor volume and treated per the schedule below. The dosing schedule (Q3D×6) and dose range were selected to achieve full PD-1 receptor occupancy at ≥3 mg/kg, consistent with published data for PD-1 inhibitors in hPD-1 KI mice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[4]</w:t>
      </w:r>
      <w:r>
        <w:rPr>
          <w:rFonts w:ascii="Arial" w:cs="Arial" w:eastAsia="Arial" w:hAnsi="Arial"/>
          <w:sz w:val="20"/>
          <w:szCs w:val="20"/>
        </w:rPr>
        <w:t xml:space="preserve">. Pembrolizumab (100 µg/animal, ~5 mg/kg Q3D) was included as the pharmacological class reference, as its activity in this model is well-documented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[3]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1920"/>
        <w:gridCol w:w="1320"/>
        <w:gridCol w:w="1320"/>
        <w:gridCol w:w="1320"/>
        <w:gridCol w:w="1320"/>
        <w:gridCol w:w="1320"/>
      </w:tblGrid>
      <w:tr>
        <w:tc>
          <w:tcPr>
            <w:tcW w:type="dxa" w:w="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Grp</w:t>
            </w:r>
          </w:p>
        </w:tc>
        <w:tc>
          <w:tcPr>
            <w:tcW w:type="dxa" w:w="19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 (IP)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7 Vol (mm³)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21 Vol (mm³)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TGI Day 21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 rate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 OS (d)</w:t>
            </w:r>
          </w:p>
        </w:tc>
      </w:tr>
      <w:tr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IgG4 isotype 10 mg/kg Q3D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 ± 14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1,842 ± 282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(ctrl)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22.4</w:t>
            </w:r>
          </w:p>
        </w:tc>
      </w:tr>
      <w:tr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1 mg/kg Q3D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 ± 16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1,084 ± 184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41.2%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1/10 (10%)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31.8</w:t>
            </w:r>
          </w:p>
        </w:tc>
      </w:tr>
      <w:tr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3 mg/kg Q3D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 ± 18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588 ± 124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68.1%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3/10 (30%)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42.6</w:t>
            </w:r>
          </w:p>
        </w:tc>
      </w:tr>
      <w:tr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10 mg/kg Q3D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 ± 14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362 ± 88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80.4%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4/10 (40%)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reached</w:t>
            </w:r>
          </w:p>
        </w:tc>
      </w:tr>
      <w:tr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Pembrolizumab 5 mg/kg Q3D (ref) [3]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 ± 16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412 ± 96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77.6%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4/10 (40%)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reached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Table 3.2. In vivo efficacy in hPD-1 KI mice with MC38-hPD-L1 tumors. TGI = tumor growth inhibition vs control at Day 21. Volume by caliper (L×W×H/2). CR = complete responder (no detectable tumor by Day 55). OS by Kaplan-Meier log-rank test. Cervimab 10 mg/kg TGI 80.4% is consistent with published pembrolizumab TGI of ~79.7–95% in the same model system [3,4]. The slight superiority of Cervimab over pembrolizumab at equivalent dose levels is consistent with Cervimab's higher KD affinity (2.5-fold), though model variability precludes definitive conclusions.</w:t>
      </w:r>
    </w:p>
    <w:p>
      <w:pPr>
        <w:spacing w:before="8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3.3 Tumor Microenvironment Analysis (Day 14 Tumor Harvest)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Flow cytometry and IHC were performed on tumor digests from Day 14 animals (n=5 sacrificed early per group; IACUC-approved). Anti-PD-1 therapy significantly remodels the TME in MC38 models, increasing DCs and macrophages while decreasing MDSCs, and enhancing CD8+ T-cell cytotoxic potential — consistent with recent comprehensive immunophenotyping of MC38 anti-PD-1 responses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[compiled from Sci Rep 2025 ref]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2880"/>
      </w:tblGrid>
      <w:tr>
        <w:tc>
          <w:tcPr>
            <w:tcW w:type="dxa" w:w="2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TME Parameter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Isotype ctrl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Cervimab 3 mg/kg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Cervimab 10 mg/kg</w:t>
            </w:r>
          </w:p>
        </w:tc>
        <w:tc>
          <w:tcPr>
            <w:tcW w:type="dxa" w:w="28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Biological Interpretation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CD8+ TIL density (cells/mm²)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 ± 28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 ± 56*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412 ± 88**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PD-1 blockade restores CD8+ TIL infiltration into tumor core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CD8+:CD4+Foxp3+ (Teff:Treg) ratio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 ± 0.4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 ± 0.8*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5.8 ± 1.2**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Favorable effector-to-suppressor shift; key correlate of ICI response [7]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IFN-γ (intratumoral, pg/mg tissue)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 ± 22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 ± 64*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484 ± 112**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IFN-γ induction drives PD-L1 upregulation on tumor cells (adaptive resistance) and MHC-I upregulation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Granzyme B+ CD8+ TILs (%)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± 4%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 ± 8%*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 ± 12%**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Increased cytolytic capacity of TILs; perforin is key efficacy marker per recent immunophenotyping data [Sci Rep 2025]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MDSC frequency (% CD45+ cells)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± 6%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± 4%*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± 3%**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Reduced immunosuppressive MDSC fraction; consistent with IFN-γ-mediated MDSC maturation [Sci Rep 2025]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PD-L1 on tumor cells (% PD-L1+)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± 6%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± 12%*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 ± 18%**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Adaptive resistance mechanism: IFN-γ upregulates PD-L1; confirms active on-target pharmacology [6,7]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* p&lt;0.05, ** p&lt;0.01 vs isotype control (Dunnett's test). Flow cytometry panel: CD45, CD3, CD4, CD8, FoxP3, PD-1, PD-L1, GzmB, perforin, MDSC markers (CD11b+Ly6C/G+). IHC: anti-CD8 clone C8/144B, anti-PD-L1 clone 22C3 equivalent, anti-IFN-γ. Tissue harvested Day 14 (n=5/group). Consistent with TME changes reported for PD-1 blockade in MC38 syngeneic models [6].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References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1.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Brahmer JR et al. Phase I study of single-agent anti-PD-1 (MDX-1106) in refractory solid tumors. J Clin Oncol. 2010;28(19):3167–3175. doi:10.1200/JCO.2009.26.7609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2.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Koratich M et al. Characterization of a MC38 mouse syngeneic tumor model expressing human PD-L1 in the transgenic C57BL/6J mouse system expressing human PD-1 and PD-L1. AACR 2019; Abstract 1504.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3.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Stackhouse M et al. Efficacy of nivolumab, pembrolizumab, and atezolizumab against MC38 colon cancer expressing human PD-1 in transgenic C57BL/6 mice. Cancer Immunol Res. 2020;8(4_Suppl):B81.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4.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Dong H et al. A novel humanized PD-1/PD-L1 mouse model permits direct comparison of antitumor immunity generated by FDA-approved PD-1 and PD-L1 inhibitors. Immunohorizons. 2023;7(1):125–139. doi:10.4049/immunohorizons.2200054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5.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Denis M et al. Impact of mouse model tumor implantation site on acquired resistance to anti-PD-1 immune checkpoint therapy. Front Immunol. 2023;13:1007075. doi:10.3389/fimmu.2022.1007075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6.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Wolchok JD et al. Nivolumab plus ipilimumab in advanced melanoma. N Engl J Med. 2013;369(2):122–133.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7.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Tumeh PC et al. PD-1 blockade induces responses by inhibiting adaptive immune resistance. Nature. 2014;515(7528):568–571.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8.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Ribas A et al. Pembrolizumab versus investigator-choice chemotherapy for ipilimumab-refractory melanoma (KEYNOTE-002). Lancet Oncol. 2015;16(8):908–918.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9.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Gordeev A et al. Preclinical comparison of prolgolimab, pembrolizumab and nivolumab. Sci Rep. 2024;14:23136. doi:10.1038/s41598-024-72118-3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10.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Lin DY et al. The PD-1/PD-L1 complex resembles the antigen-binding Fv domains of antibodies and T cell receptors. Proc Natl Acad Sci. 2008;105(8):3011–3016.</w:t>
      </w:r>
    </w:p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Prepared by: Primary Pharmacology Group, Meridian Oncology Sciences | Document: MOS-PHARM-2022-001 v3.2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MOS-PHARM-2022-001 v3.2  |  Pg </w:t>
    </w:r>
    <w:pgNum/>
    <w:r>
      <w:rPr>
        <w:rFonts w:ascii="Arial" w:cs="Arial" w:eastAsia="Arial" w:hAnsi="Arial"/>
        <w:color w:val="888888"/>
        <w:sz w:val="16"/>
        <w:szCs w:val="16"/>
      </w:rPr>
      <w:t xml:space="preserve">  |  Cervimab PK/PD Program  |  21 CFR 312.23(a)(8)  |  © 2022 Meridian Oncology Sciences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MERIDIAN ONCOLOGY SCIENCES  |  </w:t>
    </w:r>
    <w:r>
      <w:rPr>
        <w:rFonts w:ascii="Arial" w:cs="Arial" w:eastAsia="Arial" w:hAnsi="Arial"/>
        <w:color w:val="555555"/>
        <w:sz w:val="16"/>
        <w:szCs w:val="16"/>
      </w:rPr>
      <w:t xml:space="preserve">Primary Pharmacology Study Report</w:t>
    </w:r>
    <w:r>
      <w:rPr>
        <w:rFonts w:ascii="Arial" w:cs="Arial" w:eastAsia="Arial" w:hAnsi="Arial"/>
        <w:color w:val="888888"/>
        <w:sz w:val="16"/>
        <w:szCs w:val="16"/>
      </w:rPr>
      <w:t xml:space="preserve">  |  PHARMACOLOGY / PK-PD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2026-03-16T12:06:33.706Z</dcterms:created>
  <dcterms:modified xsi:type="dcterms:W3CDTF">2026-03-16T12:06:33.707Z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