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A5C"/>
          <w:sz w:val="30"/>
          <w:szCs w:val="30"/>
        </w:rPr>
        <w:t xml:space="preserve">MERIDIAN ONCOLOGY SCIENCES, INC.</w:t>
      </w:r>
    </w:p>
    <w:p>
      <w:pPr>
        <w:spacing w:before="0" w:after="40"/>
        <w:jc w:val="center"/>
      </w:pPr>
      <w:r>
        <w:rPr>
          <w:rFonts w:ascii="Arial" w:cs="Arial" w:eastAsia="Arial" w:hAnsi="Arial"/>
          <w:color w:val="555555"/>
          <w:sz w:val="20"/>
          <w:szCs w:val="20"/>
        </w:rPr>
        <w:t xml:space="preserve">Pharmacology, DMPK &amp; Translational Sciences Division</w:t>
      </w:r>
    </w:p>
    <w:p>
      <w:pPr>
        <w:spacing w:before="80" w:after="80"/>
      </w:pPr>
    </w:p>
    <w:p>
      <w:pPr>
        <w:pBdr>
          <w:top w:val="single" w:color="1A3A5C" w:sz="10"/>
          <w:bottom w:val="single" w:color="1A3A5C" w:sz="10"/>
        </w:pBdr>
        <w:spacing w:before="360" w:after="200"/>
        <w:jc w:val="center"/>
      </w:pPr>
      <w:r>
        <w:rPr>
          <w:rFonts w:ascii="Arial" w:cs="Arial" w:eastAsia="Arial" w:hAnsi="Arial"/>
          <w:b/>
          <w:bCs/>
          <w:color w:val="1A3A5C"/>
          <w:sz w:val="36"/>
          <w:szCs w:val="36"/>
        </w:rPr>
        <w:t xml:space="preserve">PK/PD Model Report</w:t>
      </w:r>
    </w:p>
    <w:p>
      <w:pPr>
        <w:spacing w:before="120" w:after="360"/>
        <w:jc w:val="center"/>
      </w:pPr>
      <w:r>
        <w:rPr>
          <w:rFonts w:ascii="Arial" w:cs="Arial" w:eastAsia="Arial" w:hAnsi="Arial"/>
          <w:i/>
          <w:iCs/>
          <w:color w:val="444444"/>
          <w:sz w:val="24"/>
          <w:szCs w:val="24"/>
        </w:rPr>
        <w:t xml:space="preserve">Cervimab | Two-Compartment TMDD Model | Cynomolgus Monkey &amp; Human PK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Document Number:</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MOS-PKPD-2022-002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Version: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v2.8</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Date:</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2022-10-20</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Study Drug:</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Cervimab (MOS-PD1-047) | Fully Human IgG4 S228P Anti-PD-1 mAb | IND 135-892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Indication: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dMMR/MSI-H Metastatic Colorectal Cancer (mCRC)</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GLP Status: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Non-GLP | ICH S3A; FDA Population PK Guidance 2022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Regulatory Basis: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21 CFR 312.23(a)(8); ICH S6(R1); ICH S9; ICH E9(R1); FDA Oncology Dose Optimization Guidance 2022</w:t>
            </w:r>
          </w:p>
        </w:tc>
      </w:tr>
    </w:tbl>
    <w:p>
      <w:pPr>
        <w:spacing w:before="80" w:after="80"/>
      </w:pPr>
    </w:p>
    <w:p>
      <w:pPr>
        <w:spacing w:before="50" w:after="50"/>
      </w:pPr>
      <w:r>
        <w:rPr>
          <w:rFonts w:ascii="Arial" w:cs="Arial" w:eastAsia="Arial" w:hAnsi="Arial"/>
          <w:i/>
          <w:iCs/>
          <w:color w:val="555555"/>
          <w:sz w:val="17"/>
          <w:szCs w:val="17"/>
        </w:rPr>
        <w:t xml:space="preserve">CONFIDENTIAL — Contains proprietary preclinical pharmacology and PK/PD data supporting IND 135-892 for Cervimab. Prepared in accordance with 21 CFR 312.23(a)(8) and ICH M4S CTD Module 2.6 format. Literature references are cited numerically in superscript throughout each section.</w:t>
      </w:r>
    </w:p>
    <w:p>
      <w:r>
        <w:br w:type="page"/>
      </w:r>
    </w:p>
    <w:p>
      <w:pPr>
        <w:pStyle w:val="Heading1"/>
        <w:pBdr>
          <w:bottom w:val="single" w:color="2E6DA4" w:sz="8" w:space="1"/>
        </w:pBdr>
        <w:spacing w:before="300" w:after="120"/>
      </w:pPr>
      <w:r>
        <w:rPr>
          <w:rFonts w:ascii="Arial" w:cs="Arial" w:eastAsia="Arial" w:hAnsi="Arial"/>
          <w:b/>
          <w:bCs/>
          <w:color w:val="1A3A5C"/>
          <w:sz w:val="28"/>
          <w:szCs w:val="28"/>
        </w:rPr>
        <w:t xml:space="preserve">1. Introduction and Modeling Strategy</w:t>
      </w:r>
    </w:p>
    <w:p>
      <w:pPr>
        <w:spacing w:before="60" w:after="60"/>
      </w:pPr>
      <w:r>
        <w:rPr>
          <w:rFonts w:ascii="Arial" w:cs="Arial" w:eastAsia="Arial" w:hAnsi="Arial"/>
          <w:sz w:val="20"/>
          <w:szCs w:val="20"/>
        </w:rPr>
        <w:t xml:space="preserve">This report describes the PK/PD modeling framework for Cervimab, encompassing: (1) a two-compartment model with Michaelis-Menten (MM) approximation of target-mediated drug disposition (TMDD) for PK characterization in cynomolgus monkeys, (2) allometric and species-invariant time (STIV) approaches for human PK prediction, (3) a receptor occupancy (RO)-PD relationship model linking Cervimab exposure to CD8+ T-cell activation biomarkers, and (4) model-based simulations supporting selection of the 400 mg flat dose Q3W regimen for Phase 1/2 studies. The MM-TMDD approach was selected as the most parsimonious model capturing both linear FcRn-mediated clearance and saturable PD-1-mediated target-mediated clearance at low doses </w:t>
      </w:r>
      <w:r>
        <w:rPr>
          <w:rFonts w:ascii="Arial" w:cs="Arial" w:eastAsia="Arial" w:hAnsi="Arial"/>
          <w:color w:val="2E6DA4"/>
          <w:sz w:val="16"/>
          <w:szCs w:val="16"/>
          <w:vertAlign w:val="superscript"/>
        </w:rPr>
        <w:t xml:space="preserve">[1]</w:t>
      </w:r>
      <w:r>
        <w:rPr>
          <w:rFonts w:ascii="Arial" w:cs="Arial" w:eastAsia="Arial" w:hAnsi="Arial"/>
          <w:sz w:val="20"/>
          <w:szCs w:val="20"/>
        </w:rPr>
        <w:t xml:space="preserve">, </w:t>
      </w:r>
      <w:r>
        <w:rPr>
          <w:rFonts w:ascii="Arial" w:cs="Arial" w:eastAsia="Arial" w:hAnsi="Arial"/>
          <w:color w:val="2E6DA4"/>
          <w:sz w:val="16"/>
          <w:szCs w:val="16"/>
          <w:vertAlign w:val="superscript"/>
        </w:rPr>
        <w:t xml:space="preserve">[6]</w:t>
      </w:r>
      <w:r>
        <w:rPr>
          <w:rFonts w:ascii="Arial" w:cs="Arial" w:eastAsia="Arial" w:hAnsi="Arial"/>
          <w:sz w:val="20"/>
          <w:szCs w:val="20"/>
        </w:rPr>
        <w:t xml:space="preserve">.</w:t>
      </w:r>
    </w:p>
    <w:p>
      <w:pPr>
        <w:spacing w:before="60" w:after="60"/>
      </w:pPr>
      <w:r>
        <w:rPr>
          <w:rFonts w:ascii="Arial" w:cs="Arial" w:eastAsia="Arial" w:hAnsi="Arial"/>
          <w:sz w:val="20"/>
          <w:szCs w:val="20"/>
        </w:rPr>
        <w:t xml:space="preserve">The modeling approach follows the precedent established for pembrolizumab </w:t>
      </w:r>
      <w:r>
        <w:rPr>
          <w:rFonts w:ascii="Arial" w:cs="Arial" w:eastAsia="Arial" w:hAnsi="Arial"/>
          <w:color w:val="2E6DA4"/>
          <w:sz w:val="16"/>
          <w:szCs w:val="16"/>
          <w:vertAlign w:val="superscript"/>
        </w:rPr>
        <w:t xml:space="preserve">[10]</w:t>
      </w:r>
      <w:r>
        <w:rPr>
          <w:rFonts w:ascii="Arial" w:cs="Arial" w:eastAsia="Arial" w:hAnsi="Arial"/>
          <w:sz w:val="20"/>
          <w:szCs w:val="20"/>
        </w:rPr>
        <w:t xml:space="preserve"> and nivolumab </w:t>
      </w:r>
      <w:r>
        <w:rPr>
          <w:rFonts w:ascii="Arial" w:cs="Arial" w:eastAsia="Arial" w:hAnsi="Arial"/>
          <w:color w:val="2E6DA4"/>
          <w:sz w:val="16"/>
          <w:szCs w:val="16"/>
          <w:vertAlign w:val="superscript"/>
        </w:rPr>
        <w:t xml:space="preserve">[2]</w:t>
      </w:r>
      <w:r>
        <w:rPr>
          <w:rFonts w:ascii="Arial" w:cs="Arial" w:eastAsia="Arial" w:hAnsi="Arial"/>
          <w:sz w:val="20"/>
          <w:szCs w:val="20"/>
        </w:rPr>
        <w:t xml:space="preserve">, where 2-compartment models with nonlinear clearance components have been shown to capture the characteristic biphasic PK of anti-PD-1 antibodies, with near-linear kinetics at and above receptor-saturating doses.</w:t>
      </w:r>
    </w:p>
    <w:p>
      <w:pPr>
        <w:spacing w:before="80" w:after="80"/>
      </w:pPr>
    </w:p>
    <w:p>
      <w:pPr>
        <w:pStyle w:val="Heading1"/>
        <w:pBdr>
          <w:bottom w:val="single" w:color="2E6DA4" w:sz="8" w:space="1"/>
        </w:pBdr>
        <w:spacing w:before="300" w:after="120"/>
      </w:pPr>
      <w:r>
        <w:rPr>
          <w:rFonts w:ascii="Arial" w:cs="Arial" w:eastAsia="Arial" w:hAnsi="Arial"/>
          <w:b/>
          <w:bCs/>
          <w:color w:val="1A3A5C"/>
          <w:sz w:val="28"/>
          <w:szCs w:val="28"/>
        </w:rPr>
        <w:t xml:space="preserve">2. Cynomolgus Monkey PK Model</w:t>
      </w:r>
    </w:p>
    <w:p>
      <w:pPr>
        <w:pStyle w:val="Heading2"/>
        <w:spacing w:before="200" w:after="100"/>
      </w:pPr>
      <w:r>
        <w:rPr>
          <w:rFonts w:ascii="Arial" w:cs="Arial" w:eastAsia="Arial" w:hAnsi="Arial"/>
          <w:b/>
          <w:bCs/>
          <w:color w:val="2E6DA4"/>
          <w:sz w:val="22"/>
          <w:szCs w:val="22"/>
        </w:rPr>
        <w:t xml:space="preserve">2.1 Model Structure and Equations</w:t>
      </w:r>
    </w:p>
    <w:p>
      <w:pPr>
        <w:spacing w:before="60" w:after="60"/>
      </w:pPr>
      <w:r>
        <w:rPr>
          <w:rFonts w:ascii="Arial" w:cs="Arial" w:eastAsia="Arial" w:hAnsi="Arial"/>
          <w:sz w:val="20"/>
          <w:szCs w:val="20"/>
        </w:rPr>
        <w:t xml:space="preserve">Model: 2-compartment, IV bolus input (60-min infusion modeled as zero-order input rate = Dose/1h). Elimination: parallel linear clearance (CL, representing FcRn-dependent nonspecific elimination) and Michaelis-Menten term (representing PD-1 TMDD at low concentrations). Software: NONMEM v7.5.1 (ICON PLC); R v4.3 (xpose4 for diagnostics; vpc package for visual predictive checks).</w:t>
      </w:r>
    </w:p>
    <w:p>
      <w:pPr>
        <w:spacing w:before="80" w:after="80"/>
      </w:pPr>
    </w:p>
    <w:p>
      <w:pPr>
        <w:spacing w:before="60" w:after="60"/>
      </w:pPr>
      <w:r>
        <w:rPr>
          <w:rFonts w:ascii="Arial" w:cs="Arial" w:eastAsia="Arial" w:hAnsi="Arial"/>
          <w:b/>
          <w:bCs/>
          <w:sz w:val="20"/>
          <w:szCs w:val="20"/>
        </w:rPr>
        <w:t xml:space="preserve">Differential equations:</w:t>
      </w:r>
    </w:p>
    <w:p>
      <w:pPr>
        <w:spacing w:before="60" w:after="60"/>
      </w:pPr>
      <w:r>
        <w:rPr>
          <w:rFonts w:ascii="Arial" w:cs="Arial" w:eastAsia="Arial" w:hAnsi="Arial"/>
          <w:sz w:val="20"/>
          <w:szCs w:val="20"/>
        </w:rPr>
        <w:t xml:space="preserve">dC₁/dt = (Input/V₁) - (CL/V₁)·C₁ - (Q/V₁)·C₁ + (Q/V₂)·C₂ - (Vmax·C₁)/(Km + C₁)</w:t>
      </w:r>
    </w:p>
    <w:p>
      <w:pPr>
        <w:spacing w:before="60" w:after="60"/>
      </w:pPr>
      <w:r>
        <w:rPr>
          <w:rFonts w:ascii="Arial" w:cs="Arial" w:eastAsia="Arial" w:hAnsi="Arial"/>
          <w:sz w:val="20"/>
          <w:szCs w:val="20"/>
        </w:rPr>
        <w:t xml:space="preserve">dC₂/dt = (Q/V₁)·C₁ - (Q/V₂)·C₂</w:t>
      </w:r>
    </w:p>
    <w:p>
      <w:pPr>
        <w:spacing w:before="60" w:after="60"/>
      </w:pPr>
      <w:r>
        <w:rPr>
          <w:rFonts w:ascii="Arial" w:cs="Arial" w:eastAsia="Arial" w:hAnsi="Arial"/>
          <w:sz w:val="20"/>
          <w:szCs w:val="20"/>
        </w:rPr>
        <w:t xml:space="preserve">RO(t) = C₁(t) / (C₁(t) + Km_RO)    [Receptor Occupancy equation]</w:t>
      </w:r>
    </w:p>
    <w:p>
      <w:pPr>
        <w:spacing w:before="80" w:after="80"/>
      </w:pPr>
    </w:p>
    <w:p>
      <w:pPr>
        <w:spacing w:before="60" w:after="60"/>
      </w:pPr>
      <w:r>
        <w:rPr>
          <w:rFonts w:ascii="Arial" w:cs="Arial" w:eastAsia="Arial" w:hAnsi="Arial"/>
          <w:sz w:val="20"/>
          <w:szCs w:val="20"/>
        </w:rPr>
        <w:t xml:space="preserve">The MM term with parameters Vmax (maximum target-mediated elimination rate) and Km (concentration at half-maximal TMDD clearance) follows the quasi-steady state approximation of the full TMDD model, as described for anti-CD33 antibodies by Figueroa et al. </w:t>
      </w:r>
      <w:r>
        <w:rPr>
          <w:rFonts w:ascii="Arial" w:cs="Arial" w:eastAsia="Arial" w:hAnsi="Arial"/>
          <w:color w:val="2E6DA4"/>
          <w:sz w:val="16"/>
          <w:szCs w:val="16"/>
          <w:vertAlign w:val="superscript"/>
        </w:rPr>
        <w:t xml:space="preserve">[1]</w:t>
      </w:r>
      <w:r>
        <w:rPr>
          <w:rFonts w:ascii="Arial" w:cs="Arial" w:eastAsia="Arial" w:hAnsi="Arial"/>
          <w:sz w:val="20"/>
          <w:szCs w:val="20"/>
        </w:rPr>
        <w:t xml:space="preserve"> and validated for PD-1 checkpoint inhibitors by Desnoyer et al. </w:t>
      </w:r>
      <w:r>
        <w:rPr>
          <w:rFonts w:ascii="Arial" w:cs="Arial" w:eastAsia="Arial" w:hAnsi="Arial"/>
          <w:color w:val="2E6DA4"/>
          <w:sz w:val="16"/>
          <w:szCs w:val="16"/>
          <w:vertAlign w:val="superscript"/>
        </w:rPr>
        <w:t xml:space="preserve">[3]</w:t>
      </w:r>
      <w:r>
        <w:rPr>
          <w:rFonts w:ascii="Arial" w:cs="Arial" w:eastAsia="Arial" w:hAnsi="Arial"/>
          <w:sz w:val="20"/>
          <w:szCs w:val="20"/>
        </w:rPr>
        <w:t xml:space="preserve">. The Km_RO for receptor occupancy is estimated separately from the Km for TMDD because Km_RO reflects binding affinity to membrane-bound PD-1 on T cells, while Km_TMDD reflects the combination of binding, internalization, and target turnover kinetics.</w:t>
      </w:r>
    </w:p>
    <w:p>
      <w:pPr>
        <w:spacing w:before="80" w:after="80"/>
      </w:pPr>
    </w:p>
    <w:p>
      <w:pPr>
        <w:pStyle w:val="Heading2"/>
        <w:spacing w:before="200" w:after="100"/>
      </w:pPr>
      <w:r>
        <w:rPr>
          <w:rFonts w:ascii="Arial" w:cs="Arial" w:eastAsia="Arial" w:hAnsi="Arial"/>
          <w:b/>
          <w:bCs/>
          <w:color w:val="2E6DA4"/>
          <w:sz w:val="22"/>
          <w:szCs w:val="22"/>
        </w:rPr>
        <w:t xml:space="preserve">2.2 Parameter Estimates — Cynomolgus Monkey (Non-GLP PK Study, n=18)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2640"/>
      </w:tblGrid>
      <w:tr>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4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Estimate</w:t>
            </w:r>
          </w:p>
        </w:tc>
        <w:tc>
          <w:tcPr>
            <w:tcW w:type="dxa" w:w="14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RSE (%)</w:t>
            </w:r>
          </w:p>
        </w:tc>
        <w:tc>
          <w:tcPr>
            <w:tcW w:type="dxa" w:w="14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Units</w:t>
            </w:r>
          </w:p>
        </w:tc>
        <w:tc>
          <w:tcPr>
            <w:tcW w:type="dxa" w:w="26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CL (linear clearance)</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0.296</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8.4%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mL/h/kg</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FcRn-mediated nonspecific CL; consistent with IgG4 class (0.22–0.45 mL/h/kg range [5])</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Vmax (TMDD max rate)</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0.642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18.2%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µg/h/kg</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Target-mediated elimination capacity; estimated from nonlinearity at 1 mg/kg dosing</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Km (TMDD half-max conc.)</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0.382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22.4%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µg/mL</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Km reflects combination of KD, internalization rate, and target turnover — higher than in vitro KD (0.42 nM = 0.061 µg/mL) as expected for TMDD [1,6]</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V₁ (central volume)</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48.2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mL/kg</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~Plasma volume + interstitial; consistent with IgG4 class Vss ~58 mL/kg</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V₂ (peripheral volume)</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38.4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mL/kg</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Peripheral compartment; total Vss = V₁ + V₂ = 86.6 mL/kg</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Q (inter-compartmental CL)</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0.182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16.8%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mL/h/kg</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Distribution clearance; t½α ~6h</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Km_RO (RO EC₅₀)</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0.186</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µg/mL</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Corresponds to ~1.3 nM; ~3× in vitro KD; membrane-bound target affinity lower than soluble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IIV on CL (%CV)</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24.8%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Inter-individual variability; moderate; driven by ADA in repeat-dose study animals</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Residual error (proportional)</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Acceptable for mAb PK modeling; Chi-squared GOF p&gt;0.05</w:t>
            </w:r>
          </w:p>
        </w:tc>
      </w:tr>
    </w:tbl>
    <w:p>
      <w:pPr>
        <w:spacing w:before="50" w:after="50"/>
      </w:pPr>
      <w:r>
        <w:rPr>
          <w:rFonts w:ascii="Arial" w:cs="Arial" w:eastAsia="Arial" w:hAnsi="Arial"/>
          <w:i/>
          <w:iCs/>
          <w:color w:val="555555"/>
          <w:sz w:val="17"/>
          <w:szCs w:val="17"/>
        </w:rPr>
        <w:t xml:space="preserve">Table 2.2. NONMEM 2-compartment TMDD model estimates. RSE = relative standard error. Goodness-of-fit assessed by: OFV (Objective Function Value) improvement vs base model ΔOFV=−48.4 (p&lt;0.001 for TMDD term); observed vs predicted plots (linear regression slope 0.98, R²=0.96); VPC (80% of observations within 80% CI). Model diagnostics consistent with criteria described for PD-1 mAb PK models [3,10].</w:t>
      </w:r>
    </w:p>
    <w:p>
      <w:pPr>
        <w:spacing w:before="80" w:after="80"/>
      </w:pPr>
    </w:p>
    <w:p>
      <w:pPr>
        <w:pStyle w:val="Heading2"/>
        <w:spacing w:before="200" w:after="100"/>
      </w:pPr>
      <w:r>
        <w:rPr>
          <w:rFonts w:ascii="Arial" w:cs="Arial" w:eastAsia="Arial" w:hAnsi="Arial"/>
          <w:b/>
          <w:bCs/>
          <w:color w:val="2E6DA4"/>
          <w:sz w:val="22"/>
          <w:szCs w:val="22"/>
        </w:rPr>
        <w:t xml:space="preserve">2.3 Model Validation: Visual Predictive Check (VPC)</w:t>
      </w:r>
    </w:p>
    <w:p>
      <w:pPr>
        <w:spacing w:before="60" w:after="60"/>
      </w:pPr>
      <w:r>
        <w:rPr>
          <w:rFonts w:ascii="Arial" w:cs="Arial" w:eastAsia="Arial" w:hAnsi="Arial"/>
          <w:sz w:val="20"/>
          <w:szCs w:val="20"/>
        </w:rPr>
        <w:t xml:space="preserve">VPC was performed by simulating 1,000 virtual cynomolgus monkey datasets from final model parameters and comparing 10th, 50th, 90th percentiles of simulated data against observed data at each dose level. The model captures dose-nonlinearity at 1 mg/kg (where TMDD contributes ~18% of total CL) and linear behavior at ≥3 mg/kg (TMDD saturated, contributing &lt;5% of CL). This behavior is consistent with published TMDD characterization for PD-1 inhibitors in cynomolgus monkeys where receptor saturation occurs at low nanomolar concentrations corresponding to &lt;1 mg/kg in vivo doses </w:t>
      </w:r>
      <w:r>
        <w:rPr>
          <w:rFonts w:ascii="Arial" w:cs="Arial" w:eastAsia="Arial" w:hAnsi="Arial"/>
          <w:color w:val="2E6DA4"/>
          <w:sz w:val="16"/>
          <w:szCs w:val="16"/>
          <w:vertAlign w:val="superscript"/>
        </w:rPr>
        <w:t xml:space="preserve">[3]</w:t>
      </w:r>
      <w:r>
        <w:rPr>
          <w:rFonts w:ascii="Arial" w:cs="Arial" w:eastAsia="Arial" w:hAnsi="Arial"/>
          <w:sz w:val="20"/>
          <w:szCs w:val="20"/>
        </w:rPr>
        <w:t xml:space="preserve">.</w:t>
      </w:r>
    </w:p>
    <w:p>
      <w:pPr>
        <w:spacing w:before="80" w:after="80"/>
      </w:pPr>
    </w:p>
    <w:p>
      <w:pPr>
        <w:pStyle w:val="Heading1"/>
        <w:pBdr>
          <w:bottom w:val="single" w:color="2E6DA4" w:sz="8" w:space="1"/>
        </w:pBdr>
        <w:spacing w:before="300" w:after="120"/>
      </w:pPr>
      <w:r>
        <w:rPr>
          <w:rFonts w:ascii="Arial" w:cs="Arial" w:eastAsia="Arial" w:hAnsi="Arial"/>
          <w:b/>
          <w:bCs/>
          <w:color w:val="1A3A5C"/>
          <w:sz w:val="28"/>
          <w:szCs w:val="28"/>
        </w:rPr>
        <w:t xml:space="preserve">3. Human PK Prediction</w:t>
      </w:r>
    </w:p>
    <w:p>
      <w:pPr>
        <w:pStyle w:val="Heading2"/>
        <w:spacing w:before="200" w:after="100"/>
      </w:pPr>
      <w:r>
        <w:rPr>
          <w:rFonts w:ascii="Arial" w:cs="Arial" w:eastAsia="Arial" w:hAnsi="Arial"/>
          <w:b/>
          <w:bCs/>
          <w:color w:val="2E6DA4"/>
          <w:sz w:val="22"/>
          <w:szCs w:val="22"/>
        </w:rPr>
        <w:t xml:space="preserve">3.1 Allometric Scaling (AS) Method</w:t>
      </w:r>
    </w:p>
    <w:p>
      <w:pPr>
        <w:spacing w:before="60" w:after="60"/>
      </w:pPr>
      <w:r>
        <w:rPr>
          <w:rFonts w:ascii="Arial" w:cs="Arial" w:eastAsia="Arial" w:hAnsi="Arial"/>
          <w:sz w:val="20"/>
          <w:szCs w:val="20"/>
        </w:rPr>
        <w:t xml:space="preserve">Allometric scaling of CL and Vss from cynomolgus monkey to human uses the standard power model with body weight exponents: CL_human = CL_monkey × (BW_human/BW_monkey)^0.85 and Vss_human = Vss_monkey × (BW_human/BW_monkey)^1.0, as recommended for mAb PK prediction </w:t>
      </w:r>
      <w:r>
        <w:rPr>
          <w:rFonts w:ascii="Arial" w:cs="Arial" w:eastAsia="Arial" w:hAnsi="Arial"/>
          <w:color w:val="2E6DA4"/>
          <w:sz w:val="16"/>
          <w:szCs w:val="16"/>
          <w:vertAlign w:val="superscript"/>
        </w:rPr>
        <w:t xml:space="preserve">[4]</w:t>
      </w:r>
      <w:r>
        <w:rPr>
          <w:rFonts w:ascii="Arial" w:cs="Arial" w:eastAsia="Arial" w:hAnsi="Arial"/>
          <w:sz w:val="20"/>
          <w:szCs w:val="20"/>
        </w:rPr>
        <w:t xml:space="preserve">, </w:t>
      </w:r>
      <w:r>
        <w:rPr>
          <w:rFonts w:ascii="Arial" w:cs="Arial" w:eastAsia="Arial" w:hAnsi="Arial"/>
          <w:color w:val="2E6DA4"/>
          <w:sz w:val="16"/>
          <w:szCs w:val="16"/>
          <w:vertAlign w:val="superscript"/>
        </w:rPr>
        <w:t xml:space="preserve">[5]</w:t>
      </w:r>
      <w:r>
        <w:rPr>
          <w:rFonts w:ascii="Arial" w:cs="Arial" w:eastAsia="Arial" w:hAnsi="Arial"/>
          <w:sz w:val="20"/>
          <w:szCs w:val="20"/>
        </w:rPr>
        <w:t xml:space="preserve">. FcRn KD correction factor of 2× applied (human FcRn KD ~2× higher than cyno at pH 6.0, predicting slightly longer human t½) </w:t>
      </w:r>
      <w:r>
        <w:rPr>
          <w:rFonts w:ascii="Arial" w:cs="Arial" w:eastAsia="Arial" w:hAnsi="Arial"/>
          <w:color w:val="2E6DA4"/>
          <w:sz w:val="16"/>
          <w:szCs w:val="16"/>
          <w:vertAlign w:val="superscript"/>
        </w:rPr>
        <w:t xml:space="preserve">[4]</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2040"/>
        <w:gridCol w:w="1560"/>
      </w:tblGrid>
      <w:tr>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PK Parameter</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Cyno observed</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Human predicted (AS)</w:t>
            </w:r>
          </w:p>
        </w:tc>
        <w:tc>
          <w:tcPr>
            <w:tcW w:type="dxa" w:w="20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Human observed (Phase 1) [validation]</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Pred/Obs ratio</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CL (mL/h/kg)</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0.296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0.198</w:t>
            </w:r>
          </w:p>
        </w:tc>
        <w:tc>
          <w:tcPr>
            <w:tcW w:type="dxa" w:w="20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0.210 ± 0.048</w:t>
            </w:r>
          </w:p>
        </w:tc>
        <w:tc>
          <w:tcPr>
            <w:tcW w:type="dxa" w:w="1560"/>
            <w:tcBorders>
              <w:top w:val="single" w:color="BFBFBF" w:sz="1"/>
              <w:left w:val="single" w:color="BFBFBF" w:sz="1"/>
              <w:bottom w:val="single" w:color="BFBFBF" w:sz="1"/>
              <w:right w:val="single" w:color="BFBFBF" w:sz="1"/>
            </w:tcBorders>
            <w:shd w:fill="CCFFDD" w:val="clear"/>
            <w:tcMar>
              <w:top w:type="dxa" w:w="70"/>
              <w:left w:type="dxa" w:w="120"/>
              <w:bottom w:type="dxa" w:w="70"/>
              <w:right w:type="dxa" w:w="120"/>
            </w:tcMar>
          </w:tcPr>
          <w:p>
            <w:r>
              <w:rPr>
                <w:rFonts w:ascii="Arial" w:cs="Arial" w:eastAsia="Arial" w:hAnsi="Arial"/>
                <w:b/>
                <w:bCs/>
                <w:color w:val="1A5C2A"/>
                <w:sz w:val="18"/>
                <w:szCs w:val="18"/>
              </w:rPr>
              <w:t xml:space="preserve">0.94 (within 2-fold)</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Vss (mL/kg)</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86.6</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86.6 (exponent 1.0)</w:t>
            </w:r>
          </w:p>
        </w:tc>
        <w:tc>
          <w:tcPr>
            <w:tcW w:type="dxa" w:w="20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82.4 ± 14.8</w:t>
            </w:r>
          </w:p>
        </w:tc>
        <w:tc>
          <w:tcPr>
            <w:tcW w:type="dxa" w:w="1560"/>
            <w:tcBorders>
              <w:top w:val="single" w:color="BFBFBF" w:sz="1"/>
              <w:left w:val="single" w:color="BFBFBF" w:sz="1"/>
              <w:bottom w:val="single" w:color="BFBFBF" w:sz="1"/>
              <w:right w:val="single" w:color="BFBFBF" w:sz="1"/>
            </w:tcBorders>
            <w:shd w:fill="CCFFDD" w:val="clear"/>
            <w:tcMar>
              <w:top w:type="dxa" w:w="70"/>
              <w:left w:type="dxa" w:w="120"/>
              <w:bottom w:type="dxa" w:w="70"/>
              <w:right w:type="dxa" w:w="120"/>
            </w:tcMar>
          </w:tcPr>
          <w:p>
            <w:r>
              <w:rPr>
                <w:rFonts w:ascii="Arial" w:cs="Arial" w:eastAsia="Arial" w:hAnsi="Arial"/>
                <w:b/>
                <w:bCs/>
                <w:color w:val="1A5C2A"/>
                <w:sz w:val="18"/>
                <w:szCs w:val="18"/>
              </w:rPr>
              <w:t xml:space="preserve">1.05 (within 2-fold)</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t½ terminal (days)</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20.2 ± 2.4</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23.8</w:t>
            </w:r>
          </w:p>
        </w:tc>
        <w:tc>
          <w:tcPr>
            <w:tcW w:type="dxa" w:w="20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22.3 ± 4.1 (C1, 400 mg)</w:t>
            </w:r>
          </w:p>
        </w:tc>
        <w:tc>
          <w:tcPr>
            <w:tcW w:type="dxa" w:w="1560"/>
            <w:tcBorders>
              <w:top w:val="single" w:color="BFBFBF" w:sz="1"/>
              <w:left w:val="single" w:color="BFBFBF" w:sz="1"/>
              <w:bottom w:val="single" w:color="BFBFBF" w:sz="1"/>
              <w:right w:val="single" w:color="BFBFBF" w:sz="1"/>
            </w:tcBorders>
            <w:shd w:fill="CCFFDD" w:val="clear"/>
            <w:tcMar>
              <w:top w:type="dxa" w:w="70"/>
              <w:left w:type="dxa" w:w="120"/>
              <w:bottom w:type="dxa" w:w="70"/>
              <w:right w:type="dxa" w:w="120"/>
            </w:tcMar>
          </w:tcPr>
          <w:p>
            <w:r>
              <w:rPr>
                <w:rFonts w:ascii="Arial" w:cs="Arial" w:eastAsia="Arial" w:hAnsi="Arial"/>
                <w:b/>
                <w:bCs/>
                <w:color w:val="1A5C2A"/>
                <w:sz w:val="18"/>
                <w:szCs w:val="18"/>
              </w:rPr>
              <w:t xml:space="preserve">1.07 (within 2-fold)</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Cmax at 400 mg flat (µg/mL)</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N/A (not 400 mg dose)</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98.4 (simulated)</w:t>
            </w:r>
          </w:p>
        </w:tc>
        <w:tc>
          <w:tcPr>
            <w:tcW w:type="dxa" w:w="20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98.4 ± 14.2 (observed Ph1)</w:t>
            </w:r>
          </w:p>
        </w:tc>
        <w:tc>
          <w:tcPr>
            <w:tcW w:type="dxa" w:w="1560"/>
            <w:tcBorders>
              <w:top w:val="single" w:color="BFBFBF" w:sz="1"/>
              <w:left w:val="single" w:color="BFBFBF" w:sz="1"/>
              <w:bottom w:val="single" w:color="BFBFBF" w:sz="1"/>
              <w:right w:val="single" w:color="BFBFBF" w:sz="1"/>
            </w:tcBorders>
            <w:shd w:fill="CCFFDD" w:val="clear"/>
            <w:tcMar>
              <w:top w:type="dxa" w:w="70"/>
              <w:left w:type="dxa" w:w="120"/>
              <w:bottom w:type="dxa" w:w="70"/>
              <w:right w:type="dxa" w:w="120"/>
            </w:tcMar>
          </w:tcPr>
          <w:p>
            <w:r>
              <w:rPr>
                <w:rFonts w:ascii="Arial" w:cs="Arial" w:eastAsia="Arial" w:hAnsi="Arial"/>
                <w:b/>
                <w:bCs/>
                <w:color w:val="1A5C2A"/>
                <w:sz w:val="18"/>
                <w:szCs w:val="18"/>
              </w:rPr>
              <w:t xml:space="preserve">1.00 (exact)</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AUC₀₋₂₁d at 400 mg (µg·h/mL)</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N/A</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14,720 (simulated)</w:t>
            </w:r>
          </w:p>
        </w:tc>
        <w:tc>
          <w:tcPr>
            <w:tcW w:type="dxa" w:w="20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14,820 ± 2,340 (observed Ph1)</w:t>
            </w:r>
          </w:p>
        </w:tc>
        <w:tc>
          <w:tcPr>
            <w:tcW w:type="dxa" w:w="1560"/>
            <w:tcBorders>
              <w:top w:val="single" w:color="BFBFBF" w:sz="1"/>
              <w:left w:val="single" w:color="BFBFBF" w:sz="1"/>
              <w:bottom w:val="single" w:color="BFBFBF" w:sz="1"/>
              <w:right w:val="single" w:color="BFBFBF" w:sz="1"/>
            </w:tcBorders>
            <w:shd w:fill="CCFFDD" w:val="clear"/>
            <w:tcMar>
              <w:top w:type="dxa" w:w="70"/>
              <w:left w:type="dxa" w:w="120"/>
              <w:bottom w:type="dxa" w:w="70"/>
              <w:right w:type="dxa" w:w="120"/>
            </w:tcMar>
          </w:tcPr>
          <w:p>
            <w:r>
              <w:rPr>
                <w:rFonts w:ascii="Arial" w:cs="Arial" w:eastAsia="Arial" w:hAnsi="Arial"/>
                <w:b/>
                <w:bCs/>
                <w:color w:val="1A5C2A"/>
                <w:sz w:val="18"/>
                <w:szCs w:val="18"/>
              </w:rPr>
              <w:t xml:space="preserve">0.99 (within 2-fold)</w:t>
            </w:r>
          </w:p>
        </w:tc>
      </w:tr>
    </w:tbl>
    <w:p>
      <w:pPr>
        <w:spacing w:before="50" w:after="50"/>
      </w:pPr>
      <w:r>
        <w:rPr>
          <w:rFonts w:ascii="Arial" w:cs="Arial" w:eastAsia="Arial" w:hAnsi="Arial"/>
          <w:i/>
          <w:iCs/>
          <w:color w:val="555555"/>
          <w:sz w:val="17"/>
          <w:szCs w:val="17"/>
        </w:rPr>
        <w:t xml:space="preserve">Table 3.1. Allometric scaling predictions vs Phase 1 observed data (n=18 patients, MOS-CRC-101). All predictions within 2-fold of observed values — excellent translational accuracy. Chen et al. 2024 [4] demonstrated comparable prediction accuracy for 6 PD-1/PD-L1 antibodies using AS with exponents 0.85 (CL) and 1.0 (V). Pred/Obs within 2-fold meets FDA expectations for allometric PK prediction (FDA PopPK Guidance 2022).</w:t>
      </w:r>
    </w:p>
    <w:p>
      <w:pPr>
        <w:spacing w:before="80" w:after="80"/>
      </w:pPr>
    </w:p>
    <w:p>
      <w:pPr>
        <w:pStyle w:val="Heading1"/>
        <w:pBdr>
          <w:bottom w:val="single" w:color="2E6DA4" w:sz="8" w:space="1"/>
        </w:pBdr>
        <w:spacing w:before="300" w:after="120"/>
      </w:pPr>
      <w:r>
        <w:rPr>
          <w:rFonts w:ascii="Arial" w:cs="Arial" w:eastAsia="Arial" w:hAnsi="Arial"/>
          <w:b/>
          <w:bCs/>
          <w:color w:val="1A3A5C"/>
          <w:sz w:val="28"/>
          <w:szCs w:val="28"/>
        </w:rPr>
        <w:t xml:space="preserve">4. Exposure-Response (E-R) Model</w:t>
      </w:r>
    </w:p>
    <w:p>
      <w:pPr>
        <w:pStyle w:val="Heading2"/>
        <w:spacing w:before="200" w:after="100"/>
      </w:pPr>
      <w:r>
        <w:rPr>
          <w:rFonts w:ascii="Arial" w:cs="Arial" w:eastAsia="Arial" w:hAnsi="Arial"/>
          <w:b/>
          <w:bCs/>
          <w:color w:val="2E6DA4"/>
          <w:sz w:val="22"/>
          <w:szCs w:val="22"/>
        </w:rPr>
        <w:t xml:space="preserve">4.1 Sigmoidal Emax Model: IFN-γ vs AUC</w:t>
      </w:r>
    </w:p>
    <w:p>
      <w:pPr>
        <w:spacing w:before="60" w:after="60"/>
      </w:pPr>
      <w:r>
        <w:rPr>
          <w:rFonts w:ascii="Arial" w:cs="Arial" w:eastAsia="Arial" w:hAnsi="Arial"/>
          <w:sz w:val="20"/>
          <w:szCs w:val="20"/>
        </w:rPr>
        <w:t xml:space="preserve">An E-R model linking Cervimab AUC (AUC₀₋₂₁d at Cycle 1) to pharmacodynamic biomarker response (serum IFN-γ as primary PD readout; ORR as efficacy endpoint) was developed from Phase 1/2a pooled data (N=146 patients). This approach follows the E-R modeling framework used for nivolumab </w:t>
      </w:r>
      <w:r>
        <w:rPr>
          <w:rFonts w:ascii="Arial" w:cs="Arial" w:eastAsia="Arial" w:hAnsi="Arial"/>
          <w:color w:val="2E6DA4"/>
          <w:sz w:val="16"/>
          <w:szCs w:val="16"/>
          <w:vertAlign w:val="superscript"/>
        </w:rPr>
        <w:t xml:space="preserve">[2]</w:t>
      </w:r>
      <w:r>
        <w:rPr>
          <w:rFonts w:ascii="Arial" w:cs="Arial" w:eastAsia="Arial" w:hAnsi="Arial"/>
          <w:sz w:val="20"/>
          <w:szCs w:val="20"/>
        </w:rPr>
        <w:t xml:space="preserve"> and toripalimab </w:t>
      </w:r>
      <w:r>
        <w:rPr>
          <w:rFonts w:ascii="Arial" w:cs="Arial" w:eastAsia="Arial" w:hAnsi="Arial"/>
          <w:color w:val="2E6DA4"/>
          <w:sz w:val="16"/>
          <w:szCs w:val="16"/>
          <w:vertAlign w:val="superscript"/>
        </w:rPr>
        <w:t xml:space="preserve">[7]</w:t>
      </w:r>
      <w:r>
        <w:rPr>
          <w:rFonts w:ascii="Arial" w:cs="Arial" w:eastAsia="Arial" w:hAnsi="Arial"/>
          <w:sz w:val="20"/>
          <w:szCs w:val="20"/>
        </w:rPr>
        <w:t xml:space="preserve">, where AUC was identified as the most predictive exposure metric for both efficacy and toxicity.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440"/>
        <w:gridCol w:w="2400"/>
      </w:tblGrid>
      <w:tr>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E-R Parameter</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Estimate</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RSE (%)</w:t>
            </w:r>
          </w:p>
        </w:tc>
        <w:tc>
          <w:tcPr>
            <w:tcW w:type="dxa" w:w="14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Units</w:t>
            </w:r>
          </w:p>
        </w:tc>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Emax (max IFN-γ induction)</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4.18-fold</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fold-increase vs baseline</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Maximum ~4× induction of serum IFN-γ at full receptor saturation</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EC₅₀ (AUC at 50% Emax)</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6,840</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18.2%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µg·h/mL</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~46% of 400 mg Q3W predicted AUC₀₋₂₁d = 14,820 µg·h/mL</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Hill coefficient (γ)</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1.42</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22.8%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γ&gt;1: steep E-R relationship; most patients reach near-Emax at 400 mg Q3W</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ORR-AUC relationship</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Plateau above Q3 (&gt;14,000 µg·h/mL)</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 meaningful incremental ORR benefit above AUC Q3 — supports 400 mg flat dose as optimal (consistent with dose-optimization guidance [2])</w:t>
            </w:r>
          </w:p>
        </w:tc>
      </w:tr>
    </w:tbl>
    <w:p>
      <w:pPr>
        <w:spacing w:before="50" w:after="50"/>
      </w:pPr>
      <w:r>
        <w:rPr>
          <w:rFonts w:ascii="Arial" w:cs="Arial" w:eastAsia="Arial" w:hAnsi="Arial"/>
          <w:i/>
          <w:iCs/>
          <w:color w:val="555555"/>
          <w:sz w:val="17"/>
          <w:szCs w:val="17"/>
        </w:rPr>
        <w:t xml:space="preserve">Table 4.1. E-R model parameters from Phase 1/2a pooled analysis (N=146). Model: Sigmoid Emax (4PL). AUC Q3 (75th percentile) of predicted Cycle 1 AUC at 400 mg = ~18,400 µg·h/mL. ORR plateau above Q3 AUC is consistent with published E-R analyses for nivolumab [2] and atezolizumab [9], supporting the flat-dose 400 mg Q3W regimen.</w:t>
      </w:r>
    </w:p>
    <w:p>
      <w:pPr>
        <w:spacing w:before="80" w:after="80"/>
      </w:pPr>
    </w:p>
    <w:p>
      <w:pPr>
        <w:pStyle w:val="Heading1"/>
        <w:pBdr>
          <w:bottom w:val="single" w:color="2E6DA4" w:sz="8" w:space="1"/>
        </w:pBdr>
        <w:spacing w:before="300" w:after="120"/>
      </w:pPr>
      <w:r>
        <w:rPr>
          <w:rFonts w:ascii="Arial" w:cs="Arial" w:eastAsia="Arial" w:hAnsi="Arial"/>
          <w:b/>
          <w:bCs/>
          <w:color w:val="1A3A5C"/>
          <w:sz w:val="28"/>
          <w:szCs w:val="28"/>
        </w:rPr>
        <w:t xml:space="preserve">5. Model-Based Dose Selection Simulations</w:t>
      </w:r>
    </w:p>
    <w:p>
      <w:pPr>
        <w:spacing w:before="60" w:after="60"/>
      </w:pPr>
      <w:r>
        <w:rPr>
          <w:rFonts w:ascii="Arial" w:cs="Arial" w:eastAsia="Arial" w:hAnsi="Arial"/>
          <w:sz w:val="20"/>
          <w:szCs w:val="20"/>
        </w:rPr>
        <w:t xml:space="preserve">Monte Carlo simulations (n=1,000 virtual patients; covariate distributions from Phase 1 dataset) were performed to compare Cmin and AUC distributions across candidate dosing regimens. Target: Cmin &gt; 1 µg/mL (&gt;99% PD-1 RO at trough) in ≥90% of patients. This threshold was derived from the Km_RO estimate (0.186 µg/mL) combined with a 5× safety margin to ensure sustained near-complete RO at trough, consistent with the approach used for pembrolizumab dose selection </w:t>
      </w:r>
      <w:r>
        <w:rPr>
          <w:rFonts w:ascii="Arial" w:cs="Arial" w:eastAsia="Arial" w:hAnsi="Arial"/>
          <w:color w:val="2E6DA4"/>
          <w:sz w:val="16"/>
          <w:szCs w:val="16"/>
          <w:vertAlign w:val="superscript"/>
        </w:rPr>
        <w:t xml:space="preserve">[10]</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440"/>
        <w:gridCol w:w="1560"/>
        <w:gridCol w:w="2400"/>
      </w:tblGrid>
      <w:tr>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Regimen</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Cmin Cycle 1 (µg/mL, median [5th–95th])</w:t>
            </w:r>
          </w:p>
        </w:tc>
        <w:tc>
          <w:tcPr>
            <w:tcW w:type="dxa" w:w="14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AUC₀₋₂₁d (µg·h/mL)</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Pts &gt;1 µg/mL Cmin</w:t>
            </w:r>
          </w:p>
        </w:tc>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Selection Rationale</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200 mg flat Q3W</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14.2 [6.8–28.4]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7,410</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98.4%</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Sub-optimal: AUC in Q2 only (~50% Emax); 1.6% pts below Cmin target</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400 mg flat Q3W (SELECTED)</w:t>
            </w:r>
          </w:p>
        </w:tc>
        <w:tc>
          <w:tcPr>
            <w:tcW w:type="dxa" w:w="1560"/>
            <w:tcBorders>
              <w:top w:val="single" w:color="BFBFBF" w:sz="1"/>
              <w:left w:val="single" w:color="BFBFBF" w:sz="1"/>
              <w:bottom w:val="single" w:color="BFBFBF" w:sz="1"/>
              <w:right w:val="single" w:color="BFBFBF" w:sz="1"/>
            </w:tcBorders>
            <w:shd w:fill="CCFFDD" w:val="clear"/>
            <w:tcMar>
              <w:top w:type="dxa" w:w="70"/>
              <w:left w:type="dxa" w:w="120"/>
              <w:bottom w:type="dxa" w:w="70"/>
              <w:right w:type="dxa" w:w="120"/>
            </w:tcMar>
          </w:tcPr>
          <w:p>
            <w:r>
              <w:rPr>
                <w:rFonts w:ascii="Arial" w:cs="Arial" w:eastAsia="Arial" w:hAnsi="Arial"/>
                <w:b/>
                <w:bCs/>
                <w:color w:val="1A5C2A"/>
                <w:sz w:val="18"/>
                <w:szCs w:val="18"/>
              </w:rPr>
              <w:t xml:space="preserve">28.4 [14.2–56.8]</w:t>
            </w:r>
          </w:p>
        </w:tc>
        <w:tc>
          <w:tcPr>
            <w:tcW w:type="dxa" w:w="1440"/>
            <w:tcBorders>
              <w:top w:val="single" w:color="BFBFBF" w:sz="1"/>
              <w:left w:val="single" w:color="BFBFBF" w:sz="1"/>
              <w:bottom w:val="single" w:color="BFBFBF" w:sz="1"/>
              <w:right w:val="single" w:color="BFBFBF" w:sz="1"/>
            </w:tcBorders>
            <w:shd w:fill="CCFFDD" w:val="clear"/>
            <w:tcMar>
              <w:top w:type="dxa" w:w="70"/>
              <w:left w:type="dxa" w:w="120"/>
              <w:bottom w:type="dxa" w:w="70"/>
              <w:right w:type="dxa" w:w="120"/>
            </w:tcMar>
          </w:tcPr>
          <w:p>
            <w:r>
              <w:rPr>
                <w:rFonts w:ascii="Arial" w:cs="Arial" w:eastAsia="Arial" w:hAnsi="Arial"/>
                <w:b/>
                <w:bCs/>
                <w:color w:val="1A5C2A"/>
                <w:sz w:val="18"/>
                <w:szCs w:val="18"/>
              </w:rPr>
              <w:t xml:space="preserve">14,820</w:t>
            </w:r>
          </w:p>
        </w:tc>
        <w:tc>
          <w:tcPr>
            <w:tcW w:type="dxa" w:w="1560"/>
            <w:tcBorders>
              <w:top w:val="single" w:color="BFBFBF" w:sz="1"/>
              <w:left w:val="single" w:color="BFBFBF" w:sz="1"/>
              <w:bottom w:val="single" w:color="BFBFBF" w:sz="1"/>
              <w:right w:val="single" w:color="BFBFBF" w:sz="1"/>
            </w:tcBorders>
            <w:shd w:fill="CCFFDD" w:val="clear"/>
            <w:tcMar>
              <w:top w:type="dxa" w:w="70"/>
              <w:left w:type="dxa" w:w="120"/>
              <w:bottom w:type="dxa" w:w="70"/>
              <w:right w:type="dxa" w:w="120"/>
            </w:tcMar>
          </w:tcPr>
          <w:p>
            <w:r>
              <w:rPr>
                <w:rFonts w:ascii="Arial" w:cs="Arial" w:eastAsia="Arial" w:hAnsi="Arial"/>
                <w:b/>
                <w:bCs/>
                <w:color w:val="1A5C2A"/>
                <w:sz w:val="18"/>
                <w:szCs w:val="18"/>
              </w:rPr>
              <w:t xml:space="preserve">&gt;99.0%</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OPTIMAL: &gt;99% pts above Cmin; AUC in Q3 (near-Emax plateau); consistent with pembrolizumab 200 mg Q3W approach [7,10]</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600 mg flat Q3W</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42.6 [20.8–86.2]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22,240</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&gt;99.9%</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 added efficacy vs 400 mg (AUC beyond Emax plateau); increased irAE risk at higher AUC Q4; not selected</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400 mg flat Q6W</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8.4 [3.2–18.4]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14,820 (same AUC, longer tau)</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92.4%</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7.6% pts below Cmin at trough (unacceptable RO gap); not supported</w:t>
            </w:r>
          </w:p>
        </w:tc>
      </w:tr>
    </w:tbl>
    <w:p>
      <w:pPr>
        <w:spacing w:before="50" w:after="50"/>
      </w:pPr>
      <w:r>
        <w:rPr>
          <w:rFonts w:ascii="Arial" w:cs="Arial" w:eastAsia="Arial" w:hAnsi="Arial"/>
          <w:i/>
          <w:iCs/>
          <w:color w:val="555555"/>
          <w:sz w:val="17"/>
          <w:szCs w:val="17"/>
        </w:rPr>
        <w:t xml:space="preserve">Table 5.1. Dose simulation results. 400 mg flat Q3W selected based on: (1) &gt;99% of patients maintain Cmin &gt;1 µg/mL (&gt;99% PD-1 RO at trough), (2) AUC in the efficacy plateau region (near-Emax), (3) equivalent or superior predicted efficacy vs weight-based dosing (CV of AUC reduced from 38% weight-based to 32% flat dose [consistent with 7]), (4) operational convenience (flat dosing reduces preparation complexity). This is consistent with the regulatory precedent of flat-dose pembrolizumab 200 mg Q3W selected via model-informed drug development [7,10].</w:t>
      </w:r>
    </w:p>
    <w:p>
      <w:pPr>
        <w:spacing w:before="80" w:after="80"/>
      </w:pPr>
    </w:p>
    <w:p>
      <w:pPr>
        <w:pStyle w:val="Heading1"/>
        <w:pBdr>
          <w:bottom w:val="single" w:color="2E6DA4" w:sz="8" w:space="1"/>
        </w:pBdr>
        <w:spacing w:before="300" w:after="120"/>
      </w:pPr>
      <w:r>
        <w:rPr>
          <w:rFonts w:ascii="Arial" w:cs="Arial" w:eastAsia="Arial" w:hAnsi="Arial"/>
          <w:b/>
          <w:bCs/>
          <w:color w:val="1A3A5C"/>
          <w:sz w:val="28"/>
          <w:szCs w:val="28"/>
        </w:rPr>
        <w:t xml:space="preserve">6. References</w:t>
      </w:r>
    </w:p>
    <w:p>
      <w:pPr>
        <w:spacing w:before="40" w:after="40"/>
        <w:ind w:left="360" w:hanging="360"/>
      </w:pPr>
      <w:r>
        <w:rPr>
          <w:rFonts w:ascii="Arial" w:cs="Arial" w:eastAsia="Arial" w:hAnsi="Arial"/>
          <w:b/>
          <w:bCs/>
          <w:color w:val="2E6DA4"/>
          <w:sz w:val="17"/>
          <w:szCs w:val="17"/>
        </w:rPr>
        <w:t xml:space="preserve">1.  </w:t>
      </w:r>
      <w:r>
        <w:rPr>
          <w:rFonts w:ascii="Arial" w:cs="Arial" w:eastAsia="Arial" w:hAnsi="Arial"/>
          <w:color w:val="333333"/>
          <w:sz w:val="17"/>
          <w:szCs w:val="17"/>
        </w:rPr>
        <w:t xml:space="preserve">Figueroa I et al. Modeling of clinical pharmacokinetics of anti-CD33 antibody-drug conjugate in cynomolgus monkeys and humans using a Michaelis-Menten approximation of target-mediated drug disposition. MAbs. 2018;10(6):967–978. doi:10.1080/19420862.2018.1465160</w:t>
      </w:r>
    </w:p>
    <w:p>
      <w:pPr>
        <w:spacing w:before="40" w:after="40"/>
        <w:ind w:left="360" w:hanging="360"/>
      </w:pPr>
      <w:r>
        <w:rPr>
          <w:rFonts w:ascii="Arial" w:cs="Arial" w:eastAsia="Arial" w:hAnsi="Arial"/>
          <w:b/>
          <w:bCs/>
          <w:color w:val="2E6DA4"/>
          <w:sz w:val="17"/>
          <w:szCs w:val="17"/>
        </w:rPr>
        <w:t xml:space="preserve">2.  </w:t>
      </w:r>
      <w:r>
        <w:rPr>
          <w:rFonts w:ascii="Arial" w:cs="Arial" w:eastAsia="Arial" w:hAnsi="Arial"/>
          <w:color w:val="333333"/>
          <w:sz w:val="17"/>
          <w:szCs w:val="17"/>
        </w:rPr>
        <w:t xml:space="preserve">Xu XS et al. Exposure-response relationships for nivolumab in patients with solid tumor types. Clin Cancer Res. 2017;23(16):4793–4802.</w:t>
      </w:r>
    </w:p>
    <w:p>
      <w:pPr>
        <w:spacing w:before="40" w:after="40"/>
        <w:ind w:left="360" w:hanging="360"/>
      </w:pPr>
      <w:r>
        <w:rPr>
          <w:rFonts w:ascii="Arial" w:cs="Arial" w:eastAsia="Arial" w:hAnsi="Arial"/>
          <w:b/>
          <w:bCs/>
          <w:color w:val="2E6DA4"/>
          <w:sz w:val="17"/>
          <w:szCs w:val="17"/>
        </w:rPr>
        <w:t xml:space="preserve">3.  </w:t>
      </w:r>
      <w:r>
        <w:rPr>
          <w:rFonts w:ascii="Arial" w:cs="Arial" w:eastAsia="Arial" w:hAnsi="Arial"/>
          <w:color w:val="333333"/>
          <w:sz w:val="17"/>
          <w:szCs w:val="17"/>
        </w:rPr>
        <w:t xml:space="preserve">Desnoyer A et al. Pharmacokinetic/pharmacodynamic relationship of therapeutic monoclonal antibodies used in oncology: Part 2, immune checkpoint inhibitor antibodies. Eur J Cancer. 2020;128:119–128. doi:10.1016/j.ejca.2020.01.003</w:t>
      </w:r>
    </w:p>
    <w:p>
      <w:pPr>
        <w:spacing w:before="40" w:after="40"/>
        <w:ind w:left="360" w:hanging="360"/>
      </w:pPr>
      <w:r>
        <w:rPr>
          <w:rFonts w:ascii="Arial" w:cs="Arial" w:eastAsia="Arial" w:hAnsi="Arial"/>
          <w:b/>
          <w:bCs/>
          <w:color w:val="2E6DA4"/>
          <w:sz w:val="17"/>
          <w:szCs w:val="17"/>
        </w:rPr>
        <w:t xml:space="preserve">4.  </w:t>
      </w:r>
      <w:r>
        <w:rPr>
          <w:rFonts w:ascii="Arial" w:cs="Arial" w:eastAsia="Arial" w:hAnsi="Arial"/>
          <w:color w:val="333333"/>
          <w:sz w:val="17"/>
          <w:szCs w:val="17"/>
        </w:rPr>
        <w:t xml:space="preserve">Chen W et al. Translate pharmacokinetics of PD-1/PD-L1 monoclonal antibodies from cynomolgus monkey to human. J Pharm Sci. 2024;113(9):2915–2921. doi:10.1016/j.xphs.2024.07.003</w:t>
      </w:r>
    </w:p>
    <w:p>
      <w:pPr>
        <w:spacing w:before="40" w:after="40"/>
        <w:ind w:left="360" w:hanging="360"/>
      </w:pPr>
      <w:r>
        <w:rPr>
          <w:rFonts w:ascii="Arial" w:cs="Arial" w:eastAsia="Arial" w:hAnsi="Arial"/>
          <w:b/>
          <w:bCs/>
          <w:color w:val="2E6DA4"/>
          <w:sz w:val="17"/>
          <w:szCs w:val="17"/>
        </w:rPr>
        <w:t xml:space="preserve">5.  </w:t>
      </w:r>
      <w:r>
        <w:rPr>
          <w:rFonts w:ascii="Arial" w:cs="Arial" w:eastAsia="Arial" w:hAnsi="Arial"/>
          <w:color w:val="333333"/>
          <w:sz w:val="17"/>
          <w:szCs w:val="17"/>
        </w:rPr>
        <w:t xml:space="preserve">Betts A et al. Linear pharmacokinetic parameters for monoclonal antibodies are similar within a species and across different pharmacological targets. MAbs. 2018;10(5):751–764. doi:10.1080/19420862.2018.1462429</w:t>
      </w:r>
    </w:p>
    <w:p>
      <w:pPr>
        <w:spacing w:before="40" w:after="40"/>
        <w:ind w:left="360" w:hanging="360"/>
      </w:pPr>
      <w:r>
        <w:rPr>
          <w:rFonts w:ascii="Arial" w:cs="Arial" w:eastAsia="Arial" w:hAnsi="Arial"/>
          <w:b/>
          <w:bCs/>
          <w:color w:val="2E6DA4"/>
          <w:sz w:val="17"/>
          <w:szCs w:val="17"/>
        </w:rPr>
        <w:t xml:space="preserve">6.  </w:t>
      </w:r>
      <w:r>
        <w:rPr>
          <w:rFonts w:ascii="Arial" w:cs="Arial" w:eastAsia="Arial" w:hAnsi="Arial"/>
          <w:color w:val="333333"/>
          <w:sz w:val="17"/>
          <w:szCs w:val="17"/>
        </w:rPr>
        <w:t xml:space="preserve">Gibiansky L et al. Target-mediated drug disposition model for drugs that bind soluble and membrane-bound targets. J Pharmacokinet Pharmacodyn. 2009;36(4):355–378.</w:t>
      </w:r>
    </w:p>
    <w:p>
      <w:pPr>
        <w:spacing w:before="40" w:after="40"/>
        <w:ind w:left="360" w:hanging="360"/>
      </w:pPr>
      <w:r>
        <w:rPr>
          <w:rFonts w:ascii="Arial" w:cs="Arial" w:eastAsia="Arial" w:hAnsi="Arial"/>
          <w:b/>
          <w:bCs/>
          <w:color w:val="2E6DA4"/>
          <w:sz w:val="17"/>
          <w:szCs w:val="17"/>
        </w:rPr>
        <w:t xml:space="preserve">7.  </w:t>
      </w:r>
      <w:r>
        <w:rPr>
          <w:rFonts w:ascii="Arial" w:cs="Arial" w:eastAsia="Arial" w:hAnsi="Arial"/>
          <w:color w:val="333333"/>
          <w:sz w:val="17"/>
          <w:szCs w:val="17"/>
        </w:rPr>
        <w:t xml:space="preserve">Li L et al. Flat dose regimen of toripalimab based on model-informed drug development approach. Front Pharmacol. 2023;13:1069818.</w:t>
      </w:r>
    </w:p>
    <w:p>
      <w:pPr>
        <w:spacing w:before="40" w:after="40"/>
        <w:ind w:left="360" w:hanging="360"/>
      </w:pPr>
      <w:r>
        <w:rPr>
          <w:rFonts w:ascii="Arial" w:cs="Arial" w:eastAsia="Arial" w:hAnsi="Arial"/>
          <w:b/>
          <w:bCs/>
          <w:color w:val="2E6DA4"/>
          <w:sz w:val="17"/>
          <w:szCs w:val="17"/>
        </w:rPr>
        <w:t xml:space="preserve">8.  </w:t>
      </w:r>
      <w:r>
        <w:rPr>
          <w:rFonts w:ascii="Arial" w:cs="Arial" w:eastAsia="Arial" w:hAnsi="Arial"/>
          <w:color w:val="333333"/>
          <w:sz w:val="17"/>
          <w:szCs w:val="17"/>
        </w:rPr>
        <w:t xml:space="preserve">Zhao Y et al. Model-informed clinical pharmacology profile of a novel fixed-dose combination of nivolumab and relatlimab. Clin Cancer Res. 2024;30(14):3050–3058.</w:t>
      </w:r>
    </w:p>
    <w:p>
      <w:pPr>
        <w:spacing w:before="40" w:after="40"/>
        <w:ind w:left="360" w:hanging="360"/>
      </w:pPr>
      <w:r>
        <w:rPr>
          <w:rFonts w:ascii="Arial" w:cs="Arial" w:eastAsia="Arial" w:hAnsi="Arial"/>
          <w:b/>
          <w:bCs/>
          <w:color w:val="2E6DA4"/>
          <w:sz w:val="17"/>
          <w:szCs w:val="17"/>
        </w:rPr>
        <w:t xml:space="preserve">9.  </w:t>
      </w:r>
      <w:r>
        <w:rPr>
          <w:rFonts w:ascii="Arial" w:cs="Arial" w:eastAsia="Arial" w:hAnsi="Arial"/>
          <w:color w:val="333333"/>
          <w:sz w:val="17"/>
          <w:szCs w:val="17"/>
        </w:rPr>
        <w:t xml:space="preserve">Centanni M et al. Clinical pharmacokinetics and pharmacodynamics of atezolizumab in cancer immunotherapy. Clin Pharmacokinet. 2019;58(5):543–556.</w:t>
      </w:r>
    </w:p>
    <w:p>
      <w:pPr>
        <w:spacing w:before="40" w:after="40"/>
        <w:ind w:left="360" w:hanging="360"/>
      </w:pPr>
      <w:r>
        <w:rPr>
          <w:rFonts w:ascii="Arial" w:cs="Arial" w:eastAsia="Arial" w:hAnsi="Arial"/>
          <w:b/>
          <w:bCs/>
          <w:color w:val="2E6DA4"/>
          <w:sz w:val="17"/>
          <w:szCs w:val="17"/>
        </w:rPr>
        <w:t xml:space="preserve">10.  </w:t>
      </w:r>
      <w:r>
        <w:rPr>
          <w:rFonts w:ascii="Arial" w:cs="Arial" w:eastAsia="Arial" w:hAnsi="Arial"/>
          <w:color w:val="333333"/>
          <w:sz w:val="17"/>
          <w:szCs w:val="17"/>
        </w:rPr>
        <w:t xml:space="preserve">Lindauer A et al. Translational pharmacokinetic/pharmacodynamic modeling of tumor growth inhibition supports dose-range selection of the anti-PD-1 antibody pembrolizumab. CPT Pharmacometrics Syst Pharmacol. 2017;6(1):11–20.</w:t>
      </w:r>
    </w:p>
    <w:p>
      <w:pPr>
        <w:spacing w:before="80" w:after="80"/>
      </w:pPr>
    </w:p>
    <w:p>
      <w:pPr>
        <w:spacing w:before="50" w:after="50"/>
      </w:pPr>
      <w:r>
        <w:rPr>
          <w:rFonts w:ascii="Arial" w:cs="Arial" w:eastAsia="Arial" w:hAnsi="Arial"/>
          <w:i/>
          <w:iCs/>
          <w:color w:val="555555"/>
          <w:sz w:val="17"/>
          <w:szCs w:val="17"/>
        </w:rPr>
        <w:t xml:space="preserve">Prepared by: DMPK / Modeling &amp; Simulation Group, Meridian Oncology Sciences | Software: NONMEM 7.5.1, R 4.3 (xpose4, vpc, ggplot2), MATLAB R2022b | Document: MOS-PKPD-2022-002 v2.8</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pPr>
    <w:r>
      <w:rPr>
        <w:rFonts w:ascii="Arial" w:cs="Arial" w:eastAsia="Arial" w:hAnsi="Arial"/>
        <w:color w:val="888888"/>
        <w:sz w:val="16"/>
        <w:szCs w:val="16"/>
      </w:rPr>
      <w:t xml:space="preserve">MOS-PKPD-2022-002 v2.8  |  Pg </w:t>
    </w:r>
    <w:pgNum/>
    <w:r>
      <w:rPr>
        <w:rFonts w:ascii="Arial" w:cs="Arial" w:eastAsia="Arial" w:hAnsi="Arial"/>
        <w:color w:val="888888"/>
        <w:sz w:val="16"/>
        <w:szCs w:val="16"/>
      </w:rPr>
      <w:t xml:space="preserve">  |  Cervimab PK/PD Program  |  21 CFR 312.23(a)(8)  |  © 2022 Meridian Oncology Sciences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pPr>
    <w:r>
      <w:rPr>
        <w:rFonts w:ascii="Arial" w:cs="Arial" w:eastAsia="Arial" w:hAnsi="Arial"/>
        <w:b/>
        <w:bCs/>
        <w:color w:val="1A3A5C"/>
        <w:sz w:val="16"/>
        <w:szCs w:val="16"/>
      </w:rPr>
      <w:t xml:space="preserve">MERIDIAN ONCOLOGY SCIENCES  |  </w:t>
    </w:r>
    <w:r>
      <w:rPr>
        <w:rFonts w:ascii="Arial" w:cs="Arial" w:eastAsia="Arial" w:hAnsi="Arial"/>
        <w:color w:val="555555"/>
        <w:sz w:val="16"/>
        <w:szCs w:val="16"/>
      </w:rPr>
      <w:t xml:space="preserve">PK/PD Model Report</w:t>
    </w:r>
    <w:r>
      <w:rPr>
        <w:rFonts w:ascii="Arial" w:cs="Arial" w:eastAsia="Arial" w:hAnsi="Arial"/>
        <w:color w:val="888888"/>
        <w:sz w:val="16"/>
        <w:szCs w:val="16"/>
      </w:rPr>
      <w:t xml:space="preserve">  |  PHARMACOLOGY / PK-PD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3A5C"/>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2026-03-16T12:06:33.969Z</dcterms:created>
  <dcterms:modified xsi:type="dcterms:W3CDTF">2026-03-16T12:06:33.969Z</dcterms:modified>
</cp:coreProperties>
</file>

<file path=docProps/custom.xml><?xml version="1.0" encoding="utf-8"?>
<Properties xmlns="http://schemas.openxmlformats.org/officeDocument/2006/custom-properties" xmlns:vt="http://schemas.openxmlformats.org/officeDocument/2006/docPropsVTypes"/>
</file>