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120"/>
        <w:jc w:val="center"/>
      </w:pPr>
      <w:r>
        <w:rPr>
          <w:rFonts w:ascii="Arial" w:cs="Arial" w:eastAsia="Arial" w:hAnsi="Arial"/>
          <w:b/>
          <w:bCs/>
          <w:color w:val="1B3A6B"/>
          <w:sz w:val="28"/>
          <w:szCs w:val="28"/>
        </w:rPr>
        <w:t xml:space="preserve">ONCOBIOLOGICS, INC.</w:t>
      </w:r>
    </w:p>
    <w:p>
      <w:pPr>
        <w:pBdr>
          <w:bottom w:val="single" w:color="1B3A6B" w:sz="12"/>
        </w:pBdr>
        <w:spacing w:before="60" w:after="60"/>
        <w:jc w:val="center"/>
      </w:pPr>
      <w:r>
        <w:rPr>
          <w:rFonts w:ascii="Arial" w:cs="Arial" w:eastAsia="Arial" w:hAnsi="Arial"/>
          <w:b/>
          <w:bCs/>
          <w:color w:val="1B3A6B"/>
          <w:sz w:val="36"/>
          <w:szCs w:val="36"/>
        </w:rPr>
        <w:t xml:space="preserve">CLINICAL OPERATIONS PLAN</w:t>
      </w:r>
    </w:p>
    <w:p>
      <w:pPr>
        <w:spacing w:before="0" w:after="0"/>
      </w:pPr>
      <w:r>
        <w:rPr>
          <w:rFonts w:ascii="Arial" w:cs="Arial" w:eastAsia="Arial" w:hAnsi="Arial"/>
          <w:sz w:val="20"/>
          <w:szCs w:val="20"/>
        </w:rPr>
        <w:t xml:space="preserve"/>
      </w:r>
    </w:p>
    <w:p>
      <w:pPr>
        <w:spacing w:before="120" w:after="80"/>
        <w:jc w:val="center"/>
      </w:pPr>
      <w:r>
        <w:rPr>
          <w:rFonts w:ascii="Arial" w:cs="Arial" w:eastAsia="Arial" w:hAnsi="Arial"/>
          <w:b/>
          <w:bCs/>
          <w:color w:val="2E5BA8"/>
          <w:sz w:val="24"/>
          <w:szCs w:val="24"/>
        </w:rPr>
        <w:t xml:space="preserve">Protocol CERVIMAB-301 — Phase 3</w:t>
      </w:r>
    </w:p>
    <w:p>
      <w:pPr>
        <w:spacing w:before="80" w:after="240"/>
        <w:jc w:val="center"/>
      </w:pPr>
      <w:r>
        <w:rPr>
          <w:rFonts w:ascii="Arial" w:cs="Arial" w:eastAsia="Arial" w:hAnsi="Arial"/>
          <w:i/>
          <w:iCs/>
          <w:color w:val="4A4A4A"/>
          <w:sz w:val="20"/>
          <w:szCs w:val="20"/>
        </w:rPr>
        <w:t xml:space="preserve">A Phase 3, Randomized, Double-Blind, Placebo-Controlled, Multicenter Study
of Cervimab versus FOLFOX-4 + Bevacizumab in dMMR/MSI-H Metastatic Colorectal Cancer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Document Number</w:t>
            </w:r>
          </w:p>
        </w:tc>
        <w:tc>
          <w:tcPr>
            <w:tcW w:type="dxa" w:w="61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COP-CERVIMAB-301-001</w:t>
            </w:r>
          </w:p>
        </w:tc>
      </w:tr>
      <w:tr>
        <w:tc>
          <w:tcPr>
            <w:tcW w:type="dxa" w:w="32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Protocol Number</w:t>
            </w:r>
          </w:p>
        </w:tc>
        <w:tc>
          <w:tcPr>
            <w:tcW w:type="dxa" w:w="61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CERVIMAB-301 v1.0</w:t>
            </w:r>
          </w:p>
        </w:tc>
      </w:tr>
      <w:tr>
        <w:tc>
          <w:tcPr>
            <w:tcW w:type="dxa" w:w="3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Indication</w:t>
            </w:r>
          </w:p>
        </w:tc>
        <w:tc>
          <w:tcPr>
            <w:tcW w:type="dxa" w:w="61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dMMR/MSI-H Metastatic Colorectal Cancer (1L)</w:t>
            </w:r>
          </w:p>
        </w:tc>
      </w:tr>
      <w:tr>
        <w:tc>
          <w:tcPr>
            <w:tcW w:type="dxa" w:w="32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Investigational Product</w:t>
            </w:r>
          </w:p>
        </w:tc>
        <w:tc>
          <w:tcPr>
            <w:tcW w:type="dxa" w:w="61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Cervimab (Anti-PD-1 IgG4 mAb), 400 mg IV Q3W</w:t>
            </w:r>
          </w:p>
        </w:tc>
      </w:tr>
      <w:tr>
        <w:tc>
          <w:tcPr>
            <w:tcW w:type="dxa" w:w="3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Study Phase</w:t>
            </w:r>
          </w:p>
        </w:tc>
        <w:tc>
          <w:tcPr>
            <w:tcW w:type="dxa" w:w="61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Phase 3 — Pivotal, Registration-Enabling</w:t>
            </w:r>
          </w:p>
        </w:tc>
      </w:tr>
      <w:tr>
        <w:tc>
          <w:tcPr>
            <w:tcW w:type="dxa" w:w="32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Target Enrollment</w:t>
            </w:r>
          </w:p>
        </w:tc>
        <w:tc>
          <w:tcPr>
            <w:tcW w:type="dxa" w:w="61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500 patients (planned; 480 powered)</w:t>
            </w:r>
          </w:p>
        </w:tc>
      </w:tr>
      <w:tr>
        <w:tc>
          <w:tcPr>
            <w:tcW w:type="dxa" w:w="3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Target Sites</w:t>
            </w:r>
          </w:p>
        </w:tc>
        <w:tc>
          <w:tcPr>
            <w:tcW w:type="dxa" w:w="61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200 sites across 20 countries</w:t>
            </w:r>
          </w:p>
        </w:tc>
      </w:tr>
      <w:tr>
        <w:tc>
          <w:tcPr>
            <w:tcW w:type="dxa" w:w="32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Document Version</w:t>
            </w:r>
          </w:p>
        </w:tc>
        <w:tc>
          <w:tcPr>
            <w:tcW w:type="dxa" w:w="61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1.0 — FINAL</w:t>
            </w:r>
          </w:p>
        </w:tc>
      </w:tr>
      <w:tr>
        <w:tc>
          <w:tcPr>
            <w:tcW w:type="dxa" w:w="3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Effective Date</w:t>
            </w:r>
          </w:p>
        </w:tc>
        <w:tc>
          <w:tcPr>
            <w:tcW w:type="dxa" w:w="61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16 March 2026</w:t>
            </w:r>
          </w:p>
        </w:tc>
      </w:tr>
      <w:tr>
        <w:tc>
          <w:tcPr>
            <w:tcW w:type="dxa" w:w="32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Author</w:t>
            </w:r>
          </w:p>
        </w:tc>
        <w:tc>
          <w:tcPr>
            <w:tcW w:type="dxa" w:w="61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Clinical Operations, Oncobiologics Inc.</w:t>
            </w:r>
          </w:p>
        </w:tc>
      </w:tr>
      <w:tr>
        <w:tc>
          <w:tcPr>
            <w:tcW w:type="dxa" w:w="3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Status</w:t>
            </w:r>
          </w:p>
        </w:tc>
        <w:tc>
          <w:tcPr>
            <w:tcW w:type="dxa" w:w="61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APPROVED</w:t>
            </w:r>
          </w:p>
        </w:tc>
      </w:tr>
    </w:tbl>
    <w:p>
      <w:pPr>
        <w:spacing w:before="0" w:after="0"/>
      </w:pPr>
      <w:r>
        <w:rPr>
          <w:rFonts w:ascii="Arial" w:cs="Arial" w:eastAsia="Arial" w:hAnsi="Arial"/>
          <w:sz w:val="20"/>
          <w:szCs w:val="20"/>
        </w:rPr>
        <w:t xml:space="preserve"/>
      </w:r>
    </w:p>
    <w:p>
      <w:pPr>
        <w:spacing w:before="240" w:after="0"/>
        <w:jc w:val="center"/>
      </w:pPr>
      <w:r>
        <w:rPr>
          <w:rFonts w:ascii="Arial" w:cs="Arial" w:eastAsia="Arial" w:hAnsi="Arial"/>
          <w:i/>
          <w:iCs/>
          <w:color w:val="4A4A4A"/>
          <w:sz w:val="16"/>
          <w:szCs w:val="16"/>
        </w:rPr>
        <w:t xml:space="preserve">This document is CONFIDENTIAL and the property of Oncobiologics, Inc. Distribution is restricted to authorized personnel only.</w:t>
      </w:r>
    </w:p>
    <w:p>
      <w:r>
        <w:br w:type="page"/>
      </w:r>
    </w:p>
    <w:p>
      <w:pPr>
        <w:pStyle w:val="Heading1"/>
        <w:pBdr>
          <w:bottom w:val="single" w:color="1B3A6B" w:sz="8"/>
        </w:pBdr>
        <w:spacing w:before="360" w:after="180"/>
      </w:pPr>
      <w:r>
        <w:rPr>
          <w:rFonts w:ascii="Arial" w:cs="Arial" w:eastAsia="Arial" w:hAnsi="Arial"/>
          <w:b/>
          <w:bCs/>
          <w:color w:val="1B3A6B"/>
          <w:sz w:val="28"/>
          <w:szCs w:val="28"/>
        </w:rPr>
        <w:t xml:space="preserve">TABLE OF CONTENTS</w:t>
      </w:r>
    </w:p>
    <w:p>
      <w:pPr>
        <w:spacing w:before="0" w:after="0"/>
      </w:pPr>
      <w:r>
        <w:rPr>
          <w:rFonts w:ascii="Arial" w:cs="Arial" w:eastAsia="Arial" w:hAnsi="Arial"/>
          <w:sz w:val="20"/>
          <w:szCs w:val="20"/>
        </w:rPr>
        <w:t xml:space="preserve"/>
      </w:r>
    </w:p>
    <w:p>
      <w:pPr>
        <w:tabs>
          <w:tab w:val="right" w:pos="9160" w:leader="dot"/>
        </w:tabs>
        <w:spacing w:before="40" w:after="40"/>
        <w:ind w:left="0"/>
      </w:pPr>
      <w:r>
        <w:rPr>
          <w:rFonts w:ascii="Arial" w:cs="Arial" w:eastAsia="Arial" w:hAnsi="Arial"/>
          <w:sz w:val="20"/>
          <w:szCs w:val="20"/>
        </w:rPr>
        <w:t xml:space="preserve">1.  Executive Summary</w:t>
      </w:r>
      <w:r>
        <w:rPr>
          <w:rFonts w:ascii="Arial" w:cs="Arial" w:eastAsia="Arial" w:hAnsi="Arial"/>
          <w:color w:val="2E5BA8"/>
          <w:sz w:val="20"/>
          <w:szCs w:val="20"/>
        </w:rPr>
        <w:t xml:space="preserve">	3</w:t>
      </w:r>
    </w:p>
    <w:p>
      <w:pPr>
        <w:tabs>
          <w:tab w:val="right" w:pos="9160" w:leader="dot"/>
        </w:tabs>
        <w:spacing w:before="40" w:after="40"/>
        <w:ind w:left="0"/>
      </w:pPr>
      <w:r>
        <w:rPr>
          <w:rFonts w:ascii="Arial" w:cs="Arial" w:eastAsia="Arial" w:hAnsi="Arial"/>
          <w:sz w:val="20"/>
          <w:szCs w:val="20"/>
        </w:rPr>
        <w:t xml:space="preserve">2.  Study Overview &amp; Protocol Synopsis</w:t>
      </w:r>
      <w:r>
        <w:rPr>
          <w:rFonts w:ascii="Arial" w:cs="Arial" w:eastAsia="Arial" w:hAnsi="Arial"/>
          <w:color w:val="2E5BA8"/>
          <w:sz w:val="20"/>
          <w:szCs w:val="20"/>
        </w:rPr>
        <w:t xml:space="preserve">	4</w:t>
      </w:r>
    </w:p>
    <w:p>
      <w:pPr>
        <w:tabs>
          <w:tab w:val="right" w:pos="9160" w:leader="dot"/>
        </w:tabs>
        <w:spacing w:before="40" w:after="40"/>
        <w:ind w:left="0"/>
      </w:pPr>
      <w:r>
        <w:rPr>
          <w:rFonts w:ascii="Arial" w:cs="Arial" w:eastAsia="Arial" w:hAnsi="Arial"/>
          <w:sz w:val="20"/>
          <w:szCs w:val="20"/>
        </w:rPr>
        <w:t xml:space="preserve">3.  Regulatory Strategy</w:t>
      </w:r>
      <w:r>
        <w:rPr>
          <w:rFonts w:ascii="Arial" w:cs="Arial" w:eastAsia="Arial" w:hAnsi="Arial"/>
          <w:color w:val="2E5BA8"/>
          <w:sz w:val="20"/>
          <w:szCs w:val="20"/>
        </w:rPr>
        <w:t xml:space="preserve">	5</w:t>
      </w:r>
    </w:p>
    <w:p>
      <w:pPr>
        <w:tabs>
          <w:tab w:val="right" w:pos="9160" w:leader="dot"/>
        </w:tabs>
        <w:spacing w:before="40" w:after="40"/>
        <w:ind w:left="0"/>
      </w:pPr>
      <w:r>
        <w:rPr>
          <w:rFonts w:ascii="Arial" w:cs="Arial" w:eastAsia="Arial" w:hAnsi="Arial"/>
          <w:sz w:val="20"/>
          <w:szCs w:val="20"/>
        </w:rPr>
        <w:t xml:space="preserve">4.  Competitive Landscape</w:t>
      </w:r>
      <w:r>
        <w:rPr>
          <w:rFonts w:ascii="Arial" w:cs="Arial" w:eastAsia="Arial" w:hAnsi="Arial"/>
          <w:color w:val="2E5BA8"/>
          <w:sz w:val="20"/>
          <w:szCs w:val="20"/>
        </w:rPr>
        <w:t xml:space="preserve">	8</w:t>
      </w:r>
    </w:p>
    <w:p>
      <w:pPr>
        <w:tabs>
          <w:tab w:val="right" w:pos="9160" w:leader="dot"/>
        </w:tabs>
        <w:spacing w:before="40" w:after="40"/>
        <w:ind w:left="0"/>
      </w:pPr>
      <w:r>
        <w:rPr>
          <w:rFonts w:ascii="Arial" w:cs="Arial" w:eastAsia="Arial" w:hAnsi="Arial"/>
          <w:sz w:val="20"/>
          <w:szCs w:val="20"/>
        </w:rPr>
        <w:t xml:space="preserve">5.  Country Selection Strategy</w:t>
      </w:r>
      <w:r>
        <w:rPr>
          <w:rFonts w:ascii="Arial" w:cs="Arial" w:eastAsia="Arial" w:hAnsi="Arial"/>
          <w:color w:val="2E5BA8"/>
          <w:sz w:val="20"/>
          <w:szCs w:val="20"/>
        </w:rPr>
        <w:t xml:space="preserve">	11</w:t>
      </w:r>
    </w:p>
    <w:p>
      <w:pPr>
        <w:tabs>
          <w:tab w:val="right" w:pos="9160" w:leader="dot"/>
        </w:tabs>
        <w:spacing w:before="40" w:after="40"/>
        <w:ind w:left="0"/>
      </w:pPr>
      <w:r>
        <w:rPr>
          <w:rFonts w:ascii="Arial" w:cs="Arial" w:eastAsia="Arial" w:hAnsi="Arial"/>
          <w:sz w:val="20"/>
          <w:szCs w:val="20"/>
        </w:rPr>
        <w:t xml:space="preserve">6.  Site Selection Strategy</w:t>
      </w:r>
      <w:r>
        <w:rPr>
          <w:rFonts w:ascii="Arial" w:cs="Arial" w:eastAsia="Arial" w:hAnsi="Arial"/>
          <w:color w:val="2E5BA8"/>
          <w:sz w:val="20"/>
          <w:szCs w:val="20"/>
        </w:rPr>
        <w:t xml:space="preserve">	14</w:t>
      </w:r>
    </w:p>
    <w:p>
      <w:pPr>
        <w:tabs>
          <w:tab w:val="right" w:pos="9160" w:leader="dot"/>
        </w:tabs>
        <w:spacing w:before="40" w:after="40"/>
        <w:ind w:left="0"/>
      </w:pPr>
      <w:r>
        <w:rPr>
          <w:rFonts w:ascii="Arial" w:cs="Arial" w:eastAsia="Arial" w:hAnsi="Arial"/>
          <w:sz w:val="20"/>
          <w:szCs w:val="20"/>
        </w:rPr>
        <w:t xml:space="preserve">7.  Enrollment Forecasting &amp; Scenario Modeling</w:t>
      </w:r>
      <w:r>
        <w:rPr>
          <w:rFonts w:ascii="Arial" w:cs="Arial" w:eastAsia="Arial" w:hAnsi="Arial"/>
          <w:color w:val="2E5BA8"/>
          <w:sz w:val="20"/>
          <w:szCs w:val="20"/>
        </w:rPr>
        <w:t xml:space="preserve">	18</w:t>
      </w:r>
    </w:p>
    <w:p>
      <w:pPr>
        <w:tabs>
          <w:tab w:val="right" w:pos="9160" w:leader="dot"/>
        </w:tabs>
        <w:spacing w:before="40" w:after="40"/>
        <w:ind w:left="0"/>
      </w:pPr>
      <w:r>
        <w:rPr>
          <w:rFonts w:ascii="Arial" w:cs="Arial" w:eastAsia="Arial" w:hAnsi="Arial"/>
          <w:sz w:val="20"/>
          <w:szCs w:val="20"/>
        </w:rPr>
        <w:t xml:space="preserve">8.  Inclusion/Exclusion Criteria Design Rationale</w:t>
      </w:r>
      <w:r>
        <w:rPr>
          <w:rFonts w:ascii="Arial" w:cs="Arial" w:eastAsia="Arial" w:hAnsi="Arial"/>
          <w:color w:val="2E5BA8"/>
          <w:sz w:val="20"/>
          <w:szCs w:val="20"/>
        </w:rPr>
        <w:t xml:space="preserve">	22</w:t>
      </w:r>
    </w:p>
    <w:p>
      <w:pPr>
        <w:tabs>
          <w:tab w:val="right" w:pos="9160" w:leader="dot"/>
        </w:tabs>
        <w:spacing w:before="40" w:after="40"/>
        <w:ind w:left="0"/>
      </w:pPr>
      <w:r>
        <w:rPr>
          <w:rFonts w:ascii="Arial" w:cs="Arial" w:eastAsia="Arial" w:hAnsi="Arial"/>
          <w:sz w:val="20"/>
          <w:szCs w:val="20"/>
        </w:rPr>
        <w:t xml:space="preserve">9.  Vendor &amp; Technology Strategy</w:t>
      </w:r>
      <w:r>
        <w:rPr>
          <w:rFonts w:ascii="Arial" w:cs="Arial" w:eastAsia="Arial" w:hAnsi="Arial"/>
          <w:color w:val="2E5BA8"/>
          <w:sz w:val="20"/>
          <w:szCs w:val="20"/>
        </w:rPr>
        <w:t xml:space="preserve">	25</w:t>
      </w:r>
    </w:p>
    <w:p>
      <w:pPr>
        <w:tabs>
          <w:tab w:val="right" w:pos="9160" w:leader="dot"/>
        </w:tabs>
        <w:spacing w:before="40" w:after="40"/>
        <w:ind w:left="0"/>
      </w:pPr>
      <w:r>
        <w:rPr>
          <w:rFonts w:ascii="Arial" w:cs="Arial" w:eastAsia="Arial" w:hAnsi="Arial"/>
          <w:sz w:val="20"/>
          <w:szCs w:val="20"/>
        </w:rPr>
        <w:t xml:space="preserve">10.  Risk Management Plan</w:t>
      </w:r>
      <w:r>
        <w:rPr>
          <w:rFonts w:ascii="Arial" w:cs="Arial" w:eastAsia="Arial" w:hAnsi="Arial"/>
          <w:color w:val="2E5BA8"/>
          <w:sz w:val="20"/>
          <w:szCs w:val="20"/>
        </w:rPr>
        <w:t xml:space="preserve">	27</w:t>
      </w:r>
    </w:p>
    <w:p>
      <w:pPr>
        <w:tabs>
          <w:tab w:val="right" w:pos="9160" w:leader="dot"/>
        </w:tabs>
        <w:spacing w:before="40" w:after="40"/>
        <w:ind w:left="0"/>
      </w:pPr>
      <w:r>
        <w:rPr>
          <w:rFonts w:ascii="Arial" w:cs="Arial" w:eastAsia="Arial" w:hAnsi="Arial"/>
          <w:sz w:val="20"/>
          <w:szCs w:val="20"/>
        </w:rPr>
        <w:t xml:space="preserve">11.  Budget &amp; Resource Considerations</w:t>
      </w:r>
      <w:r>
        <w:rPr>
          <w:rFonts w:ascii="Arial" w:cs="Arial" w:eastAsia="Arial" w:hAnsi="Arial"/>
          <w:color w:val="2E5BA8"/>
          <w:sz w:val="20"/>
          <w:szCs w:val="20"/>
        </w:rPr>
        <w:t xml:space="preserve">	29</w:t>
      </w:r>
    </w:p>
    <w:p>
      <w:pPr>
        <w:tabs>
          <w:tab w:val="right" w:pos="9160" w:leader="dot"/>
        </w:tabs>
        <w:spacing w:before="40" w:after="40"/>
        <w:ind w:left="0"/>
      </w:pPr>
      <w:r>
        <w:rPr>
          <w:rFonts w:ascii="Arial" w:cs="Arial" w:eastAsia="Arial" w:hAnsi="Arial"/>
          <w:sz w:val="20"/>
          <w:szCs w:val="20"/>
        </w:rPr>
        <w:t xml:space="preserve">12.  Key Milestones &amp; Timeline</w:t>
      </w:r>
      <w:r>
        <w:rPr>
          <w:rFonts w:ascii="Arial" w:cs="Arial" w:eastAsia="Arial" w:hAnsi="Arial"/>
          <w:color w:val="2E5BA8"/>
          <w:sz w:val="20"/>
          <w:szCs w:val="20"/>
        </w:rPr>
        <w:t xml:space="preserve">	31</w:t>
      </w:r>
    </w:p>
    <w:p>
      <w:pPr>
        <w:tabs>
          <w:tab w:val="right" w:pos="9160" w:leader="dot"/>
        </w:tabs>
        <w:spacing w:before="40" w:after="40"/>
        <w:ind w:left="360"/>
      </w:pPr>
      <w:r>
        <w:rPr>
          <w:rFonts w:ascii="Arial" w:cs="Arial" w:eastAsia="Arial" w:hAnsi="Arial"/>
          <w:sz w:val="20"/>
          <w:szCs w:val="20"/>
        </w:rPr>
        <w:t xml:space="preserve">Appendices.  Reference Tables &amp; Tools</w:t>
      </w:r>
      <w:r>
        <w:rPr>
          <w:rFonts w:ascii="Arial" w:cs="Arial" w:eastAsia="Arial" w:hAnsi="Arial"/>
          <w:color w:val="2E5BA8"/>
          <w:sz w:val="20"/>
          <w:szCs w:val="20"/>
        </w:rPr>
        <w:t xml:space="preserve">	33</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6B" w:val="clear"/>
            <w:tcMar>
              <w:top w:type="dxa" w:w="160"/>
              <w:left w:type="dxa" w:w="240"/>
              <w:bottom w:type="dxa" w:w="160"/>
              <w:right w:type="dxa" w:w="240"/>
            </w:tcMar>
          </w:tcPr>
          <w:p>
            <w:pPr>
              <w:spacing w:before="0" w:after="40"/>
            </w:pPr>
            <w:r>
              <w:rPr>
                <w:rFonts w:ascii="Arial" w:cs="Arial" w:eastAsia="Arial" w:hAnsi="Arial"/>
                <w:b/>
                <w:bCs/>
                <w:color w:val="FFFFFF"/>
                <w:sz w:val="26"/>
                <w:szCs w:val="26"/>
              </w:rPr>
              <w:t xml:space="preserve">1. EXECUTIVE SUMMARY</w:t>
            </w:r>
          </w:p>
          <w:p>
            <w:pPr>
              <w:spacing w:before="0" w:after="0"/>
            </w:pPr>
            <w:r>
              <w:rPr>
                <w:rFonts w:ascii="Arial" w:cs="Arial" w:eastAsia="Arial" w:hAnsi="Arial"/>
                <w:i/>
                <w:iCs/>
                <w:color w:val="B0C4DE"/>
                <w:sz w:val="18"/>
                <w:szCs w:val="18"/>
              </w:rPr>
              <w:t xml:space="preserve">Strategic Overview for CERVIMAB-301 Clinical Operations</w:t>
            </w:r>
          </w:p>
        </w:tc>
      </w:tr>
    </w:tbl>
    <w:p>
      <w:pPr>
        <w:spacing w:before="0" w:after="0"/>
      </w:pPr>
      <w:r>
        <w:rPr>
          <w:rFonts w:ascii="Arial" w:cs="Arial" w:eastAsia="Arial" w:hAnsi="Arial"/>
          <w:sz w:val="20"/>
          <w:szCs w:val="20"/>
        </w:rPr>
        <w:t xml:space="preserve"/>
      </w:r>
    </w:p>
    <w:p>
      <w:pPr>
        <w:spacing w:before="60" w:after="60"/>
      </w:pPr>
      <w:r>
        <w:rPr>
          <w:rFonts w:ascii="Arial" w:cs="Arial" w:eastAsia="Arial" w:hAnsi="Arial"/>
          <w:b/>
          <w:bCs/>
          <w:sz w:val="20"/>
          <w:szCs w:val="20"/>
        </w:rPr>
        <w:t xml:space="preserve">Purpose. </w:t>
      </w:r>
      <w:r>
        <w:rPr>
          <w:rFonts w:ascii="Arial" w:cs="Arial" w:eastAsia="Arial" w:hAnsi="Arial"/>
          <w:sz w:val="20"/>
          <w:szCs w:val="20"/>
        </w:rPr>
        <w:t xml:space="preserve">This Clinical Operations Plan (COP) provides a comprehensive framework for the operational execution of CERVIMAB-301, a registration-enabling Phase 3 pivotal study of cervimab, an anti-PD-1 IgG4 monoclonal antibody, versus standard-of-care FOLFOX-4 + bevacizumab in patients with previously untreated dMMR/MSI-H metastatic colorectal cancer. The plan addresses all critical operational domains from country and site selection through enrollment completion and database lock.</w:t>
      </w:r>
    </w:p>
    <w:p>
      <w:pPr>
        <w:spacing w:before="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BA8" w:sz="8"/>
              <w:left w:val="single" w:color="2E5BA8" w:sz="8"/>
              <w:bottom w:val="single" w:color="CCCCCC" w:sz="4"/>
              <w:right w:val="single" w:color="CCCCCC" w:sz="4"/>
            </w:tcBorders>
            <w:shd w:fill="D6E4F7" w:val="clear"/>
            <w:tcMar>
              <w:top w:type="dxa" w:w="160"/>
              <w:left w:type="dxa" w:w="200"/>
              <w:bottom w:type="dxa" w:w="160"/>
              <w:right w:type="dxa" w:w="200"/>
            </w:tcMar>
          </w:tcPr>
          <w:p>
            <w:pPr>
              <w:spacing w:before="0" w:after="60"/>
            </w:pPr>
            <w:r>
              <w:rPr>
                <w:rFonts w:ascii="Arial" w:cs="Arial" w:eastAsia="Arial" w:hAnsi="Arial"/>
                <w:b/>
                <w:bCs/>
                <w:color w:val="1B3A6B"/>
                <w:sz w:val="20"/>
                <w:szCs w:val="20"/>
              </w:rPr>
              <w:t xml:space="preserve">Strategic Imperatives</w:t>
            </w:r>
          </w:p>
          <w:p>
            <w:pPr>
              <w:pStyle w:val="ListParagraph"/>
              <w:numPr>
                <w:ilvl w:val="0"/>
                <w:numId w:val="2"/>
              </w:numPr>
              <w:spacing w:before="40" w:after="40"/>
            </w:pPr>
            <w:r>
              <w:rPr>
                <w:rFonts w:ascii="Arial" w:cs="Arial" w:eastAsia="Arial" w:hAnsi="Arial"/>
                <w:sz w:val="20"/>
                <w:szCs w:val="20"/>
              </w:rPr>
              <w:t xml:space="preserve">Achieve 500-patient enrollment across 200 global sites within 24 months to support NDA/MAA submission</w:t>
            </w:r>
          </w:p>
          <w:p>
            <w:pPr>
              <w:pStyle w:val="ListParagraph"/>
              <w:numPr>
                <w:ilvl w:val="0"/>
                <w:numId w:val="2"/>
              </w:numPr>
              <w:spacing w:before="40" w:after="40"/>
            </w:pPr>
            <w:r>
              <w:rPr>
                <w:rFonts w:ascii="Arial" w:cs="Arial" w:eastAsia="Arial" w:hAnsi="Arial"/>
                <w:sz w:val="20"/>
                <w:szCs w:val="20"/>
              </w:rPr>
              <w:t xml:space="preserve">Ensure dMMR/MSI-H screening rates ≥70% via centralized molecular testing infrastructure</w:t>
            </w:r>
          </w:p>
          <w:p>
            <w:pPr>
              <w:pStyle w:val="ListParagraph"/>
              <w:numPr>
                <w:ilvl w:val="0"/>
                <w:numId w:val="2"/>
              </w:numPr>
              <w:spacing w:before="40" w:after="40"/>
            </w:pPr>
            <w:r>
              <w:rPr>
                <w:rFonts w:ascii="Arial" w:cs="Arial" w:eastAsia="Arial" w:hAnsi="Arial"/>
                <w:sz w:val="20"/>
                <w:szCs w:val="20"/>
              </w:rPr>
              <w:t xml:space="preserve">Execute flawlessly in a competitive landscape where pembrolizumab (KEYNOTE-177) and nivolumab (CheckMate 142) have established benchmarks</w:t>
            </w:r>
          </w:p>
          <w:p>
            <w:pPr>
              <w:pStyle w:val="ListParagraph"/>
              <w:numPr>
                <w:ilvl w:val="0"/>
                <w:numId w:val="2"/>
              </w:numPr>
              <w:spacing w:before="40" w:after="40"/>
            </w:pPr>
            <w:r>
              <w:rPr>
                <w:rFonts w:ascii="Arial" w:cs="Arial" w:eastAsia="Arial" w:hAnsi="Arial"/>
                <w:sz w:val="20"/>
                <w:szCs w:val="20"/>
              </w:rPr>
              <w:t xml:space="preserve">Maintain biomarker collection &gt;95% compliance to enable exploratory TMB, PD-L1 subgroup analyses</w:t>
            </w:r>
          </w:p>
          <w:p>
            <w:pPr>
              <w:pStyle w:val="ListParagraph"/>
              <w:numPr>
                <w:ilvl w:val="0"/>
                <w:numId w:val="2"/>
              </w:numPr>
              <w:spacing w:before="40" w:after="40"/>
            </w:pPr>
            <w:r>
              <w:rPr>
                <w:rFonts w:ascii="Arial" w:cs="Arial" w:eastAsia="Arial" w:hAnsi="Arial"/>
                <w:sz w:val="20"/>
                <w:szCs w:val="20"/>
              </w:rPr>
              <w:t xml:space="preserve">Achieve zero critical inspection findings across US FDA, EMA, and PMDA regulatory interactions</w:t>
            </w:r>
          </w:p>
        </w:tc>
      </w:tr>
    </w:tbl>
    <w:p>
      <w:pPr>
        <w:spacing w:before="0" w:after="0"/>
      </w:pPr>
      <w:r>
        <w:rPr>
          <w:rFonts w:ascii="Arial" w:cs="Arial" w:eastAsia="Arial" w:hAnsi="Arial"/>
          <w:sz w:val="20"/>
          <w:szCs w:val="20"/>
        </w:rPr>
        <w:t xml:space="preserve"/>
      </w:r>
    </w:p>
    <w:p>
      <w:pPr>
        <w:pStyle w:val="Heading2"/>
        <w:spacing w:before="280" w:after="140"/>
      </w:pPr>
      <w:r>
        <w:rPr>
          <w:rFonts w:ascii="Arial" w:cs="Arial" w:eastAsia="Arial" w:hAnsi="Arial"/>
          <w:b/>
          <w:bCs/>
          <w:color w:val="2E5BA8"/>
          <w:sz w:val="24"/>
          <w:szCs w:val="24"/>
        </w:rPr>
        <w:t xml:space="preserve">1.1 Study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Primary Endpoint</w:t>
            </w:r>
          </w:p>
        </w:tc>
        <w:tc>
          <w:tcPr>
            <w:tcW w:type="dxa" w:w="65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PFS by BICR per RECIST v1.1 (HR=0.56 assumed; 90% power; 280 events)</w:t>
            </w:r>
          </w:p>
        </w:tc>
      </w:tr>
      <w:tr>
        <w:tc>
          <w:tcPr>
            <w:tcW w:type="dxa" w:w="28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Comparator</w:t>
            </w:r>
          </w:p>
        </w:tc>
        <w:tc>
          <w:tcPr>
            <w:tcW w:type="dxa" w:w="65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FOLFOX-4 + Bevacizumab (SoC for first-line dMMR/MSI-H mCRC)</w:t>
            </w:r>
          </w:p>
        </w:tc>
      </w:tr>
      <w:tr>
        <w:tc>
          <w:tcPr>
            <w:tcW w:type="dxa" w:w="28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Randomization</w:t>
            </w:r>
          </w:p>
        </w:tc>
        <w:tc>
          <w:tcPr>
            <w:tcW w:type="dxa" w:w="65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1:1 stratified by ECOG PS, Region, RAS/BRAF status via IWRS</w:t>
            </w:r>
          </w:p>
        </w:tc>
      </w:tr>
      <w:tr>
        <w:tc>
          <w:tcPr>
            <w:tcW w:type="dxa" w:w="28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Enrollment Target</w:t>
            </w:r>
          </w:p>
        </w:tc>
        <w:tc>
          <w:tcPr>
            <w:tcW w:type="dxa" w:w="65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500 patients (10% buffer over 480 powered)</w:t>
            </w:r>
          </w:p>
        </w:tc>
      </w:tr>
      <w:tr>
        <w:tc>
          <w:tcPr>
            <w:tcW w:type="dxa" w:w="28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Enrollment Period</w:t>
            </w:r>
          </w:p>
        </w:tc>
        <w:tc>
          <w:tcPr>
            <w:tcW w:type="dxa" w:w="65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24 months (FPI to LPI target)</w:t>
            </w:r>
          </w:p>
        </w:tc>
      </w:tr>
      <w:tr>
        <w:tc>
          <w:tcPr>
            <w:tcW w:type="dxa" w:w="28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Sites</w:t>
            </w:r>
          </w:p>
        </w:tc>
        <w:tc>
          <w:tcPr>
            <w:tcW w:type="dxa" w:w="65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200 sites | 20 countries | 5 regions</w:t>
            </w:r>
          </w:p>
        </w:tc>
      </w:tr>
      <w:tr>
        <w:tc>
          <w:tcPr>
            <w:tcW w:type="dxa" w:w="28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Enrollment Rate</w:t>
            </w:r>
          </w:p>
        </w:tc>
        <w:tc>
          <w:tcPr>
            <w:tcW w:type="dxa" w:w="65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~20–22 patients/month peak; 2.5 pts/site/year average</w:t>
            </w:r>
          </w:p>
        </w:tc>
      </w:tr>
      <w:tr>
        <w:tc>
          <w:tcPr>
            <w:tcW w:type="dxa" w:w="28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Total Study Duration</w:t>
            </w:r>
          </w:p>
        </w:tc>
        <w:tc>
          <w:tcPr>
            <w:tcW w:type="dxa" w:w="65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~48 months (24 enrollment + 24 minimum follow-up)</w:t>
            </w:r>
          </w:p>
        </w:tc>
      </w:tr>
      <w:tr>
        <w:tc>
          <w:tcPr>
            <w:tcW w:type="dxa" w:w="28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Estimated NDA Submission</w:t>
            </w:r>
          </w:p>
        </w:tc>
        <w:tc>
          <w:tcPr>
            <w:tcW w:type="dxa" w:w="65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Q4 2030</w:t>
            </w:r>
          </w:p>
        </w:tc>
      </w:tr>
    </w:tbl>
    <w:p>
      <w:pPr>
        <w:spacing w:before="0" w:after="0"/>
      </w:pPr>
      <w:r>
        <w:rPr>
          <w:rFonts w:ascii="Arial" w:cs="Arial" w:eastAsia="Arial" w:hAnsi="Arial"/>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6B" w:val="clear"/>
            <w:tcMar>
              <w:top w:type="dxa" w:w="160"/>
              <w:left w:type="dxa" w:w="240"/>
              <w:bottom w:type="dxa" w:w="160"/>
              <w:right w:type="dxa" w:w="240"/>
            </w:tcMar>
          </w:tcPr>
          <w:p>
            <w:pPr>
              <w:spacing w:before="0" w:after="40"/>
            </w:pPr>
            <w:r>
              <w:rPr>
                <w:rFonts w:ascii="Arial" w:cs="Arial" w:eastAsia="Arial" w:hAnsi="Arial"/>
                <w:b/>
                <w:bCs/>
                <w:color w:val="FFFFFF"/>
                <w:sz w:val="26"/>
                <w:szCs w:val="26"/>
              </w:rPr>
              <w:t xml:space="preserve">2. STUDY OVERVIEW &amp; PROTOCOL SYNOPSIS</w:t>
            </w:r>
          </w:p>
          <w:p>
            <w:pPr>
              <w:spacing w:before="0" w:after="0"/>
            </w:pPr>
            <w:r>
              <w:rPr>
                <w:rFonts w:ascii="Arial" w:cs="Arial" w:eastAsia="Arial" w:hAnsi="Arial"/>
                <w:i/>
                <w:iCs/>
                <w:color w:val="B0C4DE"/>
                <w:sz w:val="18"/>
                <w:szCs w:val="18"/>
              </w:rPr>
              <w:t xml:space="preserve">CERVIMAB-301 Protocol Context</w:t>
            </w:r>
          </w:p>
        </w:tc>
      </w:tr>
    </w:tbl>
    <w:p>
      <w:pPr>
        <w:spacing w:before="0" w:after="0"/>
      </w:pPr>
      <w:r>
        <w:rPr>
          <w:rFonts w:ascii="Arial" w:cs="Arial" w:eastAsia="Arial" w:hAnsi="Arial"/>
          <w:sz w:val="20"/>
          <w:szCs w:val="20"/>
        </w:rPr>
        <w:t xml:space="preserve"/>
      </w:r>
    </w:p>
    <w:p>
      <w:pPr>
        <w:pStyle w:val="Heading2"/>
        <w:spacing w:before="280" w:after="140"/>
      </w:pPr>
      <w:r>
        <w:rPr>
          <w:rFonts w:ascii="Arial" w:cs="Arial" w:eastAsia="Arial" w:hAnsi="Arial"/>
          <w:b/>
          <w:bCs/>
          <w:color w:val="2E5BA8"/>
          <w:sz w:val="24"/>
          <w:szCs w:val="24"/>
        </w:rPr>
        <w:t xml:space="preserve">2.1 Disease Context &amp; Unmet Need</w:t>
      </w:r>
    </w:p>
    <w:p>
      <w:pPr>
        <w:spacing w:before="60" w:after="60"/>
      </w:pPr>
      <w:r>
        <w:rPr>
          <w:rFonts w:ascii="Arial" w:cs="Arial" w:eastAsia="Arial" w:hAnsi="Arial"/>
          <w:sz w:val="20"/>
          <w:szCs w:val="20"/>
        </w:rPr>
        <w:t xml:space="preserve">Colorectal cancer (CRC) ranks as the third most diagnosed malignancy worldwide with an estimated 1.9 million new cases annually (GLOBOCAN 2022). Approximately 4–5% of metastatic CRC tumors exhibit dMMR/MSI-H status — a hypermutated phenotype uniquely sensitive to immune checkpoint blockade due to high neoantigen burden, dense TIL infiltration, and upregulated PD-L1/PD-L2 expression. Despite the approval of pembrolizumab (KEYNOTE-177, 2021) and nivolumab ± ipilimumab (CheckMate 142), cervimab's differentiated IgG4 backbone, sub-nanomolar PD-1 affinity (KD ~0.3 nM), and Phase 1/2 ORR of 45% at the 400 mg Q3W flat dose position it as a competitive entrant in this market.</w:t>
      </w:r>
    </w:p>
    <w:p>
      <w:pPr>
        <w:spacing w:before="0" w:after="0"/>
      </w:pPr>
      <w:r>
        <w:rPr>
          <w:rFonts w:ascii="Arial" w:cs="Arial" w:eastAsia="Arial" w:hAnsi="Arial"/>
          <w:sz w:val="20"/>
          <w:szCs w:val="20"/>
        </w:rPr>
        <w:t xml:space="preserve"/>
      </w:r>
    </w:p>
    <w:p>
      <w:pPr>
        <w:pStyle w:val="Heading2"/>
        <w:spacing w:before="280" w:after="140"/>
      </w:pPr>
      <w:r>
        <w:rPr>
          <w:rFonts w:ascii="Arial" w:cs="Arial" w:eastAsia="Arial" w:hAnsi="Arial"/>
          <w:b/>
          <w:bCs/>
          <w:color w:val="2E5BA8"/>
          <w:sz w:val="24"/>
          <w:szCs w:val="24"/>
        </w:rPr>
        <w:t xml:space="preserve">2.2 Protocol Synopsis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Study Design</w:t>
            </w:r>
          </w:p>
        </w:tc>
        <w:tc>
          <w:tcPr>
            <w:tcW w:type="dxa" w:w="61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Phase 3, Randomized, Double-Blind, Double-Dummy, Placebo-Controlled, Multicenter International</w:t>
            </w:r>
          </w:p>
        </w:tc>
      </w:tr>
      <w:tr>
        <w:tc>
          <w:tcPr>
            <w:tcW w:type="dxa" w:w="32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Arms</w:t>
            </w:r>
          </w:p>
        </w:tc>
        <w:tc>
          <w:tcPr>
            <w:tcW w:type="dxa" w:w="61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Arm A: Cervimab 400 mg IV Q3W + FOLFOX-4 placebo
Arm B: FOLFOX-4 + Bevacizumab + Cervimab placebo</w:t>
            </w:r>
          </w:p>
        </w:tc>
      </w:tr>
      <w:tr>
        <w:tc>
          <w:tcPr>
            <w:tcW w:type="dxa" w:w="3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Stratification</w:t>
            </w:r>
          </w:p>
        </w:tc>
        <w:tc>
          <w:tcPr>
            <w:tcW w:type="dxa" w:w="61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ECOG PS (0 vs 1) | Region (NA/WE vs RoW) | RAS/BRAF (WT vs Mutant)</w:t>
            </w:r>
          </w:p>
        </w:tc>
      </w:tr>
      <w:tr>
        <w:tc>
          <w:tcPr>
            <w:tcW w:type="dxa" w:w="32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Sample Size</w:t>
            </w:r>
          </w:p>
        </w:tc>
        <w:tc>
          <w:tcPr>
            <w:tcW w:type="dxa" w:w="61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480 powered; 500 targeted (10% operational buffer)</w:t>
            </w:r>
          </w:p>
        </w:tc>
      </w:tr>
      <w:tr>
        <w:tc>
          <w:tcPr>
            <w:tcW w:type="dxa" w:w="3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Primary Endpoint</w:t>
            </w:r>
          </w:p>
        </w:tc>
        <w:tc>
          <w:tcPr>
            <w:tcW w:type="dxa" w:w="61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PFS by BICR per RECIST v1.1</w:t>
            </w:r>
          </w:p>
        </w:tc>
      </w:tr>
      <w:tr>
        <w:tc>
          <w:tcPr>
            <w:tcW w:type="dxa" w:w="32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Key Secondary</w:t>
            </w:r>
          </w:p>
        </w:tc>
        <w:tc>
          <w:tcPr>
            <w:tcW w:type="dxa" w:w="61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OS, ORR, DoR, DCR@24 weeks, HRQoL (EORTC QLQ-C30, EQ-5D-5L)</w:t>
            </w:r>
          </w:p>
        </w:tc>
      </w:tr>
      <w:tr>
        <w:tc>
          <w:tcPr>
            <w:tcW w:type="dxa" w:w="3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Exploratory</w:t>
            </w:r>
          </w:p>
        </w:tc>
        <w:tc>
          <w:tcPr>
            <w:tcW w:type="dxa" w:w="61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TMB, PD-L1 TPS/CPS subgroups, PK, ADA, KRAS/NRAS/BRAF subgroups</w:t>
            </w:r>
          </w:p>
        </w:tc>
      </w:tr>
      <w:tr>
        <w:tc>
          <w:tcPr>
            <w:tcW w:type="dxa" w:w="32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Interim Analyses</w:t>
            </w:r>
          </w:p>
        </w:tc>
        <w:tc>
          <w:tcPr>
            <w:tcW w:type="dxa" w:w="61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IA1 @ 50% PFS events (futility+efficacy); IA2 @ 75% PFS events (efficacy)</w:t>
            </w:r>
          </w:p>
        </w:tc>
      </w:tr>
      <w:tr>
        <w:tc>
          <w:tcPr>
            <w:tcW w:type="dxa" w:w="3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DSMB</w:t>
            </w:r>
          </w:p>
        </w:tc>
        <w:tc>
          <w:tcPr>
            <w:tcW w:type="dxa" w:w="61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Independent board; charter-governed; unblinded safety review</w:t>
            </w:r>
          </w:p>
        </w:tc>
      </w:tr>
      <w:tr>
        <w:tc>
          <w:tcPr>
            <w:tcW w:type="dxa" w:w="32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Duration</w:t>
            </w:r>
          </w:p>
        </w:tc>
        <w:tc>
          <w:tcPr>
            <w:tcW w:type="dxa" w:w="61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Enrollment ~24 mo; Follow-up ≥24 mo; Total ~48 mo</w:t>
            </w:r>
          </w:p>
        </w:tc>
      </w:tr>
    </w:tbl>
    <w:p>
      <w:pPr>
        <w:spacing w:before="0" w:after="0"/>
      </w:pPr>
      <w:r>
        <w:rPr>
          <w:rFonts w:ascii="Arial" w:cs="Arial" w:eastAsia="Arial" w:hAnsi="Arial"/>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6B" w:val="clear"/>
            <w:tcMar>
              <w:top w:type="dxa" w:w="160"/>
              <w:left w:type="dxa" w:w="240"/>
              <w:bottom w:type="dxa" w:w="160"/>
              <w:right w:type="dxa" w:w="240"/>
            </w:tcMar>
          </w:tcPr>
          <w:p>
            <w:pPr>
              <w:spacing w:before="0" w:after="40"/>
            </w:pPr>
            <w:r>
              <w:rPr>
                <w:rFonts w:ascii="Arial" w:cs="Arial" w:eastAsia="Arial" w:hAnsi="Arial"/>
                <w:b/>
                <w:bCs/>
                <w:color w:val="FFFFFF"/>
                <w:sz w:val="26"/>
                <w:szCs w:val="26"/>
              </w:rPr>
              <w:t xml:space="preserve">3. REGULATORY STRATEGY</w:t>
            </w:r>
          </w:p>
          <w:p>
            <w:pPr>
              <w:spacing w:before="0" w:after="0"/>
            </w:pPr>
            <w:r>
              <w:rPr>
                <w:rFonts w:ascii="Arial" w:cs="Arial" w:eastAsia="Arial" w:hAnsi="Arial"/>
                <w:i/>
                <w:iCs/>
                <w:color w:val="B0C4DE"/>
                <w:sz w:val="18"/>
                <w:szCs w:val="18"/>
              </w:rPr>
              <w:t xml:space="preserve">Global Regulatory Pathway — US FDA, EU EMA, APAC PMDA/NMPA</w:t>
            </w:r>
          </w:p>
        </w:tc>
      </w:tr>
    </w:tbl>
    <w:p>
      <w:pPr>
        <w:spacing w:before="0" w:after="0"/>
      </w:pPr>
      <w:r>
        <w:rPr>
          <w:rFonts w:ascii="Arial" w:cs="Arial" w:eastAsia="Arial" w:hAnsi="Arial"/>
          <w:sz w:val="20"/>
          <w:szCs w:val="20"/>
        </w:rPr>
        <w:t xml:space="preserve"/>
      </w:r>
    </w:p>
    <w:p>
      <w:pPr>
        <w:pStyle w:val="Heading2"/>
        <w:spacing w:before="280" w:after="140"/>
      </w:pPr>
      <w:r>
        <w:rPr>
          <w:rFonts w:ascii="Arial" w:cs="Arial" w:eastAsia="Arial" w:hAnsi="Arial"/>
          <w:b/>
          <w:bCs/>
          <w:color w:val="2E5BA8"/>
          <w:sz w:val="24"/>
          <w:szCs w:val="24"/>
        </w:rPr>
        <w:t xml:space="preserve">3.1 Strategic Regulatory Framework</w:t>
      </w:r>
    </w:p>
    <w:p>
      <w:pPr>
        <w:spacing w:before="60" w:after="60"/>
      </w:pPr>
      <w:r>
        <w:rPr>
          <w:rFonts w:ascii="Arial" w:cs="Arial" w:eastAsia="Arial" w:hAnsi="Arial"/>
          <w:sz w:val="20"/>
          <w:szCs w:val="20"/>
        </w:rPr>
        <w:t xml:space="preserve">CERVIMAB-301 is designed as a pivotal, registration-enabling study to support simultaneous NDA (US FDA), MAA (EU EMA), and J-NDA/BLA (PMDA/NMPA) submissions. The regulatory strategy capitalizes on available Breakthrough Therapy Designation (BTD) pathways in the US and PRIME eligibility in the EU, given the unmet need and early clinical evidence of substantial improvement over standard of care.</w:t>
      </w:r>
    </w:p>
    <w:p>
      <w:pPr>
        <w:spacing w:before="0" w:after="0"/>
      </w:pPr>
      <w:r>
        <w:rPr>
          <w:rFonts w:ascii="Arial" w:cs="Arial" w:eastAsia="Arial" w:hAnsi="Arial"/>
          <w:sz w:val="20"/>
          <w:szCs w:val="20"/>
        </w:rPr>
        <w:t xml:space="preserve"/>
      </w:r>
    </w:p>
    <w:p>
      <w:pPr>
        <w:pStyle w:val="Heading2"/>
        <w:spacing w:before="280" w:after="140"/>
      </w:pPr>
      <w:r>
        <w:rPr>
          <w:rFonts w:ascii="Arial" w:cs="Arial" w:eastAsia="Arial" w:hAnsi="Arial"/>
          <w:b/>
          <w:bCs/>
          <w:color w:val="2E5BA8"/>
          <w:sz w:val="24"/>
          <w:szCs w:val="24"/>
        </w:rPr>
        <w:t xml:space="preserve">3.2 US FDA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BA8" w:sz="8"/>
              <w:left w:val="single" w:color="2E5BA8" w:sz="8"/>
              <w:bottom w:val="single" w:color="CCCCCC" w:sz="4"/>
              <w:right w:val="single" w:color="CCCCCC" w:sz="4"/>
            </w:tcBorders>
            <w:shd w:fill="D6E4F7" w:val="clear"/>
            <w:tcMar>
              <w:top w:type="dxa" w:w="160"/>
              <w:left w:type="dxa" w:w="200"/>
              <w:bottom w:type="dxa" w:w="160"/>
              <w:right w:type="dxa" w:w="200"/>
            </w:tcMar>
          </w:tcPr>
          <w:p>
            <w:pPr>
              <w:spacing w:before="0" w:after="60"/>
            </w:pPr>
            <w:r>
              <w:rPr>
                <w:rFonts w:ascii="Arial" w:cs="Arial" w:eastAsia="Arial" w:hAnsi="Arial"/>
                <w:b/>
                <w:bCs/>
                <w:color w:val="1B3A6B"/>
                <w:sz w:val="20"/>
                <w:szCs w:val="20"/>
              </w:rPr>
              <w:t xml:space="preserve">US FDA Regulatory Pathway</w:t>
            </w:r>
          </w:p>
          <w:p>
            <w:pPr>
              <w:pStyle w:val="ListParagraph"/>
              <w:numPr>
                <w:ilvl w:val="0"/>
                <w:numId w:val="2"/>
              </w:numPr>
              <w:spacing w:before="40" w:after="40"/>
            </w:pPr>
            <w:r>
              <w:rPr>
                <w:rFonts w:ascii="Arial" w:cs="Arial" w:eastAsia="Arial" w:hAnsi="Arial"/>
                <w:sz w:val="20"/>
                <w:szCs w:val="20"/>
              </w:rPr>
              <w:t xml:space="preserve">IND submission under 21 CFR Part 312 — Active IND [IND-XXXXX]; annual progress reports required</w:t>
            </w:r>
          </w:p>
          <w:p>
            <w:pPr>
              <w:pStyle w:val="ListParagraph"/>
              <w:numPr>
                <w:ilvl w:val="0"/>
                <w:numId w:val="2"/>
              </w:numPr>
              <w:spacing w:before="40" w:after="40"/>
            </w:pPr>
            <w:r>
              <w:rPr>
                <w:rFonts w:ascii="Arial" w:cs="Arial" w:eastAsia="Arial" w:hAnsi="Arial"/>
                <w:sz w:val="20"/>
                <w:szCs w:val="20"/>
              </w:rPr>
              <w:t xml:space="preserve">Breakthrough Therapy Designation (BTD): Eligible per 21 CFR 312.82; compelling Phase 1/2 ORR=45% vs ~30% for SoC provides basis; BTD enables intensive FDA guidance and rolling review</w:t>
            </w:r>
          </w:p>
          <w:p>
            <w:pPr>
              <w:pStyle w:val="ListParagraph"/>
              <w:numPr>
                <w:ilvl w:val="0"/>
                <w:numId w:val="2"/>
              </w:numPr>
              <w:spacing w:before="40" w:after="40"/>
            </w:pPr>
            <w:r>
              <w:rPr>
                <w:rFonts w:ascii="Arial" w:cs="Arial" w:eastAsia="Arial" w:hAnsi="Arial"/>
                <w:sz w:val="20"/>
                <w:szCs w:val="20"/>
              </w:rPr>
              <w:t xml:space="preserve">Pre-NDA Meeting (Type B): Target scheduling 12–18 months prior to NDA submission to align on dataset package, labeling claims, and REMS considerations</w:t>
            </w:r>
          </w:p>
          <w:p>
            <w:pPr>
              <w:pStyle w:val="ListParagraph"/>
              <w:numPr>
                <w:ilvl w:val="0"/>
                <w:numId w:val="2"/>
              </w:numPr>
              <w:spacing w:before="40" w:after="40"/>
            </w:pPr>
            <w:r>
              <w:rPr>
                <w:rFonts w:ascii="Arial" w:cs="Arial" w:eastAsia="Arial" w:hAnsi="Arial"/>
                <w:sz w:val="20"/>
                <w:szCs w:val="20"/>
              </w:rPr>
              <w:t xml:space="preserve">NDA Pathway: 21 CFR Part 314 (Subpart H accelerated approval possible based on ORR if PFS interim is compelling; standard approval sought on PFS/OS)</w:t>
            </w:r>
          </w:p>
          <w:p>
            <w:pPr>
              <w:pStyle w:val="ListParagraph"/>
              <w:numPr>
                <w:ilvl w:val="0"/>
                <w:numId w:val="2"/>
              </w:numPr>
              <w:spacing w:before="40" w:after="40"/>
            </w:pPr>
            <w:r>
              <w:rPr>
                <w:rFonts w:ascii="Arial" w:cs="Arial" w:eastAsia="Arial" w:hAnsi="Arial"/>
                <w:sz w:val="20"/>
                <w:szCs w:val="20"/>
              </w:rPr>
              <w:t xml:space="preserve">Priority Review Voucher (PRV): Not applicable (CRC not orphan/rare pediatric), standard Priority Review expected based on BTD</w:t>
            </w:r>
          </w:p>
          <w:p>
            <w:pPr>
              <w:pStyle w:val="ListParagraph"/>
              <w:numPr>
                <w:ilvl w:val="0"/>
                <w:numId w:val="2"/>
              </w:numPr>
              <w:spacing w:before="40" w:after="40"/>
            </w:pPr>
            <w:r>
              <w:rPr>
                <w:rFonts w:ascii="Arial" w:cs="Arial" w:eastAsia="Arial" w:hAnsi="Arial"/>
                <w:sz w:val="20"/>
                <w:szCs w:val="20"/>
              </w:rPr>
              <w:t xml:space="preserve">FDA Guidance references: Guidance on Immune Checkpoint Inhibitors (2022); Clinical Trial Endpoints for Cancer Drug Approval (2018)</w:t>
            </w:r>
          </w:p>
          <w:p>
            <w:pPr>
              <w:pStyle w:val="ListParagraph"/>
              <w:numPr>
                <w:ilvl w:val="0"/>
                <w:numId w:val="2"/>
              </w:numPr>
              <w:spacing w:before="40" w:after="40"/>
            </w:pPr>
            <w:r>
              <w:rPr>
                <w:rFonts w:ascii="Arial" w:cs="Arial" w:eastAsia="Arial" w:hAnsi="Arial"/>
                <w:sz w:val="20"/>
                <w:szCs w:val="20"/>
              </w:rPr>
              <w:t xml:space="preserve">REMS Assessment: Immune-mediated AE profile warrants early FDA engagement; likely REMS-free given manageable irAE profile but formal assessment required</w:t>
            </w:r>
          </w:p>
        </w:tc>
      </w:tr>
    </w:tbl>
    <w:p>
      <w:pPr>
        <w:spacing w:before="0" w:after="0"/>
      </w:pPr>
      <w:r>
        <w:rPr>
          <w:rFonts w:ascii="Arial" w:cs="Arial" w:eastAsia="Arial" w:hAnsi="Arial"/>
          <w:sz w:val="20"/>
          <w:szCs w:val="20"/>
        </w:rPr>
        <w:t xml:space="preserve"/>
      </w:r>
    </w:p>
    <w:p>
      <w:pPr>
        <w:pStyle w:val="Heading2"/>
        <w:spacing w:before="280" w:after="140"/>
      </w:pPr>
      <w:r>
        <w:rPr>
          <w:rFonts w:ascii="Arial" w:cs="Arial" w:eastAsia="Arial" w:hAnsi="Arial"/>
          <w:b/>
          <w:bCs/>
          <w:color w:val="2E5BA8"/>
          <w:sz w:val="24"/>
          <w:szCs w:val="24"/>
        </w:rPr>
        <w:t xml:space="preserve">3.3 EU EMA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BA8" w:sz="8"/>
              <w:left w:val="single" w:color="2E5BA8" w:sz="8"/>
              <w:bottom w:val="single" w:color="CCCCCC" w:sz="4"/>
              <w:right w:val="single" w:color="CCCCCC" w:sz="4"/>
            </w:tcBorders>
            <w:shd w:fill="D6E4F7" w:val="clear"/>
            <w:tcMar>
              <w:top w:type="dxa" w:w="160"/>
              <w:left w:type="dxa" w:w="200"/>
              <w:bottom w:type="dxa" w:w="160"/>
              <w:right w:type="dxa" w:w="200"/>
            </w:tcMar>
          </w:tcPr>
          <w:p>
            <w:pPr>
              <w:spacing w:before="0" w:after="60"/>
            </w:pPr>
            <w:r>
              <w:rPr>
                <w:rFonts w:ascii="Arial" w:cs="Arial" w:eastAsia="Arial" w:hAnsi="Arial"/>
                <w:b/>
                <w:bCs/>
                <w:color w:val="1B3A6B"/>
                <w:sz w:val="20"/>
                <w:szCs w:val="20"/>
              </w:rPr>
              <w:t xml:space="preserve">EU EMA Regulatory Pathway</w:t>
            </w:r>
          </w:p>
          <w:p>
            <w:pPr>
              <w:pStyle w:val="ListParagraph"/>
              <w:numPr>
                <w:ilvl w:val="0"/>
                <w:numId w:val="2"/>
              </w:numPr>
              <w:spacing w:before="40" w:after="40"/>
            </w:pPr>
            <w:r>
              <w:rPr>
                <w:rFonts w:ascii="Arial" w:cs="Arial" w:eastAsia="Arial" w:hAnsi="Arial"/>
                <w:sz w:val="20"/>
                <w:szCs w:val="20"/>
              </w:rPr>
              <w:t xml:space="preserve">EudraCT Number: [XXXX-XXXXXX-XX] registered; CT Application submitted per EU CTR (Regulation EU 536/2014)</w:t>
            </w:r>
          </w:p>
          <w:p>
            <w:pPr>
              <w:pStyle w:val="ListParagraph"/>
              <w:numPr>
                <w:ilvl w:val="0"/>
                <w:numId w:val="2"/>
              </w:numPr>
              <w:spacing w:before="40" w:after="40"/>
            </w:pPr>
            <w:r>
              <w:rPr>
                <w:rFonts w:ascii="Arial" w:cs="Arial" w:eastAsia="Arial" w:hAnsi="Arial"/>
                <w:sz w:val="20"/>
                <w:szCs w:val="20"/>
              </w:rPr>
              <w:t xml:space="preserve">PRIME Designation: Eligible given unmet need in dMMR/MSI-H mCRC; apply following Phase 2 data package submission; PRIME provides EMA rapporteur engagement and accelerated assessment</w:t>
            </w:r>
          </w:p>
          <w:p>
            <w:pPr>
              <w:pStyle w:val="ListParagraph"/>
              <w:numPr>
                <w:ilvl w:val="0"/>
                <w:numId w:val="2"/>
              </w:numPr>
              <w:spacing w:before="40" w:after="40"/>
            </w:pPr>
            <w:r>
              <w:rPr>
                <w:rFonts w:ascii="Arial" w:cs="Arial" w:eastAsia="Arial" w:hAnsi="Arial"/>
                <w:sz w:val="20"/>
                <w:szCs w:val="20"/>
              </w:rPr>
              <w:t xml:space="preserve">Scientific Advice: Request EMA Scientific Advice early (pre-Phase 3 start) on primary endpoint, BICR requirements, and biomarker confirmation strategy</w:t>
            </w:r>
          </w:p>
          <w:p>
            <w:pPr>
              <w:pStyle w:val="ListParagraph"/>
              <w:numPr>
                <w:ilvl w:val="0"/>
                <w:numId w:val="2"/>
              </w:numPr>
              <w:spacing w:before="40" w:after="40"/>
            </w:pPr>
            <w:r>
              <w:rPr>
                <w:rFonts w:ascii="Arial" w:cs="Arial" w:eastAsia="Arial" w:hAnsi="Arial"/>
                <w:sz w:val="20"/>
                <w:szCs w:val="20"/>
              </w:rPr>
              <w:t xml:space="preserve">MAA submission: Centralized Procedure (Regulation EC 726/2004) — mandatory for oncology biologics; Article 8(3) full dossier</w:t>
            </w:r>
          </w:p>
          <w:p>
            <w:pPr>
              <w:pStyle w:val="ListParagraph"/>
              <w:numPr>
                <w:ilvl w:val="0"/>
                <w:numId w:val="2"/>
              </w:numPr>
              <w:spacing w:before="40" w:after="40"/>
            </w:pPr>
            <w:r>
              <w:rPr>
                <w:rFonts w:ascii="Arial" w:cs="Arial" w:eastAsia="Arial" w:hAnsi="Arial"/>
                <w:sz w:val="20"/>
                <w:szCs w:val="20"/>
              </w:rPr>
              <w:t xml:space="preserve">Conditional Marketing Authorization (CMA): Consider if IA2 data are compelling and PFS mature; allows approval pending OS confirmation</w:t>
            </w:r>
          </w:p>
          <w:p>
            <w:pPr>
              <w:pStyle w:val="ListParagraph"/>
              <w:numPr>
                <w:ilvl w:val="0"/>
                <w:numId w:val="2"/>
              </w:numPr>
              <w:spacing w:before="40" w:after="40"/>
            </w:pPr>
            <w:r>
              <w:rPr>
                <w:rFonts w:ascii="Arial" w:cs="Arial" w:eastAsia="Arial" w:hAnsi="Arial"/>
                <w:sz w:val="20"/>
                <w:szCs w:val="20"/>
              </w:rPr>
              <w:t xml:space="preserve">Pediatric Investigation Plan (PIP): EMA PIP waiver expected given adult mCRC indication; submit PIP/waiver request pre-NDA</w:t>
            </w:r>
          </w:p>
          <w:p>
            <w:pPr>
              <w:pStyle w:val="ListParagraph"/>
              <w:numPr>
                <w:ilvl w:val="0"/>
                <w:numId w:val="2"/>
              </w:numPr>
              <w:spacing w:before="40" w:after="40"/>
            </w:pPr>
            <w:r>
              <w:rPr>
                <w:rFonts w:ascii="Arial" w:cs="Arial" w:eastAsia="Arial" w:hAnsi="Arial"/>
                <w:sz w:val="20"/>
                <w:szCs w:val="20"/>
              </w:rPr>
              <w:t xml:space="preserve">GDPR Compliance: All EU site data flows must comply with GDPR (Regulation EU 2016/679); DPA agreements with all EU sites/vendors required</w:t>
            </w:r>
          </w:p>
        </w:tc>
      </w:tr>
    </w:tbl>
    <w:p>
      <w:pPr>
        <w:spacing w:before="0" w:after="0"/>
      </w:pPr>
      <w:r>
        <w:rPr>
          <w:rFonts w:ascii="Arial" w:cs="Arial" w:eastAsia="Arial" w:hAnsi="Arial"/>
          <w:sz w:val="20"/>
          <w:szCs w:val="20"/>
        </w:rPr>
        <w:t xml:space="preserve"/>
      </w:r>
    </w:p>
    <w:p>
      <w:pPr>
        <w:pStyle w:val="Heading2"/>
        <w:spacing w:before="280" w:after="140"/>
      </w:pPr>
      <w:r>
        <w:rPr>
          <w:rFonts w:ascii="Arial" w:cs="Arial" w:eastAsia="Arial" w:hAnsi="Arial"/>
          <w:b/>
          <w:bCs/>
          <w:color w:val="2E5BA8"/>
          <w:sz w:val="24"/>
          <w:szCs w:val="24"/>
        </w:rPr>
        <w:t xml:space="preserve">3.4 APAC Regulatory Strategy</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1360"/>
      </w:tblGrid>
      <w:tr>
        <w:tc>
          <w:tcPr>
            <w:tcW w:type="dxa" w:w="200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18"/>
                <w:szCs w:val="18"/>
              </w:rPr>
              <w:t xml:space="preserve">Region</w:t>
            </w:r>
          </w:p>
        </w:tc>
        <w:tc>
          <w:tcPr>
            <w:tcW w:type="dxa" w:w="500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18"/>
                <w:szCs w:val="18"/>
              </w:rPr>
              <w:t xml:space="preserve">APAC Regulatory Approach</w:t>
            </w:r>
          </w:p>
        </w:tc>
        <w:tc>
          <w:tcPr>
            <w:tcW w:type="dxa" w:w="136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18"/>
                <w:szCs w:val="18"/>
              </w:rPr>
              <w:t xml:space="preserve">Priority</w:t>
            </w:r>
          </w:p>
        </w:tc>
      </w:tr>
      <w:tr>
        <w:tc>
          <w:tcPr>
            <w:tcW w:type="dxa" w:w="20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Japan (PMDA)</w:t>
            </w:r>
          </w:p>
        </w:tc>
        <w:tc>
          <w:tcPr>
            <w:tcW w:type="dxa" w:w="50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J-NDA pathway; Japan included in global registrational dataset; PMDA consultation meeting recommended; Japanese population subgroup (~15% of global enrollment target); bridging data via Japanese site enrollment</w:t>
            </w:r>
          </w:p>
        </w:tc>
        <w:tc>
          <w:tcPr>
            <w:tcW w:type="dxa" w:w="13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High Priority</w:t>
            </w:r>
          </w:p>
        </w:tc>
      </w:tr>
      <w:tr>
        <w:tc>
          <w:tcPr>
            <w:tcW w:type="dxa" w:w="20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China (NMPA)</w:t>
            </w:r>
          </w:p>
        </w:tc>
        <w:tc>
          <w:tcPr>
            <w:tcW w:type="dxa" w:w="50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Supplemental IND (sIND) for China-specific sites; NMPA guidance on overseas multi-regional clinical trial acceptance; Chinese ethnic subgroup data required; ~20% of enrollment from China sites recommended</w:t>
            </w:r>
          </w:p>
        </w:tc>
        <w:tc>
          <w:tcPr>
            <w:tcW w:type="dxa" w:w="13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High Priority</w:t>
            </w:r>
          </w:p>
        </w:tc>
      </w:tr>
      <w:tr>
        <w:tc>
          <w:tcPr>
            <w:tcW w:type="dxa" w:w="20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South Korea (MFDS)</w:t>
            </w:r>
          </w:p>
        </w:tc>
        <w:tc>
          <w:tcPr>
            <w:tcW w:type="dxa" w:w="50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MFDS accepts MRCT data with Korean subgroup; 3–5 Korean sites planned; Korean IND required</w:t>
            </w:r>
          </w:p>
        </w:tc>
        <w:tc>
          <w:tcPr>
            <w:tcW w:type="dxa" w:w="13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Medium Priority</w:t>
            </w:r>
          </w:p>
        </w:tc>
      </w:tr>
      <w:tr>
        <w:tc>
          <w:tcPr>
            <w:tcW w:type="dxa" w:w="20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Australia (TGA)</w:t>
            </w:r>
          </w:p>
        </w:tc>
        <w:tc>
          <w:tcPr>
            <w:tcW w:type="dxa" w:w="50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CTN scheme; expedited pathway; no separate regulatory submission; data feeds into global NDA/MAA package</w:t>
            </w:r>
          </w:p>
        </w:tc>
        <w:tc>
          <w:tcPr>
            <w:tcW w:type="dxa" w:w="13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Medium Priority</w:t>
            </w:r>
          </w:p>
        </w:tc>
      </w:tr>
      <w:tr>
        <w:tc>
          <w:tcPr>
            <w:tcW w:type="dxa" w:w="20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Taiwan (TFDA)</w:t>
            </w:r>
          </w:p>
        </w:tc>
        <w:tc>
          <w:tcPr>
            <w:tcW w:type="dxa" w:w="50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TFDA accepts multi-regional trial data; TFDA IND required; 2–3 sites planned</w:t>
            </w:r>
          </w:p>
        </w:tc>
        <w:tc>
          <w:tcPr>
            <w:tcW w:type="dxa" w:w="13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Low Priority</w:t>
            </w:r>
          </w:p>
        </w:tc>
      </w:tr>
    </w:tbl>
    <w:p>
      <w:pPr>
        <w:spacing w:before="0" w:after="0"/>
      </w:pPr>
      <w:r>
        <w:rPr>
          <w:rFonts w:ascii="Arial" w:cs="Arial" w:eastAsia="Arial" w:hAnsi="Arial"/>
          <w:sz w:val="20"/>
          <w:szCs w:val="20"/>
        </w:rPr>
        <w:t xml:space="preserve"/>
      </w:r>
    </w:p>
    <w:p>
      <w:pPr>
        <w:pStyle w:val="Heading2"/>
        <w:spacing w:before="280" w:after="140"/>
      </w:pPr>
      <w:r>
        <w:rPr>
          <w:rFonts w:ascii="Arial" w:cs="Arial" w:eastAsia="Arial" w:hAnsi="Arial"/>
          <w:b/>
          <w:bCs/>
          <w:color w:val="2E5BA8"/>
          <w:sz w:val="24"/>
          <w:szCs w:val="24"/>
        </w:rPr>
        <w:t xml:space="preserve">3.5 Key Regulatory Meetings &amp;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gridCol w:w="2160"/>
      </w:tblGrid>
      <w:tr>
        <w:tc>
          <w:tcPr>
            <w:tcW w:type="dxa" w:w="260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18"/>
                <w:szCs w:val="18"/>
              </w:rPr>
              <w:t xml:space="preserve">Milestone</w:t>
            </w:r>
          </w:p>
        </w:tc>
        <w:tc>
          <w:tcPr>
            <w:tcW w:type="dxa" w:w="460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18"/>
                <w:szCs w:val="18"/>
              </w:rPr>
              <w:t xml:space="preserve">Description</w:t>
            </w:r>
          </w:p>
        </w:tc>
        <w:tc>
          <w:tcPr>
            <w:tcW w:type="dxa" w:w="216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18"/>
                <w:szCs w:val="18"/>
              </w:rPr>
              <w:t xml:space="preserve">Target Timing</w:t>
            </w:r>
          </w:p>
        </w:tc>
      </w:tr>
      <w:tr>
        <w:tc>
          <w:tcPr>
            <w:tcW w:type="dxa" w:w="26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Pre-Study Start</w:t>
            </w:r>
          </w:p>
        </w:tc>
        <w:tc>
          <w:tcPr>
            <w:tcW w:type="dxa" w:w="46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EMA Scientific Advice; FDA Pre-Phase 3 meeting; PMDA consultation; NMPA sIND submission</w:t>
            </w:r>
          </w:p>
        </w:tc>
        <w:tc>
          <w:tcPr>
            <w:tcW w:type="dxa" w:w="21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Q2 2026</w:t>
            </w:r>
          </w:p>
        </w:tc>
      </w:tr>
      <w:tr>
        <w:tc>
          <w:tcPr>
            <w:tcW w:type="dxa" w:w="26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Study Initiation</w:t>
            </w:r>
          </w:p>
        </w:tc>
        <w:tc>
          <w:tcPr>
            <w:tcW w:type="dxa" w:w="46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IND amendments for all protocol versions; EudraCT registration; CTR submission</w:t>
            </w:r>
          </w:p>
        </w:tc>
        <w:tc>
          <w:tcPr>
            <w:tcW w:type="dxa" w:w="21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Q3 2026</w:t>
            </w:r>
          </w:p>
        </w:tc>
      </w:tr>
      <w:tr>
        <w:tc>
          <w:tcPr>
            <w:tcW w:type="dxa" w:w="26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During Study</w:t>
            </w:r>
          </w:p>
        </w:tc>
        <w:tc>
          <w:tcPr>
            <w:tcW w:type="dxa" w:w="46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Annual IND reports; DSMB charter FDA submission; Safety aggregate reports</w:t>
            </w:r>
          </w:p>
        </w:tc>
        <w:tc>
          <w:tcPr>
            <w:tcW w:type="dxa" w:w="21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Ongoing</w:t>
            </w:r>
          </w:p>
        </w:tc>
      </w:tr>
      <w:tr>
        <w:tc>
          <w:tcPr>
            <w:tcW w:type="dxa" w:w="26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IA1 (~50% events)</w:t>
            </w:r>
          </w:p>
        </w:tc>
        <w:tc>
          <w:tcPr>
            <w:tcW w:type="dxa" w:w="46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Potential Conditional MA discussion with EMA if data compelling; BTD re-assessment</w:t>
            </w:r>
          </w:p>
        </w:tc>
        <w:tc>
          <w:tcPr>
            <w:tcW w:type="dxa" w:w="21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~Q4 2027</w:t>
            </w:r>
          </w:p>
        </w:tc>
      </w:tr>
      <w:tr>
        <w:tc>
          <w:tcPr>
            <w:tcW w:type="dxa" w:w="26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IA2 (~75% events)</w:t>
            </w:r>
          </w:p>
        </w:tc>
        <w:tc>
          <w:tcPr>
            <w:tcW w:type="dxa" w:w="46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Pre-NDA Type B meeting with FDA; PMDA pre-submission meeting; NMPA progress briefing</w:t>
            </w:r>
          </w:p>
        </w:tc>
        <w:tc>
          <w:tcPr>
            <w:tcW w:type="dxa" w:w="21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~Q2 2028</w:t>
            </w:r>
          </w:p>
        </w:tc>
      </w:tr>
      <w:tr>
        <w:tc>
          <w:tcPr>
            <w:tcW w:type="dxa" w:w="26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Primary Analysis</w:t>
            </w:r>
          </w:p>
        </w:tc>
        <w:tc>
          <w:tcPr>
            <w:tcW w:type="dxa" w:w="46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NDA submission (FDA); MAA submission (EMA); J-NDA/NMPA BLA submissions</w:t>
            </w:r>
          </w:p>
        </w:tc>
        <w:tc>
          <w:tcPr>
            <w:tcW w:type="dxa" w:w="21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Q4 2028–Q1 2029</w:t>
            </w:r>
          </w:p>
        </w:tc>
      </w:tr>
      <w:tr>
        <w:tc>
          <w:tcPr>
            <w:tcW w:type="dxa" w:w="26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Post-Submission</w:t>
            </w:r>
          </w:p>
        </w:tc>
        <w:tc>
          <w:tcPr>
            <w:tcW w:type="dxa" w:w="46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FDA AdCom preparation; EMA CHMP Day 120/180 responses; label negotiations</w:t>
            </w:r>
          </w:p>
        </w:tc>
        <w:tc>
          <w:tcPr>
            <w:tcW w:type="dxa" w:w="21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2029</w:t>
            </w:r>
          </w:p>
        </w:tc>
      </w:tr>
      <w:tr>
        <w:tc>
          <w:tcPr>
            <w:tcW w:type="dxa" w:w="26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Approval Target</w:t>
            </w:r>
          </w:p>
        </w:tc>
        <w:tc>
          <w:tcPr>
            <w:tcW w:type="dxa" w:w="46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US FDA approval; EU EMA approval; PMDA approval</w:t>
            </w:r>
          </w:p>
        </w:tc>
        <w:tc>
          <w:tcPr>
            <w:tcW w:type="dxa" w:w="21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Q2–Q4 2030</w:t>
            </w:r>
          </w:p>
        </w:tc>
      </w:tr>
    </w:tbl>
    <w:p>
      <w:pPr>
        <w:spacing w:before="0" w:after="0"/>
      </w:pPr>
      <w:r>
        <w:rPr>
          <w:rFonts w:ascii="Arial" w:cs="Arial" w:eastAsia="Arial" w:hAnsi="Arial"/>
          <w:sz w:val="20"/>
          <w:szCs w:val="20"/>
        </w:rPr>
        <w:t xml:space="preserve"/>
      </w:r>
    </w:p>
    <w:p>
      <w:pPr>
        <w:pStyle w:val="Heading2"/>
        <w:spacing w:before="280" w:after="140"/>
      </w:pPr>
      <w:r>
        <w:rPr>
          <w:rFonts w:ascii="Arial" w:cs="Arial" w:eastAsia="Arial" w:hAnsi="Arial"/>
          <w:b/>
          <w:bCs/>
          <w:color w:val="2E5BA8"/>
          <w:sz w:val="24"/>
          <w:szCs w:val="24"/>
        </w:rPr>
        <w:t xml:space="preserve">3.6 IRB/IEC &amp; Site Regulatory Coordination</w:t>
      </w:r>
    </w:p>
    <w:p>
      <w:pPr>
        <w:spacing w:before="60" w:after="60"/>
      </w:pPr>
      <w:r>
        <w:rPr>
          <w:rFonts w:ascii="Arial" w:cs="Arial" w:eastAsia="Arial" w:hAnsi="Arial"/>
          <w:sz w:val="20"/>
          <w:szCs w:val="20"/>
        </w:rPr>
        <w:t xml:space="preserve">Each site must obtain written IRB/IEC approval prior to initiation. Central IRB (US) and national ethics committee coordination (EU) should be pursued where regulations permit to accelerate approval timelines. Target: ≥80% of US sites on central IRB to reduce site startup time by 4–8 weeks per site.</w:t>
      </w:r>
    </w:p>
    <w:p>
      <w:pPr>
        <w:spacing w:before="0" w:after="0"/>
      </w:pPr>
      <w:r>
        <w:rPr>
          <w:rFonts w:ascii="Arial" w:cs="Arial" w:eastAsia="Arial" w:hAnsi="Arial"/>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6B" w:val="clear"/>
            <w:tcMar>
              <w:top w:type="dxa" w:w="160"/>
              <w:left w:type="dxa" w:w="240"/>
              <w:bottom w:type="dxa" w:w="160"/>
              <w:right w:type="dxa" w:w="240"/>
            </w:tcMar>
          </w:tcPr>
          <w:p>
            <w:pPr>
              <w:spacing w:before="0" w:after="40"/>
            </w:pPr>
            <w:r>
              <w:rPr>
                <w:rFonts w:ascii="Arial" w:cs="Arial" w:eastAsia="Arial" w:hAnsi="Arial"/>
                <w:b/>
                <w:bCs/>
                <w:color w:val="FFFFFF"/>
                <w:sz w:val="26"/>
                <w:szCs w:val="26"/>
              </w:rPr>
              <w:t xml:space="preserve">4. COMPETITIVE LANDSCAPE</w:t>
            </w:r>
          </w:p>
          <w:p>
            <w:pPr>
              <w:spacing w:before="0" w:after="0"/>
            </w:pPr>
            <w:r>
              <w:rPr>
                <w:rFonts w:ascii="Arial" w:cs="Arial" w:eastAsia="Arial" w:hAnsi="Arial"/>
                <w:i/>
                <w:iCs/>
                <w:color w:val="B0C4DE"/>
                <w:sz w:val="18"/>
                <w:szCs w:val="18"/>
              </w:rPr>
              <w:t xml:space="preserve">PD-1/PD-L1 Inhibitors in dMMR/MSI-H mCRC — Approved &amp; Emerging</w:t>
            </w:r>
          </w:p>
        </w:tc>
      </w:tr>
    </w:tbl>
    <w:p>
      <w:pPr>
        <w:spacing w:before="0" w:after="0"/>
      </w:pPr>
      <w:r>
        <w:rPr>
          <w:rFonts w:ascii="Arial" w:cs="Arial" w:eastAsia="Arial" w:hAnsi="Arial"/>
          <w:sz w:val="20"/>
          <w:szCs w:val="20"/>
        </w:rPr>
        <w:t xml:space="preserve"/>
      </w:r>
    </w:p>
    <w:p>
      <w:pPr>
        <w:pStyle w:val="Heading2"/>
        <w:spacing w:before="280" w:after="140"/>
      </w:pPr>
      <w:r>
        <w:rPr>
          <w:rFonts w:ascii="Arial" w:cs="Arial" w:eastAsia="Arial" w:hAnsi="Arial"/>
          <w:b/>
          <w:bCs/>
          <w:color w:val="2E5BA8"/>
          <w:sz w:val="24"/>
          <w:szCs w:val="24"/>
        </w:rPr>
        <w:t xml:space="preserve">4.1 Approved Competitor Landscape</w:t>
      </w:r>
    </w:p>
    <w:p>
      <w:pPr>
        <w:spacing w:before="60" w:after="60"/>
      </w:pPr>
      <w:r>
        <w:rPr>
          <w:rFonts w:ascii="Arial" w:cs="Arial" w:eastAsia="Arial" w:hAnsi="Arial"/>
          <w:sz w:val="20"/>
          <w:szCs w:val="20"/>
        </w:rPr>
        <w:t xml:space="preserve">The dMMR/MSI-H mCRC immune checkpoint space is increasingly crowded. Cervimab must differentiate on clinical outcomes, convenience (flat dosing, Q3W schedule), safety profile, and commercial positioning. Key approved competitors are detailed below:</w:t>
      </w:r>
    </w:p>
    <w:p>
      <w:pPr>
        <w:spacing w:before="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900"/>
        <w:gridCol w:w="1400"/>
        <w:gridCol w:w="1600"/>
        <w:gridCol w:w="1260"/>
        <w:gridCol w:w="900"/>
        <w:gridCol w:w="1500"/>
      </w:tblGrid>
      <w:tr>
        <w:tc>
          <w:tcPr>
            <w:tcW w:type="dxa" w:w="90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18"/>
                <w:szCs w:val="18"/>
              </w:rPr>
              <w:t xml:space="preserve">Agent</w:t>
            </w:r>
          </w:p>
        </w:tc>
        <w:tc>
          <w:tcPr>
            <w:tcW w:type="dxa" w:w="90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18"/>
                <w:szCs w:val="18"/>
              </w:rPr>
              <w:t xml:space="preserve">Sponsor</w:t>
            </w:r>
          </w:p>
        </w:tc>
        <w:tc>
          <w:tcPr>
            <w:tcW w:type="dxa" w:w="90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18"/>
                <w:szCs w:val="18"/>
              </w:rPr>
              <w:t xml:space="preserve">Target</w:t>
            </w:r>
          </w:p>
        </w:tc>
        <w:tc>
          <w:tcPr>
            <w:tcW w:type="dxa" w:w="140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18"/>
                <w:szCs w:val="18"/>
              </w:rPr>
              <w:t xml:space="preserve">Key Trial</w:t>
            </w:r>
          </w:p>
        </w:tc>
        <w:tc>
          <w:tcPr>
            <w:tcW w:type="dxa" w:w="160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18"/>
                <w:szCs w:val="18"/>
              </w:rPr>
              <w:t xml:space="preserve">Key Efficacy Data</w:t>
            </w:r>
          </w:p>
        </w:tc>
        <w:tc>
          <w:tcPr>
            <w:tcW w:type="dxa" w:w="126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18"/>
                <w:szCs w:val="18"/>
              </w:rPr>
              <w:t xml:space="preserve">Dose/Schedule</w:t>
            </w:r>
          </w:p>
        </w:tc>
        <w:tc>
          <w:tcPr>
            <w:tcW w:type="dxa" w:w="90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18"/>
                <w:szCs w:val="18"/>
              </w:rPr>
              <w:t xml:space="preserve">Approvals</w:t>
            </w:r>
          </w:p>
        </w:tc>
        <w:tc>
          <w:tcPr>
            <w:tcW w:type="dxa" w:w="150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18"/>
                <w:szCs w:val="18"/>
              </w:rPr>
              <w:t xml:space="preserve">Positioning</w:t>
            </w:r>
          </w:p>
        </w:tc>
      </w:tr>
      <w:tr>
        <w:tc>
          <w:tcPr>
            <w:tcW w:type="dxa" w:w="9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[object Object]</w:t>
            </w:r>
          </w:p>
        </w:tc>
        <w:tc>
          <w:tcPr>
            <w:tcW w:type="dxa" w:w="9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Merck &amp; Co.</w:t>
            </w:r>
          </w:p>
        </w:tc>
        <w:tc>
          <w:tcPr>
            <w:tcW w:type="dxa" w:w="9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PD-1 (IgG4)</w:t>
            </w:r>
          </w:p>
        </w:tc>
        <w:tc>
          <w:tcPr>
            <w:tcW w:type="dxa" w:w="14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KEYNOTE-177
(Phase 3, 1L)</w:t>
            </w:r>
          </w:p>
        </w:tc>
        <w:tc>
          <w:tcPr>
            <w:tcW w:type="dxa" w:w="16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mPFS 16.5 mo vs 8.2 mo (HR=0.60)
mOS NR vs 36.7 mo
ORR 43.8% vs 33.1%</w:t>
            </w:r>
          </w:p>
        </w:tc>
        <w:tc>
          <w:tcPr>
            <w:tcW w:type="dxa" w:w="12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200 mg Q3W or
400 mg Q6W</w:t>
            </w:r>
          </w:p>
        </w:tc>
        <w:tc>
          <w:tcPr>
            <w:tcW w:type="dxa" w:w="9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FDA 2021
EMA 2021
PMDA 2022</w:t>
            </w:r>
          </w:p>
        </w:tc>
        <w:tc>
          <w:tcPr>
            <w:tcW w:type="dxa" w:w="15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Market leader; ~68% 1L share in dMMR mCRC; strong brand recognition</w:t>
            </w:r>
          </w:p>
        </w:tc>
      </w:tr>
      <w:tr>
        <w:tc>
          <w:tcPr>
            <w:tcW w:type="dxa" w:w="9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[object Object]</w:t>
            </w:r>
          </w:p>
        </w:tc>
        <w:tc>
          <w:tcPr>
            <w:tcW w:type="dxa" w:w="9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Bristol-Myers Squibb</w:t>
            </w:r>
          </w:p>
        </w:tc>
        <w:tc>
          <w:tcPr>
            <w:tcW w:type="dxa" w:w="9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PD-1 (IgG4)</w:t>
            </w:r>
          </w:p>
        </w:tc>
        <w:tc>
          <w:tcPr>
            <w:tcW w:type="dxa" w:w="14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CheckMate 142
(Phase 2, 2L+)</w:t>
            </w:r>
          </w:p>
        </w:tc>
        <w:tc>
          <w:tcPr>
            <w:tcW w:type="dxa" w:w="16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ORR 31.1%
12-mo OS 73%</w:t>
            </w:r>
          </w:p>
        </w:tc>
        <w:tc>
          <w:tcPr>
            <w:tcW w:type="dxa" w:w="12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240 mg Q2W or
480 mg Q4W</w:t>
            </w:r>
          </w:p>
        </w:tc>
        <w:tc>
          <w:tcPr>
            <w:tcW w:type="dxa" w:w="9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FDA 2017
(2L+); no 1L
approval in mCRC</w:t>
            </w:r>
          </w:p>
        </w:tc>
        <w:tc>
          <w:tcPr>
            <w:tcW w:type="dxa" w:w="15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2L+ positioning; nivo+ipi combo in dMMR; no 1L approval yet</w:t>
            </w:r>
          </w:p>
        </w:tc>
      </w:tr>
      <w:tr>
        <w:tc>
          <w:tcPr>
            <w:tcW w:type="dxa" w:w="9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[object Object]</w:t>
            </w:r>
          </w:p>
        </w:tc>
        <w:tc>
          <w:tcPr>
            <w:tcW w:type="dxa" w:w="9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BMS</w:t>
            </w:r>
          </w:p>
        </w:tc>
        <w:tc>
          <w:tcPr>
            <w:tcW w:type="dxa" w:w="9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PD-1 + CTLA-4</w:t>
            </w:r>
          </w:p>
        </w:tc>
        <w:tc>
          <w:tcPr>
            <w:tcW w:type="dxa" w:w="14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CheckMate 8HW
(Phase 3, 1L)</w:t>
            </w:r>
          </w:p>
        </w:tc>
        <w:tc>
          <w:tcPr>
            <w:tcW w:type="dxa" w:w="16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mPFS 24.2 mo (nivo+ipi)
vs 5.9 mo (chemo)
HR=0.21</w:t>
            </w:r>
          </w:p>
        </w:tc>
        <w:tc>
          <w:tcPr>
            <w:tcW w:type="dxa" w:w="12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Nivo 3mg/kg Q2W
+ Ipi 1mg/kg Q6W</w:t>
            </w:r>
          </w:p>
        </w:tc>
        <w:tc>
          <w:tcPr>
            <w:tcW w:type="dxa" w:w="9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FDA 2024 (1L
dMMR/MSI-H)</w:t>
            </w:r>
          </w:p>
        </w:tc>
        <w:tc>
          <w:tcPr>
            <w:tcW w:type="dxa" w:w="15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New entrant; superior PFS data; increased irAE rate; concerns over combination tolerability</w:t>
            </w:r>
          </w:p>
        </w:tc>
      </w:tr>
      <w:tr>
        <w:tc>
          <w:tcPr>
            <w:tcW w:type="dxa" w:w="9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[object Object]</w:t>
            </w:r>
          </w:p>
        </w:tc>
        <w:tc>
          <w:tcPr>
            <w:tcW w:type="dxa" w:w="9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GSK/Tesaro</w:t>
            </w:r>
          </w:p>
        </w:tc>
        <w:tc>
          <w:tcPr>
            <w:tcW w:type="dxa" w:w="9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PD-1 (IgG4)</w:t>
            </w:r>
          </w:p>
        </w:tc>
        <w:tc>
          <w:tcPr>
            <w:tcW w:type="dxa" w:w="14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GARNET
(Phase 1)</w:t>
            </w:r>
          </w:p>
        </w:tc>
        <w:tc>
          <w:tcPr>
            <w:tcW w:type="dxa" w:w="16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ORR 38.7% in
dMMR solid tumors</w:t>
            </w:r>
          </w:p>
        </w:tc>
        <w:tc>
          <w:tcPr>
            <w:tcW w:type="dxa" w:w="12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500 mg Q3W x4,
then 1000 mg Q6W</w:t>
            </w:r>
          </w:p>
        </w:tc>
        <w:tc>
          <w:tcPr>
            <w:tcW w:type="dxa" w:w="9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FDA 2021 (pan-
dMMR solid tumors)</w:t>
            </w:r>
          </w:p>
        </w:tc>
        <w:tc>
          <w:tcPr>
            <w:tcW w:type="dxa" w:w="15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Broad dMMR approval; no CRC-specific Phase 3; weaker CRC prescriber recognition</w:t>
            </w:r>
          </w:p>
        </w:tc>
      </w:tr>
    </w:tbl>
    <w:p>
      <w:pPr>
        <w:spacing w:before="0" w:after="0"/>
      </w:pPr>
      <w:r>
        <w:rPr>
          <w:rFonts w:ascii="Arial" w:cs="Arial" w:eastAsia="Arial" w:hAnsi="Arial"/>
          <w:sz w:val="20"/>
          <w:szCs w:val="20"/>
        </w:rPr>
        <w:t xml:space="preserve"/>
      </w:r>
    </w:p>
    <w:p>
      <w:pPr>
        <w:pStyle w:val="Heading2"/>
        <w:spacing w:before="280" w:after="140"/>
      </w:pPr>
      <w:r>
        <w:rPr>
          <w:rFonts w:ascii="Arial" w:cs="Arial" w:eastAsia="Arial" w:hAnsi="Arial"/>
          <w:b/>
          <w:bCs/>
          <w:color w:val="2E5BA8"/>
          <w:sz w:val="24"/>
          <w:szCs w:val="24"/>
        </w:rPr>
        <w:t xml:space="preserve">4.2 Competitive Clinical Trials in Active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400"/>
        <w:gridCol w:w="1200"/>
        <w:gridCol w:w="1400"/>
        <w:gridCol w:w="1160"/>
      </w:tblGrid>
      <w:tr>
        <w:tc>
          <w:tcPr>
            <w:tcW w:type="dxa" w:w="200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18"/>
                <w:szCs w:val="18"/>
              </w:rPr>
              <w:t xml:space="preserve">Agent</w:t>
            </w:r>
          </w:p>
        </w:tc>
        <w:tc>
          <w:tcPr>
            <w:tcW w:type="dxa" w:w="120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18"/>
                <w:szCs w:val="18"/>
              </w:rPr>
              <w:t xml:space="preserve">Target</w:t>
            </w:r>
          </w:p>
        </w:tc>
        <w:tc>
          <w:tcPr>
            <w:tcW w:type="dxa" w:w="240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18"/>
                <w:szCs w:val="18"/>
              </w:rPr>
              <w:t xml:space="preserve">Trial</w:t>
            </w:r>
          </w:p>
        </w:tc>
        <w:tc>
          <w:tcPr>
            <w:tcW w:type="dxa" w:w="120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18"/>
                <w:szCs w:val="18"/>
              </w:rPr>
              <w:t xml:space="preserve">Phase</w:t>
            </w:r>
          </w:p>
        </w:tc>
        <w:tc>
          <w:tcPr>
            <w:tcW w:type="dxa" w:w="140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18"/>
                <w:szCs w:val="18"/>
              </w:rPr>
              <w:t xml:space="preserve">Status</w:t>
            </w:r>
          </w:p>
        </w:tc>
        <w:tc>
          <w:tcPr>
            <w:tcW w:type="dxa" w:w="116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18"/>
                <w:szCs w:val="18"/>
              </w:rPr>
              <w:t xml:space="preserve">Operational Note</w:t>
            </w:r>
          </w:p>
        </w:tc>
      </w:tr>
      <w:tr>
        <w:tc>
          <w:tcPr>
            <w:tcW w:type="dxa" w:w="20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Tislelizumab (BeiGene)</w:t>
            </w:r>
          </w:p>
        </w:tc>
        <w:tc>
          <w:tcPr>
            <w:tcW w:type="dxa" w:w="1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PD-1</w:t>
            </w:r>
          </w:p>
        </w:tc>
        <w:tc>
          <w:tcPr>
            <w:tcW w:type="dxa" w:w="24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RATIONALE-313 (1L mCRC)</w:t>
            </w:r>
          </w:p>
        </w:tc>
        <w:tc>
          <w:tcPr>
            <w:tcW w:type="dxa" w:w="1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Phase 3</w:t>
            </w:r>
          </w:p>
        </w:tc>
        <w:tc>
          <w:tcPr>
            <w:tcW w:type="dxa" w:w="14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Active, recruiting</w:t>
            </w:r>
          </w:p>
        </w:tc>
        <w:tc>
          <w:tcPr>
            <w:tcW w:type="dxa" w:w="11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Asia-heavy enrollment; potential NMPA competitor</w:t>
            </w:r>
          </w:p>
        </w:tc>
      </w:tr>
      <w:tr>
        <w:tc>
          <w:tcPr>
            <w:tcW w:type="dxa" w:w="20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Sintilimab (Innovent/Lilly)</w:t>
            </w:r>
          </w:p>
        </w:tc>
        <w:tc>
          <w:tcPr>
            <w:tcW w:type="dxa" w:w="12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PD-1</w:t>
            </w:r>
          </w:p>
        </w:tc>
        <w:tc>
          <w:tcPr>
            <w:tcW w:type="dxa" w:w="24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Phase 3 in dMMR mCRC</w:t>
            </w:r>
          </w:p>
        </w:tc>
        <w:tc>
          <w:tcPr>
            <w:tcW w:type="dxa" w:w="12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Phase 3</w:t>
            </w:r>
          </w:p>
        </w:tc>
        <w:tc>
          <w:tcPr>
            <w:tcW w:type="dxa" w:w="14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Planned</w:t>
            </w:r>
          </w:p>
        </w:tc>
        <w:tc>
          <w:tcPr>
            <w:tcW w:type="dxa" w:w="11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China-focused; will compete for Chinese sites</w:t>
            </w:r>
          </w:p>
        </w:tc>
      </w:tr>
      <w:tr>
        <w:tc>
          <w:tcPr>
            <w:tcW w:type="dxa" w:w="20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AK105 (Akesobio)</w:t>
            </w:r>
          </w:p>
        </w:tc>
        <w:tc>
          <w:tcPr>
            <w:tcW w:type="dxa" w:w="1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PD-1</w:t>
            </w:r>
          </w:p>
        </w:tc>
        <w:tc>
          <w:tcPr>
            <w:tcW w:type="dxa" w:w="24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Phase 2/3 combination</w:t>
            </w:r>
          </w:p>
        </w:tc>
        <w:tc>
          <w:tcPr>
            <w:tcW w:type="dxa" w:w="1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Phase 2/3</w:t>
            </w:r>
          </w:p>
        </w:tc>
        <w:tc>
          <w:tcPr>
            <w:tcW w:type="dxa" w:w="14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Recruiting</w:t>
            </w:r>
          </w:p>
        </w:tc>
        <w:tc>
          <w:tcPr>
            <w:tcW w:type="dxa" w:w="11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Novel PD-1; combination with VEGF; limited global footprint</w:t>
            </w:r>
          </w:p>
        </w:tc>
      </w:tr>
      <w:tr>
        <w:tc>
          <w:tcPr>
            <w:tcW w:type="dxa" w:w="20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Retifanlimab (Incyte)</w:t>
            </w:r>
          </w:p>
        </w:tc>
        <w:tc>
          <w:tcPr>
            <w:tcW w:type="dxa" w:w="12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PD-1</w:t>
            </w:r>
          </w:p>
        </w:tc>
        <w:tc>
          <w:tcPr>
            <w:tcW w:type="dxa" w:w="24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Phase 2 dMMR solid tumors</w:t>
            </w:r>
          </w:p>
        </w:tc>
        <w:tc>
          <w:tcPr>
            <w:tcW w:type="dxa" w:w="12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Phase 2</w:t>
            </w:r>
          </w:p>
        </w:tc>
        <w:tc>
          <w:tcPr>
            <w:tcW w:type="dxa" w:w="14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Recruiting</w:t>
            </w:r>
          </w:p>
        </w:tc>
        <w:tc>
          <w:tcPr>
            <w:tcW w:type="dxa" w:w="11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Pan-tumor dMMR; direct dostarlimab competitor</w:t>
            </w:r>
          </w:p>
        </w:tc>
      </w:tr>
      <w:tr>
        <w:tc>
          <w:tcPr>
            <w:tcW w:type="dxa" w:w="20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Ipilimumab+nivo combos</w:t>
            </w:r>
          </w:p>
        </w:tc>
        <w:tc>
          <w:tcPr>
            <w:tcW w:type="dxa" w:w="1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CTLA-4+PD-1</w:t>
            </w:r>
          </w:p>
        </w:tc>
        <w:tc>
          <w:tcPr>
            <w:tcW w:type="dxa" w:w="24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Multiple academic</w:t>
            </w:r>
          </w:p>
        </w:tc>
        <w:tc>
          <w:tcPr>
            <w:tcW w:type="dxa" w:w="1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Phase 2</w:t>
            </w:r>
          </w:p>
        </w:tc>
        <w:tc>
          <w:tcPr>
            <w:tcW w:type="dxa" w:w="14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Various</w:t>
            </w:r>
          </w:p>
        </w:tc>
        <w:tc>
          <w:tcPr>
            <w:tcW w:type="dxa" w:w="11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Academic; high irAE rate limits commercial threat</w:t>
            </w:r>
          </w:p>
        </w:tc>
      </w:tr>
    </w:tbl>
    <w:p>
      <w:pPr>
        <w:spacing w:before="0" w:after="0"/>
      </w:pPr>
      <w:r>
        <w:rPr>
          <w:rFonts w:ascii="Arial" w:cs="Arial" w:eastAsia="Arial" w:hAnsi="Arial"/>
          <w:sz w:val="20"/>
          <w:szCs w:val="20"/>
        </w:rPr>
        <w:t xml:space="preserve"/>
      </w:r>
    </w:p>
    <w:p>
      <w:pPr>
        <w:pStyle w:val="Heading2"/>
        <w:spacing w:before="280" w:after="140"/>
      </w:pPr>
      <w:r>
        <w:rPr>
          <w:rFonts w:ascii="Arial" w:cs="Arial" w:eastAsia="Arial" w:hAnsi="Arial"/>
          <w:b/>
          <w:bCs/>
          <w:color w:val="2E5BA8"/>
          <w:sz w:val="24"/>
          <w:szCs w:val="24"/>
        </w:rPr>
        <w:t xml:space="preserve">4.3 Cervimab Competitive Differentiation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BA8" w:sz="8"/>
              <w:left w:val="single" w:color="2E5BA8" w:sz="8"/>
              <w:bottom w:val="single" w:color="CCCCCC" w:sz="4"/>
              <w:right w:val="single" w:color="CCCCCC" w:sz="4"/>
            </w:tcBorders>
            <w:shd w:fill="D6E4F7" w:val="clear"/>
            <w:tcMar>
              <w:top w:type="dxa" w:w="160"/>
              <w:left w:type="dxa" w:w="200"/>
              <w:bottom w:type="dxa" w:w="160"/>
              <w:right w:type="dxa" w:w="200"/>
            </w:tcMar>
          </w:tcPr>
          <w:p>
            <w:pPr>
              <w:spacing w:before="0" w:after="60"/>
            </w:pPr>
            <w:r>
              <w:rPr>
                <w:rFonts w:ascii="Arial" w:cs="Arial" w:eastAsia="Arial" w:hAnsi="Arial"/>
                <w:b/>
                <w:bCs/>
                <w:color w:val="1B3A6B"/>
                <w:sz w:val="20"/>
                <w:szCs w:val="20"/>
              </w:rPr>
              <w:t xml:space="preserve">Cervimab Differentiation vs Pembrolizumab (Lead Competitor)</w:t>
            </w:r>
          </w:p>
          <w:p>
            <w:pPr>
              <w:pStyle w:val="ListParagraph"/>
              <w:numPr>
                <w:ilvl w:val="0"/>
                <w:numId w:val="2"/>
              </w:numPr>
              <w:spacing w:before="40" w:after="40"/>
            </w:pPr>
            <w:r>
              <w:rPr>
                <w:rFonts w:ascii="Arial" w:cs="Arial" w:eastAsia="Arial" w:hAnsi="Arial"/>
                <w:sz w:val="20"/>
                <w:szCs w:val="20"/>
              </w:rPr>
              <w:t xml:space="preserve">Flat 400 mg Q3W dosing — identical frequency to pembro 200 mg Q3W; simpler than Q6W option; no weight-based calculation</w:t>
            </w:r>
          </w:p>
          <w:p>
            <w:pPr>
              <w:pStyle w:val="ListParagraph"/>
              <w:numPr>
                <w:ilvl w:val="0"/>
                <w:numId w:val="2"/>
              </w:numPr>
              <w:spacing w:before="40" w:after="40"/>
            </w:pPr>
            <w:r>
              <w:rPr>
                <w:rFonts w:ascii="Arial" w:cs="Arial" w:eastAsia="Arial" w:hAnsi="Arial"/>
                <w:sz w:val="20"/>
                <w:szCs w:val="20"/>
              </w:rPr>
              <w:t xml:space="preserve">Sub-nanomolar PD-1 affinity (KD ~0.3 nM vs pembro KD ~0.027 nM — monitor closely; Phase 3 must demonstrate non-inferior or superior clinical outcomes)</w:t>
            </w:r>
          </w:p>
          <w:p>
            <w:pPr>
              <w:pStyle w:val="ListParagraph"/>
              <w:numPr>
                <w:ilvl w:val="0"/>
                <w:numId w:val="2"/>
              </w:numPr>
              <w:spacing w:before="40" w:after="40"/>
            </w:pPr>
            <w:r>
              <w:rPr>
                <w:rFonts w:ascii="Arial" w:cs="Arial" w:eastAsia="Arial" w:hAnsi="Arial"/>
                <w:sz w:val="20"/>
                <w:szCs w:val="20"/>
              </w:rPr>
              <w:t xml:space="preserve">Phase 1/2 ORR 45% in dMMR/MSI-H mCRC (vs KEYNOTE-177 ORR 43.8%) — numerically equivalent; confidence intervals warrant Phase 3 confirmation</w:t>
            </w:r>
          </w:p>
          <w:p>
            <w:pPr>
              <w:pStyle w:val="ListParagraph"/>
              <w:numPr>
                <w:ilvl w:val="0"/>
                <w:numId w:val="2"/>
              </w:numPr>
              <w:spacing w:before="40" w:after="40"/>
            </w:pPr>
            <w:r>
              <w:rPr>
                <w:rFonts w:ascii="Arial" w:cs="Arial" w:eastAsia="Arial" w:hAnsi="Arial"/>
                <w:sz w:val="20"/>
                <w:szCs w:val="20"/>
              </w:rPr>
              <w:t xml:space="preserve">Target HR=0.56 for CERVIMAB-301 PFS (vs HR=0.60 in KEYNOTE-177) — marginally superior assumption; statistical modeling supports 90% power at 480 patients</w:t>
            </w:r>
          </w:p>
          <w:p>
            <w:pPr>
              <w:pStyle w:val="ListParagraph"/>
              <w:numPr>
                <w:ilvl w:val="0"/>
                <w:numId w:val="2"/>
              </w:numPr>
              <w:spacing w:before="40" w:after="40"/>
            </w:pPr>
            <w:r>
              <w:rPr>
                <w:rFonts w:ascii="Arial" w:cs="Arial" w:eastAsia="Arial" w:hAnsi="Arial"/>
                <w:sz w:val="20"/>
                <w:szCs w:val="20"/>
              </w:rPr>
              <w:t xml:space="preserve">IgG4 backbone — same as pembro/nivo; established safety class; reduces regulatory novelty risk</w:t>
            </w:r>
          </w:p>
          <w:p>
            <w:pPr>
              <w:pStyle w:val="ListParagraph"/>
              <w:numPr>
                <w:ilvl w:val="0"/>
                <w:numId w:val="2"/>
              </w:numPr>
              <w:spacing w:before="40" w:after="40"/>
            </w:pPr>
            <w:r>
              <w:rPr>
                <w:rFonts w:ascii="Arial" w:cs="Arial" w:eastAsia="Arial" w:hAnsi="Arial"/>
                <w:sz w:val="20"/>
                <w:szCs w:val="20"/>
              </w:rPr>
              <w:t xml:space="preserve">Commercial strategy: price competitiveness, biosimilar-resistant IP position, expanded biomarker-defined patient selection (TMB, CPS subgroups)</w:t>
            </w:r>
          </w:p>
        </w:tc>
      </w:tr>
    </w:tbl>
    <w:p>
      <w:pPr>
        <w:spacing w:before="0" w:after="0"/>
      </w:pPr>
      <w:r>
        <w:rPr>
          <w:rFonts w:ascii="Arial" w:cs="Arial" w:eastAsia="Arial" w:hAnsi="Arial"/>
          <w:sz w:val="20"/>
          <w:szCs w:val="20"/>
        </w:rPr>
        <w:t xml:space="preserve"/>
      </w:r>
    </w:p>
    <w:p>
      <w:pPr>
        <w:pStyle w:val="Heading2"/>
        <w:spacing w:before="280" w:after="140"/>
      </w:pPr>
      <w:r>
        <w:rPr>
          <w:rFonts w:ascii="Arial" w:cs="Arial" w:eastAsia="Arial" w:hAnsi="Arial"/>
          <w:b/>
          <w:bCs/>
          <w:color w:val="2E5BA8"/>
          <w:sz w:val="24"/>
          <w:szCs w:val="24"/>
        </w:rPr>
        <w:t xml:space="preserve">4.4 Site Competition Risk — Enrollment Impact</w:t>
      </w:r>
    </w:p>
    <w:p>
      <w:pPr>
        <w:spacing w:before="60" w:after="60"/>
      </w:pPr>
      <w:r>
        <w:rPr>
          <w:rFonts w:ascii="Arial" w:cs="Arial" w:eastAsia="Arial" w:hAnsi="Arial"/>
          <w:sz w:val="20"/>
          <w:szCs w:val="20"/>
        </w:rPr>
        <w:t xml:space="preserve">Multiple concurrent PD-1 trials targeting identical dMMR/MSI-H mCRC patients create significant site enrollment competition. Sites actively running KEYNOTE-177 follow-on studies, CheckMate 8HW extensions, or emerging Chinese PD-1 trials will face competing protocol obligations. Mitigation strategies:</w:t>
      </w:r>
    </w:p>
    <w:p>
      <w:pPr>
        <w:pStyle w:val="ListParagraph"/>
        <w:numPr>
          <w:ilvl w:val="0"/>
          <w:numId w:val="2"/>
        </w:numPr>
        <w:spacing w:before="40" w:after="40"/>
      </w:pPr>
      <w:r>
        <w:rPr>
          <w:rFonts w:ascii="Arial" w:cs="Arial" w:eastAsia="Arial" w:hAnsi="Arial"/>
          <w:sz w:val="20"/>
          <w:szCs w:val="20"/>
        </w:rPr>
        <w:t xml:space="preserve">Select sites with documented dMMR/MSI-H screening capability AND not exclusively committed to competing protocols</w:t>
      </w:r>
    </w:p>
    <w:p>
      <w:pPr>
        <w:pStyle w:val="ListParagraph"/>
        <w:numPr>
          <w:ilvl w:val="0"/>
          <w:numId w:val="2"/>
        </w:numPr>
        <w:spacing w:before="40" w:after="40"/>
      </w:pPr>
      <w:r>
        <w:rPr>
          <w:rFonts w:ascii="Arial" w:cs="Arial" w:eastAsia="Arial" w:hAnsi="Arial"/>
          <w:sz w:val="20"/>
          <w:szCs w:val="20"/>
        </w:rPr>
        <w:t xml:space="preserve">Offer competitive site payments, screen failure reimbursement (dMMR/MSI-H testing is costly), and central lab support</w:t>
      </w:r>
    </w:p>
    <w:p>
      <w:pPr>
        <w:pStyle w:val="ListParagraph"/>
        <w:numPr>
          <w:ilvl w:val="0"/>
          <w:numId w:val="2"/>
        </w:numPr>
        <w:spacing w:before="40" w:after="40"/>
      </w:pPr>
      <w:r>
        <w:rPr>
          <w:rFonts w:ascii="Arial" w:cs="Arial" w:eastAsia="Arial" w:hAnsi="Arial"/>
          <w:sz w:val="20"/>
          <w:szCs w:val="20"/>
        </w:rPr>
        <w:t xml:space="preserve">Prioritize sites in geographies underserved by existing approved PD-1 therapies (Latin America, Eastern Europe, Southeast Asia)</w:t>
      </w:r>
    </w:p>
    <w:p>
      <w:pPr>
        <w:pStyle w:val="ListParagraph"/>
        <w:numPr>
          <w:ilvl w:val="0"/>
          <w:numId w:val="2"/>
        </w:numPr>
        <w:spacing w:before="40" w:after="40"/>
      </w:pPr>
      <w:r>
        <w:rPr>
          <w:rFonts w:ascii="Arial" w:cs="Arial" w:eastAsia="Arial" w:hAnsi="Arial"/>
          <w:sz w:val="20"/>
          <w:szCs w:val="20"/>
        </w:rPr>
        <w:t xml:space="preserve">Fast-track site selection: targeting site activation within 6 months of protocol finalization</w:t>
      </w:r>
    </w:p>
    <w:p>
      <w:pPr>
        <w:spacing w:before="0" w:after="0"/>
      </w:pPr>
      <w:r>
        <w:rPr>
          <w:rFonts w:ascii="Arial" w:cs="Arial" w:eastAsia="Arial" w:hAnsi="Arial"/>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6B" w:val="clear"/>
            <w:tcMar>
              <w:top w:type="dxa" w:w="160"/>
              <w:left w:type="dxa" w:w="240"/>
              <w:bottom w:type="dxa" w:w="160"/>
              <w:right w:type="dxa" w:w="240"/>
            </w:tcMar>
          </w:tcPr>
          <w:p>
            <w:pPr>
              <w:spacing w:before="0" w:after="40"/>
            </w:pPr>
            <w:r>
              <w:rPr>
                <w:rFonts w:ascii="Arial" w:cs="Arial" w:eastAsia="Arial" w:hAnsi="Arial"/>
                <w:b/>
                <w:bCs/>
                <w:color w:val="FFFFFF"/>
                <w:sz w:val="26"/>
                <w:szCs w:val="26"/>
              </w:rPr>
              <w:t xml:space="preserve">5. COUNTRY SELECTION STRATEGY</w:t>
            </w:r>
          </w:p>
          <w:p>
            <w:pPr>
              <w:spacing w:before="0" w:after="0"/>
            </w:pPr>
            <w:r>
              <w:rPr>
                <w:rFonts w:ascii="Arial" w:cs="Arial" w:eastAsia="Arial" w:hAnsi="Arial"/>
                <w:i/>
                <w:iCs/>
                <w:color w:val="B0C4DE"/>
                <w:sz w:val="18"/>
                <w:szCs w:val="18"/>
              </w:rPr>
              <w:t xml:space="preserve">20-Country Portfolio | 500-Patient Enrollment Target</w:t>
            </w:r>
          </w:p>
        </w:tc>
      </w:tr>
    </w:tbl>
    <w:p>
      <w:pPr>
        <w:spacing w:before="0" w:after="0"/>
      </w:pPr>
      <w:r>
        <w:rPr>
          <w:rFonts w:ascii="Arial" w:cs="Arial" w:eastAsia="Arial" w:hAnsi="Arial"/>
          <w:sz w:val="20"/>
          <w:szCs w:val="20"/>
        </w:rPr>
        <w:t xml:space="preserve"/>
      </w:r>
    </w:p>
    <w:p>
      <w:pPr>
        <w:pStyle w:val="Heading2"/>
        <w:spacing w:before="280" w:after="140"/>
      </w:pPr>
      <w:r>
        <w:rPr>
          <w:rFonts w:ascii="Arial" w:cs="Arial" w:eastAsia="Arial" w:hAnsi="Arial"/>
          <w:b/>
          <w:bCs/>
          <w:color w:val="2E5BA8"/>
          <w:sz w:val="24"/>
          <w:szCs w:val="24"/>
        </w:rPr>
        <w:t xml:space="preserve">5.1 Country Selection Framework &amp; Scoring Criteria</w:t>
      </w:r>
    </w:p>
    <w:p>
      <w:pPr>
        <w:spacing w:before="60" w:after="60"/>
      </w:pPr>
      <w:r>
        <w:rPr>
          <w:rFonts w:ascii="Arial" w:cs="Arial" w:eastAsia="Arial" w:hAnsi="Arial"/>
          <w:sz w:val="20"/>
          <w:szCs w:val="20"/>
        </w:rPr>
        <w:t xml:space="preserve">Country selection for CERVIMAB-301 was conducted using a weighted multi-criteria scoring model evaluating regulatory speed, disease epidemiology, site infrastructure, competitive landscape, and strategic value. Countries were scored on a 0–10 scale across 7 weighted criteria:</w:t>
      </w:r>
    </w:p>
    <w:p>
      <w:pPr>
        <w:spacing w:before="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18"/>
                <w:szCs w:val="18"/>
              </w:rPr>
              <w:t xml:space="preserve">Selection Criterion (Weight)</w:t>
            </w:r>
          </w:p>
        </w:tc>
        <w:tc>
          <w:tcPr>
            <w:tcW w:type="dxa" w:w="556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18"/>
                <w:szCs w:val="18"/>
              </w:rPr>
              <w:t xml:space="preserve">Definition &amp; Rationale</w:t>
            </w:r>
          </w:p>
        </w:tc>
      </w:tr>
      <w:tr>
        <w:tc>
          <w:tcPr>
            <w:tcW w:type="dxa" w:w="38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Regulatory Speed &amp; Approval Timeline (20%)</w:t>
            </w:r>
          </w:p>
        </w:tc>
        <w:tc>
          <w:tcPr>
            <w:tcW w:type="dxa" w:w="55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Speed from submission to HA approval; IND/CTA requirements; central IRB availability</w:t>
            </w:r>
          </w:p>
        </w:tc>
      </w:tr>
      <w:tr>
        <w:tc>
          <w:tcPr>
            <w:tcW w:type="dxa" w:w="38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CRC Incidence &amp; dMMR/MSI-H Prevalence (20%)</w:t>
            </w:r>
          </w:p>
        </w:tc>
        <w:tc>
          <w:tcPr>
            <w:tcW w:type="dxa" w:w="55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National CRC burden; availability of MSI-H testing in local pathology ecosystem</w:t>
            </w:r>
          </w:p>
        </w:tc>
      </w:tr>
      <w:tr>
        <w:tc>
          <w:tcPr>
            <w:tcW w:type="dxa" w:w="38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Site Infrastructure &amp; GCP Compliance (20%)</w:t>
            </w:r>
          </w:p>
        </w:tc>
        <w:tc>
          <w:tcPr>
            <w:tcW w:type="dxa" w:w="55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Academic cancer centers; phase 3 experience; ICH-GCP adherence; data quality history</w:t>
            </w:r>
          </w:p>
        </w:tc>
      </w:tr>
      <w:tr>
        <w:tc>
          <w:tcPr>
            <w:tcW w:type="dxa" w:w="38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Enrollment Velocity (15%)</w:t>
            </w:r>
          </w:p>
        </w:tc>
        <w:tc>
          <w:tcPr>
            <w:tcW w:type="dxa" w:w="55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Historical screen-to-randomize ratios; mCRC patient flow; treatment-naive pool</w:t>
            </w:r>
          </w:p>
        </w:tc>
      </w:tr>
      <w:tr>
        <w:tc>
          <w:tcPr>
            <w:tcW w:type="dxa" w:w="38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PD-1 Inhibitor Landscape Competition (10%)</w:t>
            </w:r>
          </w:p>
        </w:tc>
        <w:tc>
          <w:tcPr>
            <w:tcW w:type="dxa" w:w="55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Pembrolizumab/nivolumab commercial availability; competing trial burden</w:t>
            </w:r>
          </w:p>
        </w:tc>
      </w:tr>
      <w:tr>
        <w:tc>
          <w:tcPr>
            <w:tcW w:type="dxa" w:w="38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Regulatory/Commercial Strategic Value (10%)</w:t>
            </w:r>
          </w:p>
        </w:tc>
        <w:tc>
          <w:tcPr>
            <w:tcW w:type="dxa" w:w="55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Need for local data for approval (PMDA, NMPA); commercial market size</w:t>
            </w:r>
          </w:p>
        </w:tc>
      </w:tr>
      <w:tr>
        <w:tc>
          <w:tcPr>
            <w:tcW w:type="dxa" w:w="38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Operational Feasibility (5%)</w:t>
            </w:r>
          </w:p>
        </w:tc>
        <w:tc>
          <w:tcPr>
            <w:tcW w:type="dxa" w:w="55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Local CRO infrastructure; language/translation; logistics for IMP distribution</w:t>
            </w:r>
          </w:p>
        </w:tc>
      </w:tr>
    </w:tbl>
    <w:p>
      <w:pPr>
        <w:spacing w:before="0" w:after="0"/>
      </w:pPr>
      <w:r>
        <w:rPr>
          <w:rFonts w:ascii="Arial" w:cs="Arial" w:eastAsia="Arial" w:hAnsi="Arial"/>
          <w:sz w:val="20"/>
          <w:szCs w:val="20"/>
        </w:rPr>
        <w:t xml:space="preserve"/>
      </w:r>
    </w:p>
    <w:p>
      <w:pPr>
        <w:pStyle w:val="Heading2"/>
        <w:spacing w:before="280" w:after="140"/>
      </w:pPr>
      <w:r>
        <w:rPr>
          <w:rFonts w:ascii="Arial" w:cs="Arial" w:eastAsia="Arial" w:hAnsi="Arial"/>
          <w:b/>
          <w:bCs/>
          <w:color w:val="2E5BA8"/>
          <w:sz w:val="24"/>
          <w:szCs w:val="24"/>
        </w:rPr>
        <w:t xml:space="preserve">5.2 Selected Country Portfolio — Target 20 Countries, 200 Sites, 500 Patients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600"/>
        <w:gridCol w:w="600"/>
        <w:gridCol w:w="600"/>
        <w:gridCol w:w="1200"/>
        <w:gridCol w:w="3760"/>
      </w:tblGrid>
      <w:tr>
        <w:tc>
          <w:tcPr>
            <w:tcW w:type="dxa" w:w="140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18"/>
                <w:szCs w:val="18"/>
              </w:rPr>
              <w:t xml:space="preserve">Country</w:t>
            </w:r>
          </w:p>
        </w:tc>
        <w:tc>
          <w:tcPr>
            <w:tcW w:type="dxa" w:w="120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18"/>
                <w:szCs w:val="18"/>
              </w:rPr>
              <w:t xml:space="preserve">Region</w:t>
            </w:r>
          </w:p>
        </w:tc>
        <w:tc>
          <w:tcPr>
            <w:tcW w:type="dxa" w:w="60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18"/>
                <w:szCs w:val="18"/>
              </w:rPr>
              <w:t xml:space="preserve">Sites (#)</w:t>
            </w:r>
          </w:p>
        </w:tc>
        <w:tc>
          <w:tcPr>
            <w:tcW w:type="dxa" w:w="60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18"/>
                <w:szCs w:val="18"/>
              </w:rPr>
              <w:t xml:space="preserve">Pts Target</w:t>
            </w:r>
          </w:p>
        </w:tc>
        <w:tc>
          <w:tcPr>
            <w:tcW w:type="dxa" w:w="60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18"/>
                <w:szCs w:val="18"/>
              </w:rPr>
              <w:t xml:space="preserve">Score
(0–10)</w:t>
            </w:r>
          </w:p>
        </w:tc>
        <w:tc>
          <w:tcPr>
            <w:tcW w:type="dxa" w:w="120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18"/>
                <w:szCs w:val="18"/>
              </w:rPr>
              <w:t xml:space="preserve">SIV Target</w:t>
            </w:r>
          </w:p>
        </w:tc>
        <w:tc>
          <w:tcPr>
            <w:tcW w:type="dxa" w:w="376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18"/>
                <w:szCs w:val="18"/>
              </w:rPr>
              <w:t xml:space="preserve">Rationale</w:t>
            </w:r>
          </w:p>
        </w:tc>
      </w:tr>
      <w:tr>
        <w:tc>
          <w:tcPr>
            <w:tcW w:type="dxa" w:w="14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United States</w:t>
            </w:r>
          </w:p>
        </w:tc>
        <w:tc>
          <w:tcPr>
            <w:tcW w:type="dxa" w:w="1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North America</w:t>
            </w:r>
          </w:p>
        </w:tc>
        <w:tc>
          <w:tcPr>
            <w:tcW w:type="dxa" w:w="6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28</w:t>
            </w:r>
          </w:p>
        </w:tc>
        <w:tc>
          <w:tcPr>
            <w:tcW w:type="dxa" w:w="6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56</w:t>
            </w:r>
          </w:p>
        </w:tc>
        <w:tc>
          <w:tcPr>
            <w:tcW w:type="dxa" w:w="6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8</w:t>
            </w:r>
          </w:p>
        </w:tc>
        <w:tc>
          <w:tcPr>
            <w:tcW w:type="dxa" w:w="1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SIV Q3 2026</w:t>
            </w:r>
          </w:p>
        </w:tc>
        <w:tc>
          <w:tcPr>
            <w:tcW w:type="dxa" w:w="37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Central IRB; highest enrollment rate; BTD fast-start priority</w:t>
            </w:r>
          </w:p>
        </w:tc>
      </w:tr>
      <w:tr>
        <w:tc>
          <w:tcPr>
            <w:tcW w:type="dxa" w:w="14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Canada</w:t>
            </w:r>
          </w:p>
        </w:tc>
        <w:tc>
          <w:tcPr>
            <w:tcW w:type="dxa" w:w="12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North America</w:t>
            </w:r>
          </w:p>
        </w:tc>
        <w:tc>
          <w:tcPr>
            <w:tcW w:type="dxa" w:w="6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8</w:t>
            </w:r>
          </w:p>
        </w:tc>
        <w:tc>
          <w:tcPr>
            <w:tcW w:type="dxa" w:w="6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16</w:t>
            </w:r>
          </w:p>
        </w:tc>
        <w:tc>
          <w:tcPr>
            <w:tcW w:type="dxa" w:w="6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8</w:t>
            </w:r>
          </w:p>
        </w:tc>
        <w:tc>
          <w:tcPr>
            <w:tcW w:type="dxa" w:w="12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SIV Q3 2026</w:t>
            </w:r>
          </w:p>
        </w:tc>
        <w:tc>
          <w:tcPr>
            <w:tcW w:type="dxa" w:w="37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Strong GCP; high dMMR testing rates; NCI-affiliated centers</w:t>
            </w:r>
          </w:p>
        </w:tc>
      </w:tr>
      <w:tr>
        <w:tc>
          <w:tcPr>
            <w:tcW w:type="dxa" w:w="14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Germany</w:t>
            </w:r>
          </w:p>
        </w:tc>
        <w:tc>
          <w:tcPr>
            <w:tcW w:type="dxa" w:w="1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Western Europe</w:t>
            </w:r>
          </w:p>
        </w:tc>
        <w:tc>
          <w:tcPr>
            <w:tcW w:type="dxa" w:w="6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16</w:t>
            </w:r>
          </w:p>
        </w:tc>
        <w:tc>
          <w:tcPr>
            <w:tcW w:type="dxa" w:w="6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32</w:t>
            </w:r>
          </w:p>
        </w:tc>
        <w:tc>
          <w:tcPr>
            <w:tcW w:type="dxa" w:w="6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8</w:t>
            </w:r>
          </w:p>
        </w:tc>
        <w:tc>
          <w:tcPr>
            <w:tcW w:type="dxa" w:w="1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SIV Q4 2026</w:t>
            </w:r>
          </w:p>
        </w:tc>
        <w:tc>
          <w:tcPr>
            <w:tcW w:type="dxa" w:w="37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Fast CA approval; strong oncology infrastructure; ESMO sites</w:t>
            </w:r>
          </w:p>
        </w:tc>
      </w:tr>
      <w:tr>
        <w:tc>
          <w:tcPr>
            <w:tcW w:type="dxa" w:w="14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France</w:t>
            </w:r>
          </w:p>
        </w:tc>
        <w:tc>
          <w:tcPr>
            <w:tcW w:type="dxa" w:w="12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Western Europe</w:t>
            </w:r>
          </w:p>
        </w:tc>
        <w:tc>
          <w:tcPr>
            <w:tcW w:type="dxa" w:w="6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12</w:t>
            </w:r>
          </w:p>
        </w:tc>
        <w:tc>
          <w:tcPr>
            <w:tcW w:type="dxa" w:w="6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24</w:t>
            </w:r>
          </w:p>
        </w:tc>
        <w:tc>
          <w:tcPr>
            <w:tcW w:type="dxa" w:w="6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8</w:t>
            </w:r>
          </w:p>
        </w:tc>
        <w:tc>
          <w:tcPr>
            <w:tcW w:type="dxa" w:w="12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SIV Q4 2026</w:t>
            </w:r>
          </w:p>
        </w:tc>
        <w:tc>
          <w:tcPr>
            <w:tcW w:type="dxa" w:w="37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FFCD network; excellent mCRC expertise; expedited ethics process</w:t>
            </w:r>
          </w:p>
        </w:tc>
      </w:tr>
      <w:tr>
        <w:tc>
          <w:tcPr>
            <w:tcW w:type="dxa" w:w="14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Spain</w:t>
            </w:r>
          </w:p>
        </w:tc>
        <w:tc>
          <w:tcPr>
            <w:tcW w:type="dxa" w:w="1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Western Europe</w:t>
            </w:r>
          </w:p>
        </w:tc>
        <w:tc>
          <w:tcPr>
            <w:tcW w:type="dxa" w:w="6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10</w:t>
            </w:r>
          </w:p>
        </w:tc>
        <w:tc>
          <w:tcPr>
            <w:tcW w:type="dxa" w:w="6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20</w:t>
            </w:r>
          </w:p>
        </w:tc>
        <w:tc>
          <w:tcPr>
            <w:tcW w:type="dxa" w:w="6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8</w:t>
            </w:r>
          </w:p>
        </w:tc>
        <w:tc>
          <w:tcPr>
            <w:tcW w:type="dxa" w:w="1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SIV Q4 2026</w:t>
            </w:r>
          </w:p>
        </w:tc>
        <w:tc>
          <w:tcPr>
            <w:tcW w:type="dxa" w:w="37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TTCC network; high-volume oncology centers; fast CA</w:t>
            </w:r>
          </w:p>
        </w:tc>
      </w:tr>
      <w:tr>
        <w:tc>
          <w:tcPr>
            <w:tcW w:type="dxa" w:w="14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Italy</w:t>
            </w:r>
          </w:p>
        </w:tc>
        <w:tc>
          <w:tcPr>
            <w:tcW w:type="dxa" w:w="12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Western Europe</w:t>
            </w:r>
          </w:p>
        </w:tc>
        <w:tc>
          <w:tcPr>
            <w:tcW w:type="dxa" w:w="6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10</w:t>
            </w:r>
          </w:p>
        </w:tc>
        <w:tc>
          <w:tcPr>
            <w:tcW w:type="dxa" w:w="6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20</w:t>
            </w:r>
          </w:p>
        </w:tc>
        <w:tc>
          <w:tcPr>
            <w:tcW w:type="dxa" w:w="6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7</w:t>
            </w:r>
          </w:p>
        </w:tc>
        <w:tc>
          <w:tcPr>
            <w:tcW w:type="dxa" w:w="12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SIV Q4 2026</w:t>
            </w:r>
          </w:p>
        </w:tc>
        <w:tc>
          <w:tcPr>
            <w:tcW w:type="dxa" w:w="37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GOIM/AIOM network; GCP-compliant; competitive enrollment</w:t>
            </w:r>
          </w:p>
        </w:tc>
      </w:tr>
      <w:tr>
        <w:tc>
          <w:tcPr>
            <w:tcW w:type="dxa" w:w="14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United Kingdom</w:t>
            </w:r>
          </w:p>
        </w:tc>
        <w:tc>
          <w:tcPr>
            <w:tcW w:type="dxa" w:w="1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Western Europe</w:t>
            </w:r>
          </w:p>
        </w:tc>
        <w:tc>
          <w:tcPr>
            <w:tcW w:type="dxa" w:w="6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8</w:t>
            </w:r>
          </w:p>
        </w:tc>
        <w:tc>
          <w:tcPr>
            <w:tcW w:type="dxa" w:w="6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16</w:t>
            </w:r>
          </w:p>
        </w:tc>
        <w:tc>
          <w:tcPr>
            <w:tcW w:type="dxa" w:w="6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9</w:t>
            </w:r>
          </w:p>
        </w:tc>
        <w:tc>
          <w:tcPr>
            <w:tcW w:type="dxa" w:w="1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SIV Q4 2026</w:t>
            </w:r>
          </w:p>
        </w:tc>
        <w:tc>
          <w:tcPr>
            <w:tcW w:type="dxa" w:w="37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MHRA fast approval; NIHR/CRN network; centralized NHS oncology</w:t>
            </w:r>
          </w:p>
        </w:tc>
      </w:tr>
      <w:tr>
        <w:tc>
          <w:tcPr>
            <w:tcW w:type="dxa" w:w="14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Netherlands</w:t>
            </w:r>
          </w:p>
        </w:tc>
        <w:tc>
          <w:tcPr>
            <w:tcW w:type="dxa" w:w="12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Western Europe</w:t>
            </w:r>
          </w:p>
        </w:tc>
        <w:tc>
          <w:tcPr>
            <w:tcW w:type="dxa" w:w="6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6</w:t>
            </w:r>
          </w:p>
        </w:tc>
        <w:tc>
          <w:tcPr>
            <w:tcW w:type="dxa" w:w="6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12</w:t>
            </w:r>
          </w:p>
        </w:tc>
        <w:tc>
          <w:tcPr>
            <w:tcW w:type="dxa" w:w="6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9</w:t>
            </w:r>
          </w:p>
        </w:tc>
        <w:tc>
          <w:tcPr>
            <w:tcW w:type="dxa" w:w="12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SIV Q4 2026</w:t>
            </w:r>
          </w:p>
        </w:tc>
        <w:tc>
          <w:tcPr>
            <w:tcW w:type="dxa" w:w="37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Academic excellence; Hartwig WGS infrastructure; high MSI testing</w:t>
            </w:r>
          </w:p>
        </w:tc>
      </w:tr>
      <w:tr>
        <w:tc>
          <w:tcPr>
            <w:tcW w:type="dxa" w:w="14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Poland</w:t>
            </w:r>
          </w:p>
        </w:tc>
        <w:tc>
          <w:tcPr>
            <w:tcW w:type="dxa" w:w="1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Eastern Europe</w:t>
            </w:r>
          </w:p>
        </w:tc>
        <w:tc>
          <w:tcPr>
            <w:tcW w:type="dxa" w:w="6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12</w:t>
            </w:r>
          </w:p>
        </w:tc>
        <w:tc>
          <w:tcPr>
            <w:tcW w:type="dxa" w:w="6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24</w:t>
            </w:r>
          </w:p>
        </w:tc>
        <w:tc>
          <w:tcPr>
            <w:tcW w:type="dxa" w:w="6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8</w:t>
            </w:r>
          </w:p>
        </w:tc>
        <w:tc>
          <w:tcPr>
            <w:tcW w:type="dxa" w:w="1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SIV Q1 2027</w:t>
            </w:r>
          </w:p>
        </w:tc>
        <w:tc>
          <w:tcPr>
            <w:tcW w:type="dxa" w:w="37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Fast approval; lower competition; cost-effective sites; high volume</w:t>
            </w:r>
          </w:p>
        </w:tc>
      </w:tr>
      <w:tr>
        <w:tc>
          <w:tcPr>
            <w:tcW w:type="dxa" w:w="14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Czech Republic</w:t>
            </w:r>
          </w:p>
        </w:tc>
        <w:tc>
          <w:tcPr>
            <w:tcW w:type="dxa" w:w="12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Eastern Europe</w:t>
            </w:r>
          </w:p>
        </w:tc>
        <w:tc>
          <w:tcPr>
            <w:tcW w:type="dxa" w:w="6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8</w:t>
            </w:r>
          </w:p>
        </w:tc>
        <w:tc>
          <w:tcPr>
            <w:tcW w:type="dxa" w:w="6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16</w:t>
            </w:r>
          </w:p>
        </w:tc>
        <w:tc>
          <w:tcPr>
            <w:tcW w:type="dxa" w:w="6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8</w:t>
            </w:r>
          </w:p>
        </w:tc>
        <w:tc>
          <w:tcPr>
            <w:tcW w:type="dxa" w:w="12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SIV Q1 2027</w:t>
            </w:r>
          </w:p>
        </w:tc>
        <w:tc>
          <w:tcPr>
            <w:tcW w:type="dxa" w:w="37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SUKL rapid approval; academic-community mix; cost-effective</w:t>
            </w:r>
          </w:p>
        </w:tc>
      </w:tr>
      <w:tr>
        <w:tc>
          <w:tcPr>
            <w:tcW w:type="dxa" w:w="14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Hungary</w:t>
            </w:r>
          </w:p>
        </w:tc>
        <w:tc>
          <w:tcPr>
            <w:tcW w:type="dxa" w:w="1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Eastern Europe</w:t>
            </w:r>
          </w:p>
        </w:tc>
        <w:tc>
          <w:tcPr>
            <w:tcW w:type="dxa" w:w="6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6</w:t>
            </w:r>
          </w:p>
        </w:tc>
        <w:tc>
          <w:tcPr>
            <w:tcW w:type="dxa" w:w="6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12</w:t>
            </w:r>
          </w:p>
        </w:tc>
        <w:tc>
          <w:tcPr>
            <w:tcW w:type="dxa" w:w="6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7</w:t>
            </w:r>
          </w:p>
        </w:tc>
        <w:tc>
          <w:tcPr>
            <w:tcW w:type="dxa" w:w="1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SIV Q1 2027</w:t>
            </w:r>
          </w:p>
        </w:tc>
        <w:tc>
          <w:tcPr>
            <w:tcW w:type="dxa" w:w="37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OGYEI approval ~3 months; experienced GCP sites</w:t>
            </w:r>
          </w:p>
        </w:tc>
      </w:tr>
      <w:tr>
        <w:tc>
          <w:tcPr>
            <w:tcW w:type="dxa" w:w="14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Japan</w:t>
            </w:r>
          </w:p>
        </w:tc>
        <w:tc>
          <w:tcPr>
            <w:tcW w:type="dxa" w:w="12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Asia-Pacific</w:t>
            </w:r>
          </w:p>
        </w:tc>
        <w:tc>
          <w:tcPr>
            <w:tcW w:type="dxa" w:w="6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20</w:t>
            </w:r>
          </w:p>
        </w:tc>
        <w:tc>
          <w:tcPr>
            <w:tcW w:type="dxa" w:w="6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40</w:t>
            </w:r>
          </w:p>
        </w:tc>
        <w:tc>
          <w:tcPr>
            <w:tcW w:type="dxa" w:w="6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8</w:t>
            </w:r>
          </w:p>
        </w:tc>
        <w:tc>
          <w:tcPr>
            <w:tcW w:type="dxa" w:w="12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SIV Q2 2027</w:t>
            </w:r>
          </w:p>
        </w:tc>
        <w:tc>
          <w:tcPr>
            <w:tcW w:type="dxa" w:w="37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PMDA bridging data required; 8 JCOG-affiliated sites; mandatory subgroup</w:t>
            </w:r>
          </w:p>
        </w:tc>
      </w:tr>
      <w:tr>
        <w:tc>
          <w:tcPr>
            <w:tcW w:type="dxa" w:w="14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China</w:t>
            </w:r>
          </w:p>
        </w:tc>
        <w:tc>
          <w:tcPr>
            <w:tcW w:type="dxa" w:w="1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Asia-Pacific</w:t>
            </w:r>
          </w:p>
        </w:tc>
        <w:tc>
          <w:tcPr>
            <w:tcW w:type="dxa" w:w="6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25</w:t>
            </w:r>
          </w:p>
        </w:tc>
        <w:tc>
          <w:tcPr>
            <w:tcW w:type="dxa" w:w="6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50</w:t>
            </w:r>
          </w:p>
        </w:tc>
        <w:tc>
          <w:tcPr>
            <w:tcW w:type="dxa" w:w="6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7</w:t>
            </w:r>
          </w:p>
        </w:tc>
        <w:tc>
          <w:tcPr>
            <w:tcW w:type="dxa" w:w="1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SIV Q2 2027</w:t>
            </w:r>
          </w:p>
        </w:tc>
        <w:tc>
          <w:tcPr>
            <w:tcW w:type="dxa" w:w="37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NMPA sIND; high CRC burden; top 5 CRC tertiary hospitals targeted</w:t>
            </w:r>
          </w:p>
        </w:tc>
      </w:tr>
      <w:tr>
        <w:tc>
          <w:tcPr>
            <w:tcW w:type="dxa" w:w="14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South Korea</w:t>
            </w:r>
          </w:p>
        </w:tc>
        <w:tc>
          <w:tcPr>
            <w:tcW w:type="dxa" w:w="12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Asia-Pacific</w:t>
            </w:r>
          </w:p>
        </w:tc>
        <w:tc>
          <w:tcPr>
            <w:tcW w:type="dxa" w:w="6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10</w:t>
            </w:r>
          </w:p>
        </w:tc>
        <w:tc>
          <w:tcPr>
            <w:tcW w:type="dxa" w:w="6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20</w:t>
            </w:r>
          </w:p>
        </w:tc>
        <w:tc>
          <w:tcPr>
            <w:tcW w:type="dxa" w:w="6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8</w:t>
            </w:r>
          </w:p>
        </w:tc>
        <w:tc>
          <w:tcPr>
            <w:tcW w:type="dxa" w:w="12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SIV Q2 2027</w:t>
            </w:r>
          </w:p>
        </w:tc>
        <w:tc>
          <w:tcPr>
            <w:tcW w:type="dxa" w:w="37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MFDS approval ~4 months; KCSG network; high-volume sites</w:t>
            </w:r>
          </w:p>
        </w:tc>
      </w:tr>
      <w:tr>
        <w:tc>
          <w:tcPr>
            <w:tcW w:type="dxa" w:w="14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Australia</w:t>
            </w:r>
          </w:p>
        </w:tc>
        <w:tc>
          <w:tcPr>
            <w:tcW w:type="dxa" w:w="1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Asia-Pacific</w:t>
            </w:r>
          </w:p>
        </w:tc>
        <w:tc>
          <w:tcPr>
            <w:tcW w:type="dxa" w:w="6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8</w:t>
            </w:r>
          </w:p>
        </w:tc>
        <w:tc>
          <w:tcPr>
            <w:tcW w:type="dxa" w:w="6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16</w:t>
            </w:r>
          </w:p>
        </w:tc>
        <w:tc>
          <w:tcPr>
            <w:tcW w:type="dxa" w:w="6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9</w:t>
            </w:r>
          </w:p>
        </w:tc>
        <w:tc>
          <w:tcPr>
            <w:tcW w:type="dxa" w:w="1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SIV Q2 2027</w:t>
            </w:r>
          </w:p>
        </w:tc>
        <w:tc>
          <w:tcPr>
            <w:tcW w:type="dxa" w:w="37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TGA CTN ~4 weeks; AGITG network; English language</w:t>
            </w:r>
          </w:p>
        </w:tc>
      </w:tr>
      <w:tr>
        <w:tc>
          <w:tcPr>
            <w:tcW w:type="dxa" w:w="14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Brazil</w:t>
            </w:r>
          </w:p>
        </w:tc>
        <w:tc>
          <w:tcPr>
            <w:tcW w:type="dxa" w:w="12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Latin America</w:t>
            </w:r>
          </w:p>
        </w:tc>
        <w:tc>
          <w:tcPr>
            <w:tcW w:type="dxa" w:w="6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12</w:t>
            </w:r>
          </w:p>
        </w:tc>
        <w:tc>
          <w:tcPr>
            <w:tcW w:type="dxa" w:w="6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24</w:t>
            </w:r>
          </w:p>
        </w:tc>
        <w:tc>
          <w:tcPr>
            <w:tcW w:type="dxa" w:w="6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7</w:t>
            </w:r>
          </w:p>
        </w:tc>
        <w:tc>
          <w:tcPr>
            <w:tcW w:type="dxa" w:w="12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SIV Q2 2027</w:t>
            </w:r>
          </w:p>
        </w:tc>
        <w:tc>
          <w:tcPr>
            <w:tcW w:type="dxa" w:w="37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ANVISA approval ~6 months; GBCARE network; high CRC volume</w:t>
            </w:r>
          </w:p>
        </w:tc>
      </w:tr>
      <w:tr>
        <w:tc>
          <w:tcPr>
            <w:tcW w:type="dxa" w:w="14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Argentina</w:t>
            </w:r>
          </w:p>
        </w:tc>
        <w:tc>
          <w:tcPr>
            <w:tcW w:type="dxa" w:w="1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Latin America</w:t>
            </w:r>
          </w:p>
        </w:tc>
        <w:tc>
          <w:tcPr>
            <w:tcW w:type="dxa" w:w="6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8</w:t>
            </w:r>
          </w:p>
        </w:tc>
        <w:tc>
          <w:tcPr>
            <w:tcW w:type="dxa" w:w="6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16</w:t>
            </w:r>
          </w:p>
        </w:tc>
        <w:tc>
          <w:tcPr>
            <w:tcW w:type="dxa" w:w="6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7</w:t>
            </w:r>
          </w:p>
        </w:tc>
        <w:tc>
          <w:tcPr>
            <w:tcW w:type="dxa" w:w="1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SIV Q2 2027</w:t>
            </w:r>
          </w:p>
        </w:tc>
        <w:tc>
          <w:tcPr>
            <w:tcW w:type="dxa" w:w="37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ANMAT approval; GOCCHI network; cost-effective enrollment</w:t>
            </w:r>
          </w:p>
        </w:tc>
      </w:tr>
      <w:tr>
        <w:tc>
          <w:tcPr>
            <w:tcW w:type="dxa" w:w="14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Mexico</w:t>
            </w:r>
          </w:p>
        </w:tc>
        <w:tc>
          <w:tcPr>
            <w:tcW w:type="dxa" w:w="12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Latin America</w:t>
            </w:r>
          </w:p>
        </w:tc>
        <w:tc>
          <w:tcPr>
            <w:tcW w:type="dxa" w:w="6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6</w:t>
            </w:r>
          </w:p>
        </w:tc>
        <w:tc>
          <w:tcPr>
            <w:tcW w:type="dxa" w:w="6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12</w:t>
            </w:r>
          </w:p>
        </w:tc>
        <w:tc>
          <w:tcPr>
            <w:tcW w:type="dxa" w:w="6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7</w:t>
            </w:r>
          </w:p>
        </w:tc>
        <w:tc>
          <w:tcPr>
            <w:tcW w:type="dxa" w:w="12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SIV Q2 2027</w:t>
            </w:r>
          </w:p>
        </w:tc>
        <w:tc>
          <w:tcPr>
            <w:tcW w:type="dxa" w:w="37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COFEPRIS improving; LACOG participating sites; growing GCP capacity</w:t>
            </w:r>
          </w:p>
        </w:tc>
      </w:tr>
      <w:tr>
        <w:tc>
          <w:tcPr>
            <w:tcW w:type="dxa" w:w="14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Israel</w:t>
            </w:r>
          </w:p>
        </w:tc>
        <w:tc>
          <w:tcPr>
            <w:tcW w:type="dxa" w:w="1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Middle East/Africa</w:t>
            </w:r>
          </w:p>
        </w:tc>
        <w:tc>
          <w:tcPr>
            <w:tcW w:type="dxa" w:w="6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10</w:t>
            </w:r>
          </w:p>
        </w:tc>
        <w:tc>
          <w:tcPr>
            <w:tcW w:type="dxa" w:w="6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20</w:t>
            </w:r>
          </w:p>
        </w:tc>
        <w:tc>
          <w:tcPr>
            <w:tcW w:type="dxa" w:w="6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9</w:t>
            </w:r>
          </w:p>
        </w:tc>
        <w:tc>
          <w:tcPr>
            <w:tcW w:type="dxa" w:w="1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SIV Q1 2027</w:t>
            </w:r>
          </w:p>
        </w:tc>
        <w:tc>
          <w:tcPr>
            <w:tcW w:type="dxa" w:w="37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MOH fast approval; Sheba/Hadassah/Tel Aviv excellence; high MSI testing</w:t>
            </w:r>
          </w:p>
        </w:tc>
      </w:tr>
      <w:tr>
        <w:tc>
          <w:tcPr>
            <w:tcW w:type="dxa" w:w="14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Turkey</w:t>
            </w:r>
          </w:p>
        </w:tc>
        <w:tc>
          <w:tcPr>
            <w:tcW w:type="dxa" w:w="12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Middle East/Africa</w:t>
            </w:r>
          </w:p>
        </w:tc>
        <w:tc>
          <w:tcPr>
            <w:tcW w:type="dxa" w:w="6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8</w:t>
            </w:r>
          </w:p>
        </w:tc>
        <w:tc>
          <w:tcPr>
            <w:tcW w:type="dxa" w:w="6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16</w:t>
            </w:r>
          </w:p>
        </w:tc>
        <w:tc>
          <w:tcPr>
            <w:tcW w:type="dxa" w:w="6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7</w:t>
            </w:r>
          </w:p>
        </w:tc>
        <w:tc>
          <w:tcPr>
            <w:tcW w:type="dxa" w:w="12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SIV Q1 2027</w:t>
            </w:r>
          </w:p>
        </w:tc>
        <w:tc>
          <w:tcPr>
            <w:tcW w:type="dxa" w:w="37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TITCK approval ~4 months; high mCRC volume; BEYKOZ/Marmara sites</w:t>
            </w:r>
          </w:p>
        </w:tc>
      </w:tr>
    </w:tbl>
    <w:p>
      <w:pPr>
        <w:spacing w:before="0" w:after="0"/>
      </w:pPr>
      <w:r>
        <w:rPr>
          <w:rFonts w:ascii="Arial" w:cs="Arial" w:eastAsia="Arial" w:hAnsi="Arial"/>
          <w:sz w:val="20"/>
          <w:szCs w:val="20"/>
        </w:rPr>
        <w:t xml:space="preserve"/>
      </w:r>
    </w:p>
    <w:p>
      <w:pPr>
        <w:pStyle w:val="Heading2"/>
        <w:spacing w:before="280" w:after="140"/>
      </w:pPr>
      <w:r>
        <w:rPr>
          <w:rFonts w:ascii="Arial" w:cs="Arial" w:eastAsia="Arial" w:hAnsi="Arial"/>
          <w:b/>
          <w:bCs/>
          <w:color w:val="2E5BA8"/>
          <w:sz w:val="24"/>
          <w:szCs w:val="24"/>
        </w:rPr>
        <w:t xml:space="preserve">5.3 Regional Enrollment Allocation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800"/>
        <w:gridCol w:w="800"/>
        <w:gridCol w:w="800"/>
        <w:gridCol w:w="4560"/>
      </w:tblGrid>
      <w:tr>
        <w:tc>
          <w:tcPr>
            <w:tcW w:type="dxa" w:w="160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18"/>
                <w:szCs w:val="18"/>
              </w:rPr>
              <w:t xml:space="preserve">Region</w:t>
            </w:r>
          </w:p>
        </w:tc>
        <w:tc>
          <w:tcPr>
            <w:tcW w:type="dxa" w:w="80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18"/>
                <w:szCs w:val="18"/>
              </w:rPr>
              <w:t xml:space="preserve">Sites</w:t>
            </w:r>
          </w:p>
        </w:tc>
        <w:tc>
          <w:tcPr>
            <w:tcW w:type="dxa" w:w="80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18"/>
                <w:szCs w:val="18"/>
              </w:rPr>
              <w:t xml:space="preserve">% Sites</w:t>
            </w:r>
          </w:p>
        </w:tc>
        <w:tc>
          <w:tcPr>
            <w:tcW w:type="dxa" w:w="80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18"/>
                <w:szCs w:val="18"/>
              </w:rPr>
              <w:t xml:space="preserve">Pts Target</w:t>
            </w:r>
          </w:p>
        </w:tc>
        <w:tc>
          <w:tcPr>
            <w:tcW w:type="dxa" w:w="80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18"/>
                <w:szCs w:val="18"/>
              </w:rPr>
              <w:t xml:space="preserve">% Patients</w:t>
            </w:r>
          </w:p>
        </w:tc>
        <w:tc>
          <w:tcPr>
            <w:tcW w:type="dxa" w:w="456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18"/>
                <w:szCs w:val="18"/>
              </w:rPr>
              <w:t xml:space="preserve">Strategic Rationale</w:t>
            </w:r>
          </w:p>
        </w:tc>
      </w:tr>
      <w:tr>
        <w:tc>
          <w:tcPr>
            <w:tcW w:type="dxa" w:w="16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North America</w:t>
            </w:r>
          </w:p>
        </w:tc>
        <w:tc>
          <w:tcPr>
            <w:tcW w:type="dxa" w:w="8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36</w:t>
            </w:r>
          </w:p>
        </w:tc>
        <w:tc>
          <w:tcPr>
            <w:tcW w:type="dxa" w:w="8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18%</w:t>
            </w:r>
          </w:p>
        </w:tc>
        <w:tc>
          <w:tcPr>
            <w:tcW w:type="dxa" w:w="8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72</w:t>
            </w:r>
          </w:p>
        </w:tc>
        <w:tc>
          <w:tcPr>
            <w:tcW w:type="dxa" w:w="8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14.4%</w:t>
            </w:r>
          </w:p>
        </w:tc>
        <w:tc>
          <w:tcPr>
            <w:tcW w:type="dxa" w:w="45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Highest enrollment rate; fast site activation; BTD benefit</w:t>
            </w:r>
          </w:p>
        </w:tc>
      </w:tr>
      <w:tr>
        <w:tc>
          <w:tcPr>
            <w:tcW w:type="dxa" w:w="16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Western Europe</w:t>
            </w:r>
          </w:p>
        </w:tc>
        <w:tc>
          <w:tcPr>
            <w:tcW w:type="dxa" w:w="8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62</w:t>
            </w:r>
          </w:p>
        </w:tc>
        <w:tc>
          <w:tcPr>
            <w:tcW w:type="dxa" w:w="8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31%</w:t>
            </w:r>
          </w:p>
        </w:tc>
        <w:tc>
          <w:tcPr>
            <w:tcW w:type="dxa" w:w="8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124</w:t>
            </w:r>
          </w:p>
        </w:tc>
        <w:tc>
          <w:tcPr>
            <w:tcW w:type="dxa" w:w="8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24.8%</w:t>
            </w:r>
          </w:p>
        </w:tc>
        <w:tc>
          <w:tcPr>
            <w:tcW w:type="dxa" w:w="45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Strong GCP; ESMO/KSMO networks; EMA MAA population</w:t>
            </w:r>
          </w:p>
        </w:tc>
      </w:tr>
      <w:tr>
        <w:tc>
          <w:tcPr>
            <w:tcW w:type="dxa" w:w="16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Eastern Europe</w:t>
            </w:r>
          </w:p>
        </w:tc>
        <w:tc>
          <w:tcPr>
            <w:tcW w:type="dxa" w:w="8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26</w:t>
            </w:r>
          </w:p>
        </w:tc>
        <w:tc>
          <w:tcPr>
            <w:tcW w:type="dxa" w:w="8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13%</w:t>
            </w:r>
          </w:p>
        </w:tc>
        <w:tc>
          <w:tcPr>
            <w:tcW w:type="dxa" w:w="8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52</w:t>
            </w:r>
          </w:p>
        </w:tc>
        <w:tc>
          <w:tcPr>
            <w:tcW w:type="dxa" w:w="8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10.4%</w:t>
            </w:r>
          </w:p>
        </w:tc>
        <w:tc>
          <w:tcPr>
            <w:tcW w:type="dxa" w:w="45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Cost-efficient; fast HA approval; competitive enrollment rates</w:t>
            </w:r>
          </w:p>
        </w:tc>
      </w:tr>
      <w:tr>
        <w:tc>
          <w:tcPr>
            <w:tcW w:type="dxa" w:w="16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Asia-Pacific</w:t>
            </w:r>
          </w:p>
        </w:tc>
        <w:tc>
          <w:tcPr>
            <w:tcW w:type="dxa" w:w="8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63</w:t>
            </w:r>
          </w:p>
        </w:tc>
        <w:tc>
          <w:tcPr>
            <w:tcW w:type="dxa" w:w="8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31.5%</w:t>
            </w:r>
          </w:p>
        </w:tc>
        <w:tc>
          <w:tcPr>
            <w:tcW w:type="dxa" w:w="8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126</w:t>
            </w:r>
          </w:p>
        </w:tc>
        <w:tc>
          <w:tcPr>
            <w:tcW w:type="dxa" w:w="8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25.2%</w:t>
            </w:r>
          </w:p>
        </w:tc>
        <w:tc>
          <w:tcPr>
            <w:tcW w:type="dxa" w:w="45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PMDA/NMPA bridging; largest CRC burden globally</w:t>
            </w:r>
          </w:p>
        </w:tc>
      </w:tr>
      <w:tr>
        <w:tc>
          <w:tcPr>
            <w:tcW w:type="dxa" w:w="16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Latin America</w:t>
            </w:r>
          </w:p>
        </w:tc>
        <w:tc>
          <w:tcPr>
            <w:tcW w:type="dxa" w:w="8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26</w:t>
            </w:r>
          </w:p>
        </w:tc>
        <w:tc>
          <w:tcPr>
            <w:tcW w:type="dxa" w:w="8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13%</w:t>
            </w:r>
          </w:p>
        </w:tc>
        <w:tc>
          <w:tcPr>
            <w:tcW w:type="dxa" w:w="8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52</w:t>
            </w:r>
          </w:p>
        </w:tc>
        <w:tc>
          <w:tcPr>
            <w:tcW w:type="dxa" w:w="8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10.4%</w:t>
            </w:r>
          </w:p>
        </w:tc>
        <w:tc>
          <w:tcPr>
            <w:tcW w:type="dxa" w:w="45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Growing GCP capacity; underserved by approved PD-1s</w:t>
            </w:r>
          </w:p>
        </w:tc>
      </w:tr>
      <w:tr>
        <w:tc>
          <w:tcPr>
            <w:tcW w:type="dxa" w:w="16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Middle East/Africa</w:t>
            </w:r>
          </w:p>
        </w:tc>
        <w:tc>
          <w:tcPr>
            <w:tcW w:type="dxa" w:w="8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18</w:t>
            </w:r>
          </w:p>
        </w:tc>
        <w:tc>
          <w:tcPr>
            <w:tcW w:type="dxa" w:w="8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9%</w:t>
            </w:r>
          </w:p>
        </w:tc>
        <w:tc>
          <w:tcPr>
            <w:tcW w:type="dxa" w:w="8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74</w:t>
            </w:r>
          </w:p>
        </w:tc>
        <w:tc>
          <w:tcPr>
            <w:tcW w:type="dxa" w:w="8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14.8%</w:t>
            </w:r>
          </w:p>
        </w:tc>
        <w:tc>
          <w:tcPr>
            <w:tcW w:type="dxa" w:w="45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Israel: best-in-class sites; Turkey: volume opportunity</w:t>
            </w:r>
          </w:p>
        </w:tc>
      </w:tr>
      <w:tr>
        <w:tc>
          <w:tcPr>
            <w:tcW w:type="dxa" w:w="16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[object Object]</w:t>
            </w:r>
          </w:p>
        </w:tc>
        <w:tc>
          <w:tcPr>
            <w:tcW w:type="dxa" w:w="8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[object Object]</w:t>
            </w:r>
          </w:p>
        </w:tc>
        <w:tc>
          <w:tcPr>
            <w:tcW w:type="dxa" w:w="8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[object Object]</w:t>
            </w:r>
          </w:p>
        </w:tc>
        <w:tc>
          <w:tcPr>
            <w:tcW w:type="dxa" w:w="8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[object Object]</w:t>
            </w:r>
          </w:p>
        </w:tc>
        <w:tc>
          <w:tcPr>
            <w:tcW w:type="dxa" w:w="8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[object Object]</w:t>
            </w:r>
          </w:p>
        </w:tc>
        <w:tc>
          <w:tcPr>
            <w:tcW w:type="dxa" w:w="45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
            </w:r>
          </w:p>
        </w:tc>
      </w:tr>
    </w:tbl>
    <w:p>
      <w:pPr>
        <w:spacing w:before="0" w:after="0"/>
      </w:pPr>
      <w:r>
        <w:rPr>
          <w:rFonts w:ascii="Arial" w:cs="Arial" w:eastAsia="Arial" w:hAnsi="Arial"/>
          <w:sz w:val="20"/>
          <w:szCs w:val="20"/>
        </w:rPr>
        <w:t xml:space="preserve"/>
      </w:r>
    </w:p>
    <w:p>
      <w:pPr>
        <w:pStyle w:val="Heading2"/>
        <w:spacing w:before="280" w:after="140"/>
      </w:pPr>
      <w:r>
        <w:rPr>
          <w:rFonts w:ascii="Arial" w:cs="Arial" w:eastAsia="Arial" w:hAnsi="Arial"/>
          <w:b/>
          <w:bCs/>
          <w:color w:val="2E5BA8"/>
          <w:sz w:val="24"/>
          <w:szCs w:val="24"/>
        </w:rPr>
        <w:t xml:space="preserve">5.4 Country 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18"/>
                <w:szCs w:val="18"/>
              </w:rPr>
              <w:t xml:space="preserve">Country/Region</w:t>
            </w:r>
          </w:p>
        </w:tc>
        <w:tc>
          <w:tcPr>
            <w:tcW w:type="dxa" w:w="380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18"/>
                <w:szCs w:val="18"/>
              </w:rPr>
              <w:t xml:space="preserve">Key Risk</w:t>
            </w:r>
          </w:p>
        </w:tc>
        <w:tc>
          <w:tcPr>
            <w:tcW w:type="dxa" w:w="376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18"/>
                <w:szCs w:val="18"/>
              </w:rPr>
              <w:t xml:space="preserve">Mitigation Strategy</w:t>
            </w:r>
          </w:p>
        </w:tc>
      </w:tr>
      <w:tr>
        <w:tc>
          <w:tcPr>
            <w:tcW w:type="dxa" w:w="18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China</w:t>
            </w:r>
          </w:p>
        </w:tc>
        <w:tc>
          <w:tcPr>
            <w:tcW w:type="dxa" w:w="38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NMPA regulatory uncertainty; site GCP compliance variability; data integrity risk</w:t>
            </w:r>
          </w:p>
        </w:tc>
        <w:tc>
          <w:tcPr>
            <w:tcW w:type="dxa" w:w="37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Dual monitoring strategy; independent data audits; limit to top-tier Tier 1 hospitals; NMPA pre-submission consultation</w:t>
            </w:r>
          </w:p>
        </w:tc>
      </w:tr>
      <w:tr>
        <w:tc>
          <w:tcPr>
            <w:tcW w:type="dxa" w:w="18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Brazil</w:t>
            </w:r>
          </w:p>
        </w:tc>
        <w:tc>
          <w:tcPr>
            <w:tcW w:type="dxa" w:w="38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ANVISA approval delays (6–12 months); import license complexity for IMP</w:t>
            </w:r>
          </w:p>
        </w:tc>
        <w:tc>
          <w:tcPr>
            <w:tcW w:type="dxa" w:w="37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Early ANVISA submission; 12-month lead time; partner with established local CRO; IMP import buffer stock</w:t>
            </w:r>
          </w:p>
        </w:tc>
      </w:tr>
      <w:tr>
        <w:tc>
          <w:tcPr>
            <w:tcW w:type="dxa" w:w="18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Turkey</w:t>
            </w:r>
          </w:p>
        </w:tc>
        <w:tc>
          <w:tcPr>
            <w:tcW w:type="dxa" w:w="38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IRB process variability; political/currency risk</w:t>
            </w:r>
          </w:p>
        </w:tc>
        <w:tc>
          <w:tcPr>
            <w:tcW w:type="dxa" w:w="37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Central IRB use where available; financial risk hedge in contracts; maintain backup sites</w:t>
            </w:r>
          </w:p>
        </w:tc>
      </w:tr>
      <w:tr>
        <w:tc>
          <w:tcPr>
            <w:tcW w:type="dxa" w:w="18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Japan</w:t>
            </w:r>
          </w:p>
        </w:tc>
        <w:tc>
          <w:tcPr>
            <w:tcW w:type="dxa" w:w="38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PMDA regulatory requirements for Japanese subgroup; enrollment competition from local studies</w:t>
            </w:r>
          </w:p>
        </w:tc>
        <w:tc>
          <w:tcPr>
            <w:tcW w:type="dxa" w:w="37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Dedicated Japan CRA team; engage JCOG early; PMDA Type C meeting pre-study</w:t>
            </w:r>
          </w:p>
        </w:tc>
      </w:tr>
      <w:tr>
        <w:tc>
          <w:tcPr>
            <w:tcW w:type="dxa" w:w="18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All EU sites</w:t>
            </w:r>
          </w:p>
        </w:tc>
        <w:tc>
          <w:tcPr>
            <w:tcW w:type="dxa" w:w="38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EU CTR full implementation; GDPR data transfer complexity</w:t>
            </w:r>
          </w:p>
        </w:tc>
        <w:tc>
          <w:tcPr>
            <w:tcW w:type="dxa" w:w="37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CTIS submission; DPA templates; pre-validated CTIS workflow</w:t>
            </w:r>
          </w:p>
        </w:tc>
      </w:tr>
    </w:tbl>
    <w:p>
      <w:pPr>
        <w:spacing w:before="0" w:after="0"/>
      </w:pPr>
      <w:r>
        <w:rPr>
          <w:rFonts w:ascii="Arial" w:cs="Arial" w:eastAsia="Arial" w:hAnsi="Arial"/>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6B" w:val="clear"/>
            <w:tcMar>
              <w:top w:type="dxa" w:w="160"/>
              <w:left w:type="dxa" w:w="240"/>
              <w:bottom w:type="dxa" w:w="160"/>
              <w:right w:type="dxa" w:w="240"/>
            </w:tcMar>
          </w:tcPr>
          <w:p>
            <w:pPr>
              <w:spacing w:before="0" w:after="40"/>
            </w:pPr>
            <w:r>
              <w:rPr>
                <w:rFonts w:ascii="Arial" w:cs="Arial" w:eastAsia="Arial" w:hAnsi="Arial"/>
                <w:b/>
                <w:bCs/>
                <w:color w:val="FFFFFF"/>
                <w:sz w:val="26"/>
                <w:szCs w:val="26"/>
              </w:rPr>
              <w:t xml:space="preserve">6. SITE SELECTION STRATEGY</w:t>
            </w:r>
          </w:p>
          <w:p>
            <w:pPr>
              <w:spacing w:before="0" w:after="0"/>
            </w:pPr>
            <w:r>
              <w:rPr>
                <w:rFonts w:ascii="Arial" w:cs="Arial" w:eastAsia="Arial" w:hAnsi="Arial"/>
                <w:i/>
                <w:iCs/>
                <w:color w:val="B0C4DE"/>
                <w:sz w:val="18"/>
                <w:szCs w:val="18"/>
              </w:rPr>
              <w:t xml:space="preserve">200 Sites | Qualification, Activation &amp; Tiering</w:t>
            </w:r>
          </w:p>
        </w:tc>
      </w:tr>
    </w:tbl>
    <w:p>
      <w:pPr>
        <w:spacing w:before="0" w:after="0"/>
      </w:pPr>
      <w:r>
        <w:rPr>
          <w:rFonts w:ascii="Arial" w:cs="Arial" w:eastAsia="Arial" w:hAnsi="Arial"/>
          <w:sz w:val="20"/>
          <w:szCs w:val="20"/>
        </w:rPr>
        <w:t xml:space="preserve"/>
      </w:r>
    </w:p>
    <w:p>
      <w:pPr>
        <w:pStyle w:val="Heading2"/>
        <w:spacing w:before="280" w:after="140"/>
      </w:pPr>
      <w:r>
        <w:rPr>
          <w:rFonts w:ascii="Arial" w:cs="Arial" w:eastAsia="Arial" w:hAnsi="Arial"/>
          <w:b/>
          <w:bCs/>
          <w:color w:val="2E5BA8"/>
          <w:sz w:val="24"/>
          <w:szCs w:val="24"/>
        </w:rPr>
        <w:t xml:space="preserve">6.1 Site Selection Process Overview</w:t>
      </w:r>
    </w:p>
    <w:p>
      <w:pPr>
        <w:spacing w:before="60" w:after="60"/>
      </w:pPr>
      <w:r>
        <w:rPr>
          <w:rFonts w:ascii="Arial" w:cs="Arial" w:eastAsia="Arial" w:hAnsi="Arial"/>
          <w:sz w:val="20"/>
          <w:szCs w:val="20"/>
        </w:rPr>
        <w:t xml:space="preserve">Site selection for CERVIMAB-301 will follow a structured 5-phase process from feasibility to final selection, with continuous monitoring of activation readiness. The target is 200 activated sites within 6 months of protocol finalization (SIV Q3–Q4 2026 for Priority Tier 1 sites, phased activation through Q2 2027 for remaining countries).</w:t>
      </w:r>
    </w:p>
    <w:p>
      <w:pPr>
        <w:spacing w:before="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400"/>
        <w:gridCol w:w="3600"/>
        <w:gridCol w:w="1460"/>
      </w:tblGrid>
      <w:tr>
        <w:tc>
          <w:tcPr>
            <w:tcW w:type="dxa" w:w="70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18"/>
                <w:szCs w:val="18"/>
              </w:rPr>
              <w:t xml:space="preserve">Phase</w:t>
            </w:r>
          </w:p>
        </w:tc>
        <w:tc>
          <w:tcPr>
            <w:tcW w:type="dxa" w:w="220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18"/>
                <w:szCs w:val="18"/>
              </w:rPr>
              <w:t xml:space="preserve">Activity</w:t>
            </w:r>
          </w:p>
        </w:tc>
        <w:tc>
          <w:tcPr>
            <w:tcW w:type="dxa" w:w="140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18"/>
                <w:szCs w:val="18"/>
              </w:rPr>
              <w:t xml:space="preserve">Timing</w:t>
            </w:r>
          </w:p>
        </w:tc>
        <w:tc>
          <w:tcPr>
            <w:tcW w:type="dxa" w:w="360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18"/>
                <w:szCs w:val="18"/>
              </w:rPr>
              <w:t xml:space="preserve">Description</w:t>
            </w:r>
          </w:p>
        </w:tc>
        <w:tc>
          <w:tcPr>
            <w:tcW w:type="dxa" w:w="146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18"/>
                <w:szCs w:val="18"/>
              </w:rPr>
              <w:t xml:space="preserve">Deliverable</w:t>
            </w:r>
          </w:p>
        </w:tc>
      </w:tr>
      <w:tr>
        <w:tc>
          <w:tcPr>
            <w:tcW w:type="dxa" w:w="7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Phase 1</w:t>
            </w:r>
          </w:p>
        </w:tc>
        <w:tc>
          <w:tcPr>
            <w:tcW w:type="dxa" w:w="2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Landscape &amp; Feasibility Survey</w:t>
            </w:r>
          </w:p>
        </w:tc>
        <w:tc>
          <w:tcPr>
            <w:tcW w:type="dxa" w:w="14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Months 1–2</w:t>
            </w:r>
          </w:p>
        </w:tc>
        <w:tc>
          <w:tcPr>
            <w:tcW w:type="dxa" w:w="36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Distribute site feasibility questionnaire to ~400 potential sites across 20 countries; assess dMMR/MSI-H testing capability, mCRC patient volume, competing protocols, PI availability</w:t>
            </w:r>
          </w:p>
        </w:tc>
        <w:tc>
          <w:tcPr>
            <w:tcW w:type="dxa" w:w="14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400 sites approached</w:t>
            </w:r>
          </w:p>
        </w:tc>
      </w:tr>
      <w:tr>
        <w:tc>
          <w:tcPr>
            <w:tcW w:type="dxa" w:w="7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Phase 2</w:t>
            </w:r>
          </w:p>
        </w:tc>
        <w:tc>
          <w:tcPr>
            <w:tcW w:type="dxa" w:w="22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Site Evaluation &amp; Scoring</w:t>
            </w:r>
          </w:p>
        </w:tc>
        <w:tc>
          <w:tcPr>
            <w:tcW w:type="dxa" w:w="14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Months 2–3</w:t>
            </w:r>
          </w:p>
        </w:tc>
        <w:tc>
          <w:tcPr>
            <w:tcW w:type="dxa" w:w="36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Site qualification visits (in-person or virtual) at top 300 sites; complete Site Qualification Checklist; GCP audit review; regulatory history review</w:t>
            </w:r>
          </w:p>
        </w:tc>
        <w:tc>
          <w:tcPr>
            <w:tcW w:type="dxa" w:w="14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300 site visits</w:t>
            </w:r>
          </w:p>
        </w:tc>
      </w:tr>
      <w:tr>
        <w:tc>
          <w:tcPr>
            <w:tcW w:type="dxa" w:w="7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Phase 3</w:t>
            </w:r>
          </w:p>
        </w:tc>
        <w:tc>
          <w:tcPr>
            <w:tcW w:type="dxa" w:w="2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Site Tiering &amp; Final Selection</w:t>
            </w:r>
          </w:p>
        </w:tc>
        <w:tc>
          <w:tcPr>
            <w:tcW w:type="dxa" w:w="14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Month 3</w:t>
            </w:r>
          </w:p>
        </w:tc>
        <w:tc>
          <w:tcPr>
            <w:tcW w:type="dxa" w:w="36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Score all evaluated sites; apply Tier 1/2/3 classification; select 200 sites; 50 backup sites identified</w:t>
            </w:r>
          </w:p>
        </w:tc>
        <w:tc>
          <w:tcPr>
            <w:tcW w:type="dxa" w:w="14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200 selected + 50 backup</w:t>
            </w:r>
          </w:p>
        </w:tc>
      </w:tr>
      <w:tr>
        <w:tc>
          <w:tcPr>
            <w:tcW w:type="dxa" w:w="7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Phase 4</w:t>
            </w:r>
          </w:p>
        </w:tc>
        <w:tc>
          <w:tcPr>
            <w:tcW w:type="dxa" w:w="22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Contract &amp; IRB Initiation</w:t>
            </w:r>
          </w:p>
        </w:tc>
        <w:tc>
          <w:tcPr>
            <w:tcW w:type="dxa" w:w="14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Months 3–5</w:t>
            </w:r>
          </w:p>
        </w:tc>
        <w:tc>
          <w:tcPr>
            <w:tcW w:type="dxa" w:w="36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Site CTAs/agreements; IRB/IEC submissions (central IRB US; local ethics EU/APAC); IMP import applications</w:t>
            </w:r>
          </w:p>
        </w:tc>
        <w:tc>
          <w:tcPr>
            <w:tcW w:type="dxa" w:w="14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CTA executed</w:t>
            </w:r>
          </w:p>
        </w:tc>
      </w:tr>
      <w:tr>
        <w:tc>
          <w:tcPr>
            <w:tcW w:type="dxa" w:w="7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Phase 5</w:t>
            </w:r>
          </w:p>
        </w:tc>
        <w:tc>
          <w:tcPr>
            <w:tcW w:type="dxa" w:w="2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Site Initiation &amp; Activation</w:t>
            </w:r>
          </w:p>
        </w:tc>
        <w:tc>
          <w:tcPr>
            <w:tcW w:type="dxa" w:w="14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Months 4–6</w:t>
            </w:r>
          </w:p>
        </w:tc>
        <w:tc>
          <w:tcPr>
            <w:tcW w:type="dxa" w:w="36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Site Initiation Visits (SIVs) at all 200 sites; IWRS training; EDC system certification; local lab certification</w:t>
            </w:r>
          </w:p>
        </w:tc>
        <w:tc>
          <w:tcPr>
            <w:tcW w:type="dxa" w:w="14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200 sites activated</w:t>
            </w:r>
          </w:p>
        </w:tc>
      </w:tr>
    </w:tbl>
    <w:p>
      <w:pPr>
        <w:spacing w:before="0" w:after="0"/>
      </w:pPr>
      <w:r>
        <w:rPr>
          <w:rFonts w:ascii="Arial" w:cs="Arial" w:eastAsia="Arial" w:hAnsi="Arial"/>
          <w:sz w:val="20"/>
          <w:szCs w:val="20"/>
        </w:rPr>
        <w:t xml:space="preserve"/>
      </w:r>
    </w:p>
    <w:p>
      <w:pPr>
        <w:pStyle w:val="Heading2"/>
        <w:spacing w:before="280" w:after="140"/>
      </w:pPr>
      <w:r>
        <w:rPr>
          <w:rFonts w:ascii="Arial" w:cs="Arial" w:eastAsia="Arial" w:hAnsi="Arial"/>
          <w:b/>
          <w:bCs/>
          <w:color w:val="2E5BA8"/>
          <w:sz w:val="24"/>
          <w:szCs w:val="24"/>
        </w:rPr>
        <w:t xml:space="preserve">6.2 Site Qualification Criteria — Minimum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BA8" w:sz="8"/>
              <w:left w:val="single" w:color="2E5BA8" w:sz="8"/>
              <w:bottom w:val="single" w:color="CCCCCC" w:sz="4"/>
              <w:right w:val="single" w:color="CCCCCC" w:sz="4"/>
            </w:tcBorders>
            <w:shd w:fill="D6F0ED" w:val="clear"/>
            <w:tcMar>
              <w:top w:type="dxa" w:w="160"/>
              <w:left w:type="dxa" w:w="200"/>
              <w:bottom w:type="dxa" w:w="160"/>
              <w:right w:type="dxa" w:w="200"/>
            </w:tcMar>
          </w:tcPr>
          <w:p>
            <w:pPr>
              <w:spacing w:before="0" w:after="60"/>
            </w:pPr>
            <w:r>
              <w:rPr>
                <w:rFonts w:ascii="Arial" w:cs="Arial" w:eastAsia="Arial" w:hAnsi="Arial"/>
                <w:b/>
                <w:bCs/>
                <w:color w:val="1B3A6B"/>
                <w:sz w:val="20"/>
                <w:szCs w:val="20"/>
              </w:rPr>
              <w:t xml:space="preserve">Mandatory Site Qualification Requirements (ALL must be met)</w:t>
            </w:r>
          </w:p>
          <w:p>
            <w:pPr>
              <w:pStyle w:val="ListParagraph"/>
              <w:numPr>
                <w:ilvl w:val="0"/>
                <w:numId w:val="2"/>
              </w:numPr>
              <w:spacing w:before="40" w:after="40"/>
            </w:pPr>
            <w:r>
              <w:rPr>
                <w:rFonts w:ascii="Arial" w:cs="Arial" w:eastAsia="Arial" w:hAnsi="Arial"/>
                <w:sz w:val="20"/>
                <w:szCs w:val="20"/>
              </w:rPr>
              <w:t xml:space="preserve">Minimum 15 new mCRC patients/year treated at site (documented from records)</w:t>
            </w:r>
          </w:p>
          <w:p>
            <w:pPr>
              <w:pStyle w:val="ListParagraph"/>
              <w:numPr>
                <w:ilvl w:val="0"/>
                <w:numId w:val="2"/>
              </w:numPr>
              <w:spacing w:before="40" w:after="40"/>
            </w:pPr>
            <w:r>
              <w:rPr>
                <w:rFonts w:ascii="Arial" w:cs="Arial" w:eastAsia="Arial" w:hAnsi="Arial"/>
                <w:sz w:val="20"/>
                <w:szCs w:val="20"/>
              </w:rPr>
              <w:t xml:space="preserve">On-site or contracted dMMR/MSI-H testing capability (IHC + PCR; or agreement with central lab turnaround ≤10 business days)</w:t>
            </w:r>
          </w:p>
          <w:p>
            <w:pPr>
              <w:pStyle w:val="ListParagraph"/>
              <w:numPr>
                <w:ilvl w:val="0"/>
                <w:numId w:val="2"/>
              </w:numPr>
              <w:spacing w:before="40" w:after="40"/>
            </w:pPr>
            <w:r>
              <w:rPr>
                <w:rFonts w:ascii="Arial" w:cs="Arial" w:eastAsia="Arial" w:hAnsi="Arial"/>
                <w:sz w:val="20"/>
                <w:szCs w:val="20"/>
              </w:rPr>
              <w:t xml:space="preserve">Phase 2/3 oncology trial experience within past 3 years; GCP-compliant facilities</w:t>
            </w:r>
          </w:p>
          <w:p>
            <w:pPr>
              <w:pStyle w:val="ListParagraph"/>
              <w:numPr>
                <w:ilvl w:val="0"/>
                <w:numId w:val="2"/>
              </w:numPr>
              <w:spacing w:before="40" w:after="40"/>
            </w:pPr>
            <w:r>
              <w:rPr>
                <w:rFonts w:ascii="Arial" w:cs="Arial" w:eastAsia="Arial" w:hAnsi="Arial"/>
                <w:sz w:val="20"/>
                <w:szCs w:val="20"/>
              </w:rPr>
              <w:t xml:space="preserve">Dedicated sub-investigator and study coordinator for CERVIMAB-301</w:t>
            </w:r>
          </w:p>
          <w:p>
            <w:pPr>
              <w:pStyle w:val="ListParagraph"/>
              <w:numPr>
                <w:ilvl w:val="0"/>
                <w:numId w:val="2"/>
              </w:numPr>
              <w:spacing w:before="40" w:after="40"/>
            </w:pPr>
            <w:r>
              <w:rPr>
                <w:rFonts w:ascii="Arial" w:cs="Arial" w:eastAsia="Arial" w:hAnsi="Arial"/>
                <w:sz w:val="20"/>
                <w:szCs w:val="20"/>
              </w:rPr>
              <w:t xml:space="preserve">CT/MRI imaging capability with DICOM transmission for central BICR review</w:t>
            </w:r>
          </w:p>
          <w:p>
            <w:pPr>
              <w:pStyle w:val="ListParagraph"/>
              <w:numPr>
                <w:ilvl w:val="0"/>
                <w:numId w:val="2"/>
              </w:numPr>
              <w:spacing w:before="40" w:after="40"/>
            </w:pPr>
            <w:r>
              <w:rPr>
                <w:rFonts w:ascii="Arial" w:cs="Arial" w:eastAsia="Arial" w:hAnsi="Arial"/>
                <w:sz w:val="20"/>
                <w:szCs w:val="20"/>
              </w:rPr>
              <w:t xml:space="preserve">Infusion center capability: IV infusion administration, 30-minute infusion monitoring, irAE management protocols</w:t>
            </w:r>
          </w:p>
          <w:p>
            <w:pPr>
              <w:pStyle w:val="ListParagraph"/>
              <w:numPr>
                <w:ilvl w:val="0"/>
                <w:numId w:val="2"/>
              </w:numPr>
              <w:spacing w:before="40" w:after="40"/>
            </w:pPr>
            <w:r>
              <w:rPr>
                <w:rFonts w:ascii="Arial" w:cs="Arial" w:eastAsia="Arial" w:hAnsi="Arial"/>
                <w:sz w:val="20"/>
                <w:szCs w:val="20"/>
              </w:rPr>
              <w:t xml:space="preserve">ICH E6(R2) GCP training current (within 2 years) for all site staff</w:t>
            </w:r>
          </w:p>
          <w:p>
            <w:pPr>
              <w:pStyle w:val="ListParagraph"/>
              <w:numPr>
                <w:ilvl w:val="0"/>
                <w:numId w:val="2"/>
              </w:numPr>
              <w:spacing w:before="40" w:after="40"/>
            </w:pPr>
            <w:r>
              <w:rPr>
                <w:rFonts w:ascii="Arial" w:cs="Arial" w:eastAsia="Arial" w:hAnsi="Arial"/>
                <w:sz w:val="20"/>
                <w:szCs w:val="20"/>
              </w:rPr>
              <w:t xml:space="preserve">IWRS access and EDC system capability (Medidata Rave trained or willing to train)</w:t>
            </w:r>
          </w:p>
          <w:p>
            <w:pPr>
              <w:pStyle w:val="ListParagraph"/>
              <w:numPr>
                <w:ilvl w:val="0"/>
                <w:numId w:val="2"/>
              </w:numPr>
              <w:spacing w:before="40" w:after="40"/>
            </w:pPr>
            <w:r>
              <w:rPr>
                <w:rFonts w:ascii="Arial" w:cs="Arial" w:eastAsia="Arial" w:hAnsi="Arial"/>
                <w:sz w:val="20"/>
                <w:szCs w:val="20"/>
              </w:rPr>
              <w:t xml:space="preserve">Biobank/tissue storage capability: FFPE block archival storage; biospecimen handling per protocol</w:t>
            </w:r>
          </w:p>
        </w:tc>
      </w:tr>
    </w:tbl>
    <w:p>
      <w:pPr>
        <w:spacing w:before="0" w:after="0"/>
      </w:pPr>
      <w:r>
        <w:rPr>
          <w:rFonts w:ascii="Arial" w:cs="Arial" w:eastAsia="Arial" w:hAnsi="Arial"/>
          <w:sz w:val="20"/>
          <w:szCs w:val="20"/>
        </w:rPr>
        <w:t xml:space="preserve"/>
      </w:r>
    </w:p>
    <w:p>
      <w:pPr>
        <w:pStyle w:val="Heading2"/>
        <w:spacing w:before="280" w:after="140"/>
      </w:pPr>
      <w:r>
        <w:rPr>
          <w:rFonts w:ascii="Arial" w:cs="Arial" w:eastAsia="Arial" w:hAnsi="Arial"/>
          <w:b/>
          <w:bCs/>
          <w:color w:val="2E5BA8"/>
          <w:sz w:val="24"/>
          <w:szCs w:val="24"/>
        </w:rPr>
        <w:t xml:space="preserve">6.3 Site Scoring Model (0–100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18"/>
                <w:szCs w:val="18"/>
              </w:rPr>
              <w:t xml:space="preserve">Scoring Criterion</w:t>
            </w:r>
          </w:p>
        </w:tc>
        <w:tc>
          <w:tcPr>
            <w:tcW w:type="dxa" w:w="616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18"/>
                <w:szCs w:val="18"/>
              </w:rPr>
              <w:t xml:space="preserve">Scoring Bands</w:t>
            </w:r>
          </w:p>
        </w:tc>
      </w:tr>
      <w:tr>
        <w:tc>
          <w:tcPr>
            <w:tcW w:type="dxa" w:w="3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mCRC Patient Volume (0–25 pts)</w:t>
            </w:r>
          </w:p>
        </w:tc>
        <w:tc>
          <w:tcPr>
            <w:tcW w:type="dxa" w:w="61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&lt;15 pts/yr=0; 15–29=10; 30–49=18; ≥50=25</w:t>
            </w:r>
          </w:p>
        </w:tc>
      </w:tr>
      <w:tr>
        <w:tc>
          <w:tcPr>
            <w:tcW w:type="dxa" w:w="32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MSI-H Testing Capability (0–20 pts)</w:t>
            </w:r>
          </w:p>
        </w:tc>
        <w:tc>
          <w:tcPr>
            <w:tcW w:type="dxa" w:w="61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No capability=0; Ref lab only (&gt;10d)=8; On-site or ref lab ≤5d=20</w:t>
            </w:r>
          </w:p>
        </w:tc>
      </w:tr>
      <w:tr>
        <w:tc>
          <w:tcPr>
            <w:tcW w:type="dxa" w:w="3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Phase 3 Trial Experience (0–15 pts)</w:t>
            </w:r>
          </w:p>
        </w:tc>
        <w:tc>
          <w:tcPr>
            <w:tcW w:type="dxa" w:w="61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None=0; Phase 2=8; Phase 3 oncology=15</w:t>
            </w:r>
          </w:p>
        </w:tc>
      </w:tr>
      <w:tr>
        <w:tc>
          <w:tcPr>
            <w:tcW w:type="dxa" w:w="32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PI Experience with PD-1 Inhibitors (0–15 pts)</w:t>
            </w:r>
          </w:p>
        </w:tc>
        <w:tc>
          <w:tcPr>
            <w:tcW w:type="dxa" w:w="61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None=0; Phase 2=8; Phase 3 PD-1=15</w:t>
            </w:r>
          </w:p>
        </w:tc>
      </w:tr>
      <w:tr>
        <w:tc>
          <w:tcPr>
            <w:tcW w:type="dxa" w:w="3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Site Regulatory/GCP Record (0–10 pts)</w:t>
            </w:r>
          </w:p>
        </w:tc>
        <w:tc>
          <w:tcPr>
            <w:tcW w:type="dxa" w:w="61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FDA 483/EMA findings in 3 yrs: -5 each; Clean record=10</w:t>
            </w:r>
          </w:p>
        </w:tc>
      </w:tr>
      <w:tr>
        <w:tc>
          <w:tcPr>
            <w:tcW w:type="dxa" w:w="32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Data Quality &amp; Timeliness (0–10 pts)</w:t>
            </w:r>
          </w:p>
        </w:tc>
        <w:tc>
          <w:tcPr>
            <w:tcW w:type="dxa" w:w="61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Based on sponsor audit or RACT data; &gt;15% query rate=0</w:t>
            </w:r>
          </w:p>
        </w:tc>
      </w:tr>
      <w:tr>
        <w:tc>
          <w:tcPr>
            <w:tcW w:type="dxa" w:w="3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Competing Protocol Commitment (0–5 pts)</w:t>
            </w:r>
          </w:p>
        </w:tc>
        <w:tc>
          <w:tcPr>
            <w:tcW w:type="dxa" w:w="61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≥3 competing CKI trials=-5; 1–2=-2; 0=5</w:t>
            </w:r>
          </w:p>
        </w:tc>
      </w:tr>
    </w:tbl>
    <w:p>
      <w:pPr>
        <w:spacing w:before="0" w:after="0"/>
      </w:pPr>
      <w:r>
        <w:rPr>
          <w:rFonts w:ascii="Arial" w:cs="Arial" w:eastAsia="Arial" w:hAnsi="Arial"/>
          <w:sz w:val="20"/>
          <w:szCs w:val="20"/>
        </w:rPr>
        <w:t xml:space="preserve"/>
      </w:r>
    </w:p>
    <w:p>
      <w:pPr>
        <w:pStyle w:val="Heading2"/>
        <w:spacing w:before="280" w:after="140"/>
      </w:pPr>
      <w:r>
        <w:rPr>
          <w:rFonts w:ascii="Arial" w:cs="Arial" w:eastAsia="Arial" w:hAnsi="Arial"/>
          <w:b/>
          <w:bCs/>
          <w:color w:val="2E5BA8"/>
          <w:sz w:val="24"/>
          <w:szCs w:val="24"/>
        </w:rPr>
        <w:t xml:space="preserve">6.4 Site Tiering &amp; Activation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[object Object]</w:t>
            </w:r>
          </w:p>
        </w:tc>
        <w:tc>
          <w:tcPr>
            <w:tcW w:type="dxa" w:w="20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60 sites
(30% of total)</w:t>
            </w:r>
          </w:p>
        </w:tc>
        <w:tc>
          <w:tcPr>
            <w:tcW w:type="dxa" w:w="53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Top-quartile academic/comprehensive cancer centers; &gt;50 mCRC pts/yr; in-house MSI-H; phase 3 PD-1 experience; FDA-cleared; target 4–5 patients/site/year
→ Activate FIRST (SIV within 4 months of protocol)</w:t>
            </w:r>
          </w:p>
        </w:tc>
      </w:tr>
      <w:tr>
        <w:tc>
          <w:tcPr>
            <w:tcW w:type="dxa" w:w="20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[object Object]</w:t>
            </w:r>
          </w:p>
        </w:tc>
        <w:tc>
          <w:tcPr>
            <w:tcW w:type="dxa" w:w="20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100 sites
(50% of total)</w:t>
            </w:r>
          </w:p>
        </w:tc>
        <w:tc>
          <w:tcPr>
            <w:tcW w:type="dxa" w:w="53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Community oncology centers with strong mCRC volume and GCP record; 15–49 mCRC pts/yr; contracted MSI-H testing; ≥1 Phase 2/3 oncology study; target 2–3 patients/site/year
→ Activate 1–2 months after Tier 1</w:t>
            </w:r>
          </w:p>
        </w:tc>
      </w:tr>
      <w:tr>
        <w:tc>
          <w:tcPr>
            <w:tcW w:type="dxa" w:w="20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[object Object]</w:t>
            </w:r>
          </w:p>
        </w:tc>
        <w:tc>
          <w:tcPr>
            <w:tcW w:type="dxa" w:w="20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40 sites
(20% of total)</w:t>
            </w:r>
          </w:p>
        </w:tc>
        <w:tc>
          <w:tcPr>
            <w:tcW w:type="dxa" w:w="53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Community sites or emerging-market sites with volume potential; may require more intensive monitoring; target 1–2 patients/site/year; useful for geographic coverage and RoW enrollment
→ Activate 2–3 months after Tier 2; contingent on Tier 1/2 performance</w:t>
            </w:r>
          </w:p>
        </w:tc>
      </w:tr>
    </w:tbl>
    <w:p>
      <w:pPr>
        <w:spacing w:before="0" w:after="0"/>
      </w:pPr>
      <w:r>
        <w:rPr>
          <w:rFonts w:ascii="Arial" w:cs="Arial" w:eastAsia="Arial" w:hAnsi="Arial"/>
          <w:sz w:val="20"/>
          <w:szCs w:val="20"/>
        </w:rPr>
        <w:t xml:space="preserve"/>
      </w:r>
    </w:p>
    <w:p>
      <w:pPr>
        <w:pStyle w:val="Heading2"/>
        <w:spacing w:before="280" w:after="140"/>
      </w:pPr>
      <w:r>
        <w:rPr>
          <w:rFonts w:ascii="Arial" w:cs="Arial" w:eastAsia="Arial" w:hAnsi="Arial"/>
          <w:b/>
          <w:bCs/>
          <w:color w:val="2E5BA8"/>
          <w:sz w:val="24"/>
          <w:szCs w:val="24"/>
        </w:rPr>
        <w:t xml:space="preserve">6.5 Site Activation Timeline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18"/>
                <w:szCs w:val="18"/>
              </w:rPr>
              <w:t xml:space="preserve">Milestone</w:t>
            </w:r>
          </w:p>
        </w:tc>
        <w:tc>
          <w:tcPr>
            <w:tcW w:type="dxa" w:w="616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18"/>
                <w:szCs w:val="18"/>
              </w:rPr>
              <w:t xml:space="preserve">Target Date</w:t>
            </w:r>
          </w:p>
        </w:tc>
      </w:tr>
      <w:tr>
        <w:tc>
          <w:tcPr>
            <w:tcW w:type="dxa" w:w="3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First Site Activation (Tier 1 US/CA)</w:t>
            </w:r>
          </w:p>
        </w:tc>
        <w:tc>
          <w:tcPr>
            <w:tcW w:type="dxa" w:w="61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Month 4 post-protocol finalization (Q3 2026)</w:t>
            </w:r>
          </w:p>
        </w:tc>
      </w:tr>
      <w:tr>
        <w:tc>
          <w:tcPr>
            <w:tcW w:type="dxa" w:w="32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Tier 1 Sites Fully Activated (60 sites)</w:t>
            </w:r>
          </w:p>
        </w:tc>
        <w:tc>
          <w:tcPr>
            <w:tcW w:type="dxa" w:w="61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Month 6 (Q4 2026)</w:t>
            </w:r>
          </w:p>
        </w:tc>
      </w:tr>
      <w:tr>
        <w:tc>
          <w:tcPr>
            <w:tcW w:type="dxa" w:w="3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Tier 2 North America/Europe Activated</w:t>
            </w:r>
          </w:p>
        </w:tc>
        <w:tc>
          <w:tcPr>
            <w:tcW w:type="dxa" w:w="61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Month 8 (Q1 2027)</w:t>
            </w:r>
          </w:p>
        </w:tc>
      </w:tr>
      <w:tr>
        <w:tc>
          <w:tcPr>
            <w:tcW w:type="dxa" w:w="32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All Tier 2 Sites Activated (160 sites)</w:t>
            </w:r>
          </w:p>
        </w:tc>
        <w:tc>
          <w:tcPr>
            <w:tcW w:type="dxa" w:w="61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Month 10 (Q1 2027)</w:t>
            </w:r>
          </w:p>
        </w:tc>
      </w:tr>
      <w:tr>
        <w:tc>
          <w:tcPr>
            <w:tcW w:type="dxa" w:w="3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Tier 3 Sites Activated (200 sites)</w:t>
            </w:r>
          </w:p>
        </w:tc>
        <w:tc>
          <w:tcPr>
            <w:tcW w:type="dxa" w:w="61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Month 12 (Q2 2027)</w:t>
            </w:r>
          </w:p>
        </w:tc>
      </w:tr>
      <w:tr>
        <w:tc>
          <w:tcPr>
            <w:tcW w:type="dxa" w:w="32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First Patient In (FPI) — Target</w:t>
            </w:r>
          </w:p>
        </w:tc>
        <w:tc>
          <w:tcPr>
            <w:tcW w:type="dxa" w:w="61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Month 5 (Q4 2026) [Tier 1 US site]</w:t>
            </w:r>
          </w:p>
        </w:tc>
      </w:tr>
      <w:tr>
        <w:tc>
          <w:tcPr>
            <w:tcW w:type="dxa" w:w="3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All Sites Activated &amp; Enrolling</w:t>
            </w:r>
          </w:p>
        </w:tc>
        <w:tc>
          <w:tcPr>
            <w:tcW w:type="dxa" w:w="61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Month 12 (Q2 2027)</w:t>
            </w:r>
          </w:p>
        </w:tc>
      </w:tr>
      <w:tr>
        <w:tc>
          <w:tcPr>
            <w:tcW w:type="dxa" w:w="32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Last Patient In (LPI) — Target</w:t>
            </w:r>
          </w:p>
        </w:tc>
        <w:tc>
          <w:tcPr>
            <w:tcW w:type="dxa" w:w="61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Month 29 (Q2 2029 from protocol finalization)</w:t>
            </w:r>
          </w:p>
        </w:tc>
      </w:tr>
    </w:tbl>
    <w:p>
      <w:pPr>
        <w:spacing w:before="0" w:after="0"/>
      </w:pPr>
      <w:r>
        <w:rPr>
          <w:rFonts w:ascii="Arial" w:cs="Arial" w:eastAsia="Arial" w:hAnsi="Arial"/>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6B" w:val="clear"/>
            <w:tcMar>
              <w:top w:type="dxa" w:w="160"/>
              <w:left w:type="dxa" w:w="240"/>
              <w:bottom w:type="dxa" w:w="160"/>
              <w:right w:type="dxa" w:w="240"/>
            </w:tcMar>
          </w:tcPr>
          <w:p>
            <w:pPr>
              <w:spacing w:before="0" w:after="40"/>
            </w:pPr>
            <w:r>
              <w:rPr>
                <w:rFonts w:ascii="Arial" w:cs="Arial" w:eastAsia="Arial" w:hAnsi="Arial"/>
                <w:b/>
                <w:bCs/>
                <w:color w:val="FFFFFF"/>
                <w:sz w:val="26"/>
                <w:szCs w:val="26"/>
              </w:rPr>
              <w:t xml:space="preserve">7. ENROLLMENT FORECASTING &amp; SCENARIO MODELING</w:t>
            </w:r>
          </w:p>
          <w:p>
            <w:pPr>
              <w:spacing w:before="0" w:after="0"/>
            </w:pPr>
            <w:r>
              <w:rPr>
                <w:rFonts w:ascii="Arial" w:cs="Arial" w:eastAsia="Arial" w:hAnsi="Arial"/>
                <w:i/>
                <w:iCs/>
                <w:color w:val="B0C4DE"/>
                <w:sz w:val="18"/>
                <w:szCs w:val="18"/>
              </w:rPr>
              <w:t xml:space="preserve">500-Patient Target | Monthly Projections | Risk Scenarios</w:t>
            </w:r>
          </w:p>
        </w:tc>
      </w:tr>
    </w:tbl>
    <w:p>
      <w:pPr>
        <w:spacing w:before="0" w:after="0"/>
      </w:pPr>
      <w:r>
        <w:rPr>
          <w:rFonts w:ascii="Arial" w:cs="Arial" w:eastAsia="Arial" w:hAnsi="Arial"/>
          <w:sz w:val="20"/>
          <w:szCs w:val="20"/>
        </w:rPr>
        <w:t xml:space="preserve"/>
      </w:r>
    </w:p>
    <w:p>
      <w:pPr>
        <w:pStyle w:val="Heading2"/>
        <w:spacing w:before="280" w:after="140"/>
      </w:pPr>
      <w:r>
        <w:rPr>
          <w:rFonts w:ascii="Arial" w:cs="Arial" w:eastAsia="Arial" w:hAnsi="Arial"/>
          <w:b/>
          <w:bCs/>
          <w:color w:val="2E5BA8"/>
          <w:sz w:val="24"/>
          <w:szCs w:val="24"/>
        </w:rPr>
        <w:t xml:space="preserve">7.1 Enrollment Assumptions &amp; Key Drivers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18"/>
                <w:szCs w:val="18"/>
              </w:rPr>
              <w:t xml:space="preserve">Key Assumption</w:t>
            </w:r>
          </w:p>
        </w:tc>
        <w:tc>
          <w:tcPr>
            <w:tcW w:type="dxa" w:w="616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18"/>
                <w:szCs w:val="18"/>
              </w:rPr>
              <w:t xml:space="preserve">Value</w:t>
            </w:r>
          </w:p>
        </w:tc>
      </w:tr>
      <w:tr>
        <w:tc>
          <w:tcPr>
            <w:tcW w:type="dxa" w:w="3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dMMR/MSI-H Prevalence in mCRC</w:t>
            </w:r>
          </w:p>
        </w:tc>
        <w:tc>
          <w:tcPr>
            <w:tcW w:type="dxa" w:w="61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4–5% of all metastatic CRC patients (epidemiologically)</w:t>
            </w:r>
          </w:p>
        </w:tc>
      </w:tr>
      <w:tr>
        <w:tc>
          <w:tcPr>
            <w:tcW w:type="dxa" w:w="32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MSI-H Screening Rate (site-level)</w:t>
            </w:r>
          </w:p>
        </w:tc>
        <w:tc>
          <w:tcPr>
            <w:tcW w:type="dxa" w:w="61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~70% of eligible mCRC patients screened for MSI-H status</w:t>
            </w:r>
          </w:p>
        </w:tc>
      </w:tr>
      <w:tr>
        <w:tc>
          <w:tcPr>
            <w:tcW w:type="dxa" w:w="3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Screen-to-Randomize Conversion</w:t>
            </w:r>
          </w:p>
        </w:tc>
        <w:tc>
          <w:tcPr>
            <w:tcW w:type="dxa" w:w="61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~35% of screened dMMR/MSI-H patients meet all I/E criteria and consent</w:t>
            </w:r>
          </w:p>
        </w:tc>
      </w:tr>
      <w:tr>
        <w:tc>
          <w:tcPr>
            <w:tcW w:type="dxa" w:w="32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Overall Screening Yield</w:t>
            </w:r>
          </w:p>
        </w:tc>
        <w:tc>
          <w:tcPr>
            <w:tcW w:type="dxa" w:w="61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~70% x 35% = ~25% net randomization rate from eligible mCRC patients screened</w:t>
            </w:r>
          </w:p>
        </w:tc>
      </w:tr>
      <w:tr>
        <w:tc>
          <w:tcPr>
            <w:tcW w:type="dxa" w:w="3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Screen Failure Rate</w:t>
            </w:r>
          </w:p>
        </w:tc>
        <w:tc>
          <w:tcPr>
            <w:tcW w:type="dxa" w:w="61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Anticipated 65%; primary reasons: MSS/pMMR status (30%), prior systemic mCRC therapy (20%), organ function (10%), other (15%)</w:t>
            </w:r>
          </w:p>
        </w:tc>
      </w:tr>
      <w:tr>
        <w:tc>
          <w:tcPr>
            <w:tcW w:type="dxa" w:w="32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Average Site Enrollment Rate</w:t>
            </w:r>
          </w:p>
        </w:tc>
        <w:tc>
          <w:tcPr>
            <w:tcW w:type="dxa" w:w="61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~2.5 patients/site/year (blended Tier 1/2/3); peak ~4.0 pts/site/yr for Tier 1</w:t>
            </w:r>
          </w:p>
        </w:tc>
      </w:tr>
      <w:tr>
        <w:tc>
          <w:tcPr>
            <w:tcW w:type="dxa" w:w="3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Ramp-Up Period</w:t>
            </w:r>
          </w:p>
        </w:tc>
        <w:tc>
          <w:tcPr>
            <w:tcW w:type="dxa" w:w="61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Months 1–6 post-FPI: gradual ramp from 5 → 20 pts/month</w:t>
            </w:r>
          </w:p>
        </w:tc>
      </w:tr>
      <w:tr>
        <w:tc>
          <w:tcPr>
            <w:tcW w:type="dxa" w:w="32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Peak Enrollment Rate</w:t>
            </w:r>
          </w:p>
        </w:tc>
        <w:tc>
          <w:tcPr>
            <w:tcW w:type="dxa" w:w="61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Months 7–24: ~20–22 patients/month (all 200 sites enrolling)</w:t>
            </w:r>
          </w:p>
        </w:tc>
      </w:tr>
      <w:tr>
        <w:tc>
          <w:tcPr>
            <w:tcW w:type="dxa" w:w="3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Drop-Off Period</w:t>
            </w:r>
          </w:p>
        </w:tc>
        <w:tc>
          <w:tcPr>
            <w:tcW w:type="dxa" w:w="61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Months 21–24: enrollment taper as LPI approaches</w:t>
            </w:r>
          </w:p>
        </w:tc>
      </w:tr>
      <w:tr>
        <w:tc>
          <w:tcPr>
            <w:tcW w:type="dxa" w:w="32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Dropout/Withdrawal Rate</w:t>
            </w:r>
          </w:p>
        </w:tc>
        <w:tc>
          <w:tcPr>
            <w:tcW w:type="dxa" w:w="61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~5% pre-randomization; ~8% during treatment (non-completion of randomized period)</w:t>
            </w:r>
          </w:p>
        </w:tc>
      </w:tr>
    </w:tbl>
    <w:p>
      <w:pPr>
        <w:spacing w:before="0" w:after="0"/>
      </w:pPr>
      <w:r>
        <w:rPr>
          <w:rFonts w:ascii="Arial" w:cs="Arial" w:eastAsia="Arial" w:hAnsi="Arial"/>
          <w:sz w:val="20"/>
          <w:szCs w:val="20"/>
        </w:rPr>
        <w:t xml:space="preserve"/>
      </w:r>
    </w:p>
    <w:p>
      <w:pPr>
        <w:pStyle w:val="Heading2"/>
        <w:spacing w:before="280" w:after="140"/>
      </w:pPr>
      <w:r>
        <w:rPr>
          <w:rFonts w:ascii="Arial" w:cs="Arial" w:eastAsia="Arial" w:hAnsi="Arial"/>
          <w:b/>
          <w:bCs/>
          <w:color w:val="2E5BA8"/>
          <w:sz w:val="24"/>
          <w:szCs w:val="24"/>
        </w:rPr>
        <w:t xml:space="preserve">7.2 Monthly Enrollment Projection — Base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400"/>
        <w:gridCol w:w="1600"/>
        <w:gridCol w:w="2760"/>
      </w:tblGrid>
      <w:tr>
        <w:tc>
          <w:tcPr>
            <w:tcW w:type="dxa" w:w="120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18"/>
                <w:szCs w:val="18"/>
              </w:rPr>
              <w:t xml:space="preserve">Period</w:t>
            </w:r>
          </w:p>
        </w:tc>
        <w:tc>
          <w:tcPr>
            <w:tcW w:type="dxa" w:w="240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18"/>
                <w:szCs w:val="18"/>
              </w:rPr>
              <w:t xml:space="preserve">Sites Status</w:t>
            </w:r>
          </w:p>
        </w:tc>
        <w:tc>
          <w:tcPr>
            <w:tcW w:type="dxa" w:w="140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18"/>
                <w:szCs w:val="18"/>
              </w:rPr>
              <w:t xml:space="preserve">Rate (pts/month)</w:t>
            </w:r>
          </w:p>
        </w:tc>
        <w:tc>
          <w:tcPr>
            <w:tcW w:type="dxa" w:w="160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18"/>
                <w:szCs w:val="18"/>
              </w:rPr>
              <w:t xml:space="preserve">Cumulative Total</w:t>
            </w:r>
          </w:p>
        </w:tc>
        <w:tc>
          <w:tcPr>
            <w:tcW w:type="dxa" w:w="276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18"/>
                <w:szCs w:val="18"/>
              </w:rPr>
              <w:t xml:space="preserve">Phase</w:t>
            </w:r>
          </w:p>
        </w:tc>
      </w:tr>
      <w:tr>
        <w:tc>
          <w:tcPr>
            <w:tcW w:type="dxa" w:w="1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Months 1–3</w:t>
            </w:r>
          </w:p>
        </w:tc>
        <w:tc>
          <w:tcPr>
            <w:tcW w:type="dxa" w:w="24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Tier 1 sites activating; 10–15 sites open</w:t>
            </w:r>
          </w:p>
        </w:tc>
        <w:tc>
          <w:tcPr>
            <w:tcW w:type="dxa" w:w="14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3–5 pts/month</w:t>
            </w:r>
          </w:p>
        </w:tc>
        <w:tc>
          <w:tcPr>
            <w:tcW w:type="dxa" w:w="16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5–15</w:t>
            </w:r>
          </w:p>
        </w:tc>
        <w:tc>
          <w:tcPr>
            <w:tcW w:type="dxa" w:w="27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Ramp-up phase</w:t>
            </w:r>
          </w:p>
        </w:tc>
      </w:tr>
      <w:tr>
        <w:tc>
          <w:tcPr>
            <w:tcW w:type="dxa" w:w="12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Months 4–6</w:t>
            </w:r>
          </w:p>
        </w:tc>
        <w:tc>
          <w:tcPr>
            <w:tcW w:type="dxa" w:w="24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Tier 1 fully active; Tier 2 activating; ~80 sites</w:t>
            </w:r>
          </w:p>
        </w:tc>
        <w:tc>
          <w:tcPr>
            <w:tcW w:type="dxa" w:w="14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8–12 pts/month</w:t>
            </w:r>
          </w:p>
        </w:tc>
        <w:tc>
          <w:tcPr>
            <w:tcW w:type="dxa" w:w="16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16–51</w:t>
            </w:r>
          </w:p>
        </w:tc>
        <w:tc>
          <w:tcPr>
            <w:tcW w:type="dxa" w:w="27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Accelerating</w:t>
            </w:r>
          </w:p>
        </w:tc>
      </w:tr>
      <w:tr>
        <w:tc>
          <w:tcPr>
            <w:tcW w:type="dxa" w:w="1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Months 7–12</w:t>
            </w:r>
          </w:p>
        </w:tc>
        <w:tc>
          <w:tcPr>
            <w:tcW w:type="dxa" w:w="24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Tier 1+2 fully enrolling; ~160 sites</w:t>
            </w:r>
          </w:p>
        </w:tc>
        <w:tc>
          <w:tcPr>
            <w:tcW w:type="dxa" w:w="14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15–20 pts/month</w:t>
            </w:r>
          </w:p>
        </w:tc>
        <w:tc>
          <w:tcPr>
            <w:tcW w:type="dxa" w:w="16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52–171</w:t>
            </w:r>
          </w:p>
        </w:tc>
        <w:tc>
          <w:tcPr>
            <w:tcW w:type="dxa" w:w="27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Full speed</w:t>
            </w:r>
          </w:p>
        </w:tc>
      </w:tr>
      <w:tr>
        <w:tc>
          <w:tcPr>
            <w:tcW w:type="dxa" w:w="12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Months 13–18</w:t>
            </w:r>
          </w:p>
        </w:tc>
        <w:tc>
          <w:tcPr>
            <w:tcW w:type="dxa" w:w="24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All 200 sites enrolling</w:t>
            </w:r>
          </w:p>
        </w:tc>
        <w:tc>
          <w:tcPr>
            <w:tcW w:type="dxa" w:w="14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20–22 pts/month</w:t>
            </w:r>
          </w:p>
        </w:tc>
        <w:tc>
          <w:tcPr>
            <w:tcW w:type="dxa" w:w="16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172–302</w:t>
            </w:r>
          </w:p>
        </w:tc>
        <w:tc>
          <w:tcPr>
            <w:tcW w:type="dxa" w:w="27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Peak enrollment</w:t>
            </w:r>
          </w:p>
        </w:tc>
      </w:tr>
      <w:tr>
        <w:tc>
          <w:tcPr>
            <w:tcW w:type="dxa" w:w="1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Months 19–24</w:t>
            </w:r>
          </w:p>
        </w:tc>
        <w:tc>
          <w:tcPr>
            <w:tcW w:type="dxa" w:w="24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Target close to achieved; selective site pause</w:t>
            </w:r>
          </w:p>
        </w:tc>
        <w:tc>
          <w:tcPr>
            <w:tcW w:type="dxa" w:w="14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15–20 pts/month</w:t>
            </w:r>
          </w:p>
        </w:tc>
        <w:tc>
          <w:tcPr>
            <w:tcW w:type="dxa" w:w="16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303–420</w:t>
            </w:r>
          </w:p>
        </w:tc>
        <w:tc>
          <w:tcPr>
            <w:tcW w:type="dxa" w:w="27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Maintaining pace</w:t>
            </w:r>
          </w:p>
        </w:tc>
      </w:tr>
      <w:tr>
        <w:tc>
          <w:tcPr>
            <w:tcW w:type="dxa" w:w="12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Months 25–29</w:t>
            </w:r>
          </w:p>
        </w:tc>
        <w:tc>
          <w:tcPr>
            <w:tcW w:type="dxa" w:w="24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Buffer period for screen failures; LPI cleanup</w:t>
            </w:r>
          </w:p>
        </w:tc>
        <w:tc>
          <w:tcPr>
            <w:tcW w:type="dxa" w:w="14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5–15 pts/month</w:t>
            </w:r>
          </w:p>
        </w:tc>
        <w:tc>
          <w:tcPr>
            <w:tcW w:type="dxa" w:w="16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421–500</w:t>
            </w:r>
          </w:p>
        </w:tc>
        <w:tc>
          <w:tcPr>
            <w:tcW w:type="dxa" w:w="27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Completion</w:t>
            </w:r>
          </w:p>
        </w:tc>
      </w:tr>
      <w:tr>
        <w:tc>
          <w:tcPr>
            <w:tcW w:type="dxa" w:w="1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[object Object]</w:t>
            </w:r>
          </w:p>
        </w:tc>
        <w:tc>
          <w:tcPr>
            <w:tcW w:type="dxa" w:w="24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
            </w:r>
          </w:p>
        </w:tc>
        <w:tc>
          <w:tcPr>
            <w:tcW w:type="dxa" w:w="14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
            </w:r>
          </w:p>
        </w:tc>
        <w:tc>
          <w:tcPr>
            <w:tcW w:type="dxa" w:w="16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bold(500)</w:t>
            </w:r>
          </w:p>
        </w:tc>
        <w:tc>
          <w:tcPr>
            <w:tcW w:type="dxa" w:w="27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Target enrollment</w:t>
            </w:r>
          </w:p>
        </w:tc>
      </w:tr>
    </w:tbl>
    <w:p>
      <w:pPr>
        <w:spacing w:before="0" w:after="0"/>
      </w:pPr>
      <w:r>
        <w:rPr>
          <w:rFonts w:ascii="Arial" w:cs="Arial" w:eastAsia="Arial" w:hAnsi="Arial"/>
          <w:sz w:val="20"/>
          <w:szCs w:val="20"/>
        </w:rPr>
        <w:t xml:space="preserve"/>
      </w:r>
    </w:p>
    <w:p>
      <w:pPr>
        <w:pStyle w:val="Heading2"/>
        <w:spacing w:before="280" w:after="140"/>
      </w:pPr>
      <w:r>
        <w:rPr>
          <w:rFonts w:ascii="Arial" w:cs="Arial" w:eastAsia="Arial" w:hAnsi="Arial"/>
          <w:b/>
          <w:bCs/>
          <w:color w:val="2E5BA8"/>
          <w:sz w:val="24"/>
          <w:szCs w:val="24"/>
        </w:rPr>
        <w:t xml:space="preserve">7.3 Enrollment Scenario Analysis</w:t>
      </w:r>
    </w:p>
    <w:p>
      <w:pPr>
        <w:spacing w:before="60" w:after="60"/>
      </w:pPr>
      <w:r>
        <w:rPr>
          <w:rFonts w:ascii="Arial" w:cs="Arial" w:eastAsia="Arial" w:hAnsi="Arial"/>
          <w:sz w:val="20"/>
          <w:szCs w:val="20"/>
        </w:rPr>
        <w:t xml:space="preserve">Three enrollment scenarios were modeled to bracket operational uncertainty. The base case supports LPI within 29 months; optimistic case achieves LPI in 22 months; pessimistic case requires contingency actions (see Section 10) to recover to 32 months.</w:t>
      </w:r>
    </w:p>
    <w:p>
      <w:pPr>
        <w:spacing w:before="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600"/>
        <w:gridCol w:w="1200"/>
        <w:gridCol w:w="1300"/>
        <w:gridCol w:w="1960"/>
      </w:tblGrid>
      <w:tr>
        <w:tc>
          <w:tcPr>
            <w:tcW w:type="dxa" w:w="130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18"/>
                <w:szCs w:val="18"/>
              </w:rPr>
              <w:t xml:space="preserve">Scenario</w:t>
            </w:r>
          </w:p>
        </w:tc>
        <w:tc>
          <w:tcPr>
            <w:tcW w:type="dxa" w:w="360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18"/>
                <w:szCs w:val="18"/>
              </w:rPr>
              <w:t xml:space="preserve">Assumptions</w:t>
            </w:r>
          </w:p>
        </w:tc>
        <w:tc>
          <w:tcPr>
            <w:tcW w:type="dxa" w:w="120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18"/>
                <w:szCs w:val="18"/>
              </w:rPr>
              <w:t xml:space="preserve">Months to LPI</w:t>
            </w:r>
          </w:p>
        </w:tc>
        <w:tc>
          <w:tcPr>
            <w:tcW w:type="dxa" w:w="130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18"/>
                <w:szCs w:val="18"/>
              </w:rPr>
              <w:t xml:space="preserve">LPI Target</w:t>
            </w:r>
          </w:p>
        </w:tc>
        <w:tc>
          <w:tcPr>
            <w:tcW w:type="dxa" w:w="196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18"/>
                <w:szCs w:val="18"/>
              </w:rPr>
              <w:t xml:space="preserve">Contingency Action</w:t>
            </w:r>
          </w:p>
        </w:tc>
      </w:tr>
      <w:tr>
        <w:tc>
          <w:tcPr>
            <w:tcW w:type="dxa" w:w="13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[object Object]</w:t>
            </w:r>
          </w:p>
        </w:tc>
        <w:tc>
          <w:tcPr>
            <w:tcW w:type="dxa" w:w="36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Site activation 1 month early; screen-to-randomize 40%; 22 pts/month peak; dMMR testing &lt;7 days</w:t>
            </w:r>
          </w:p>
        </w:tc>
        <w:tc>
          <w:tcPr>
            <w:tcW w:type="dxa" w:w="1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~22 months</w:t>
            </w:r>
          </w:p>
        </w:tc>
        <w:tc>
          <w:tcPr>
            <w:tcW w:type="dxa" w:w="13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~Q2 2028</w:t>
            </w:r>
          </w:p>
        </w:tc>
        <w:tc>
          <w:tcPr>
            <w:tcW w:type="dxa" w:w="19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No contingency required; potential cost savings</w:t>
            </w:r>
          </w:p>
        </w:tc>
      </w:tr>
      <w:tr>
        <w:tc>
          <w:tcPr>
            <w:tcW w:type="dxa" w:w="13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[object Object]</w:t>
            </w:r>
          </w:p>
        </w:tc>
        <w:tc>
          <w:tcPr>
            <w:tcW w:type="dxa" w:w="36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Per projections above; 35% screen-to-randomize; 20 pts/month peak; all 200 sites reach enrollment</w:t>
            </w:r>
          </w:p>
        </w:tc>
        <w:tc>
          <w:tcPr>
            <w:tcW w:type="dxa" w:w="12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~29 months</w:t>
            </w:r>
          </w:p>
        </w:tc>
        <w:tc>
          <w:tcPr>
            <w:tcW w:type="dxa" w:w="13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~Q4 2028</w:t>
            </w:r>
          </w:p>
        </w:tc>
        <w:tc>
          <w:tcPr>
            <w:tcW w:type="dxa" w:w="19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Standard monitoring; mid-study enrollment review</w:t>
            </w:r>
          </w:p>
        </w:tc>
      </w:tr>
      <w:tr>
        <w:tc>
          <w:tcPr>
            <w:tcW w:type="dxa" w:w="13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[object Object]</w:t>
            </w:r>
          </w:p>
        </w:tc>
        <w:tc>
          <w:tcPr>
            <w:tcW w:type="dxa" w:w="36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Site activation delays 2–3 months; screen failure rate &gt;70%; only 160 sites effectively enrolling; 15 pts/month peak</w:t>
            </w:r>
          </w:p>
        </w:tc>
        <w:tc>
          <w:tcPr>
            <w:tcW w:type="dxa" w:w="1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~36–40 months</w:t>
            </w:r>
          </w:p>
        </w:tc>
        <w:tc>
          <w:tcPr>
            <w:tcW w:type="dxa" w:w="13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~Q4 2029</w:t>
            </w:r>
          </w:p>
        </w:tc>
        <w:tc>
          <w:tcPr>
            <w:tcW w:type="dxa" w:w="19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Activate 20 backup sites; expand to 2 additional countries; increase screen failure support; consider protocol screen window extension</w:t>
            </w:r>
          </w:p>
        </w:tc>
      </w:tr>
    </w:tbl>
    <w:p>
      <w:pPr>
        <w:spacing w:before="0" w:after="0"/>
      </w:pPr>
      <w:r>
        <w:rPr>
          <w:rFonts w:ascii="Arial" w:cs="Arial" w:eastAsia="Arial" w:hAnsi="Arial"/>
          <w:sz w:val="20"/>
          <w:szCs w:val="20"/>
        </w:rPr>
        <w:t xml:space="preserve"/>
      </w:r>
    </w:p>
    <w:p>
      <w:pPr>
        <w:pStyle w:val="Heading2"/>
        <w:spacing w:before="280" w:after="140"/>
      </w:pPr>
      <w:r>
        <w:rPr>
          <w:rFonts w:ascii="Arial" w:cs="Arial" w:eastAsia="Arial" w:hAnsi="Arial"/>
          <w:b/>
          <w:bCs/>
          <w:color w:val="2E5BA8"/>
          <w:sz w:val="24"/>
          <w:szCs w:val="24"/>
        </w:rPr>
        <w:t xml:space="preserve">7.4 dMMR/MSI-H Screening &amp; Screen Failure Management</w:t>
      </w:r>
    </w:p>
    <w:p>
      <w:pPr>
        <w:spacing w:before="60" w:after="60"/>
      </w:pPr>
      <w:r>
        <w:rPr>
          <w:rFonts w:ascii="Arial" w:cs="Arial" w:eastAsia="Arial" w:hAnsi="Arial"/>
          <w:sz w:val="20"/>
          <w:szCs w:val="20"/>
        </w:rPr>
        <w:t xml:space="preserve">The key enrollment bottleneck in dMMR/MSI-H studies is molecular confirmation of tumor MSI status. To address this:</w:t>
      </w:r>
    </w:p>
    <w:p>
      <w:pPr>
        <w:pStyle w:val="ListParagraph"/>
        <w:numPr>
          <w:ilvl w:val="0"/>
          <w:numId w:val="2"/>
        </w:numPr>
        <w:spacing w:before="40" w:after="40"/>
      </w:pPr>
      <w:r>
        <w:rPr>
          <w:rFonts w:ascii="Arial" w:cs="Arial" w:eastAsia="Arial" w:hAnsi="Arial"/>
          <w:sz w:val="20"/>
          <w:szCs w:val="20"/>
        </w:rPr>
        <w:t xml:space="preserve">Central laboratory partnership (Foundation Medicine, NovaBay, or equivalent) will provide IHC + PCR-based dMMR/MSI-H confirmation within 7 business days of tissue receipt</w:t>
      </w:r>
    </w:p>
    <w:p>
      <w:pPr>
        <w:pStyle w:val="ListParagraph"/>
        <w:numPr>
          <w:ilvl w:val="0"/>
          <w:numId w:val="2"/>
        </w:numPr>
        <w:spacing w:before="40" w:after="40"/>
      </w:pPr>
      <w:r>
        <w:rPr>
          <w:rFonts w:ascii="Arial" w:cs="Arial" w:eastAsia="Arial" w:hAnsi="Arial"/>
          <w:sz w:val="20"/>
          <w:szCs w:val="20"/>
        </w:rPr>
        <w:t xml:space="preserve">Reflex testing protocol: all consenting mCRC patients at sites will undergo upfront MSI-H reflex testing from tumor tissue obtained at standard-of-care procedures — minimizing dedicated screening burden</w:t>
      </w:r>
    </w:p>
    <w:p>
      <w:pPr>
        <w:pStyle w:val="ListParagraph"/>
        <w:numPr>
          <w:ilvl w:val="0"/>
          <w:numId w:val="2"/>
        </w:numPr>
        <w:spacing w:before="40" w:after="40"/>
      </w:pPr>
      <w:r>
        <w:rPr>
          <w:rFonts w:ascii="Arial" w:cs="Arial" w:eastAsia="Arial" w:hAnsi="Arial"/>
          <w:sz w:val="20"/>
          <w:szCs w:val="20"/>
        </w:rPr>
        <w:t xml:space="preserve">Local lab pathway: Sites with validated local MSI-H testing (IHC panel: MLH1, MSH2, MSH6, PMS2) may use local testing with central lab confirmation of equivocal results</w:t>
      </w:r>
    </w:p>
    <w:p>
      <w:pPr>
        <w:pStyle w:val="ListParagraph"/>
        <w:numPr>
          <w:ilvl w:val="0"/>
          <w:numId w:val="2"/>
        </w:numPr>
        <w:spacing w:before="40" w:after="40"/>
      </w:pPr>
      <w:r>
        <w:rPr>
          <w:rFonts w:ascii="Arial" w:cs="Arial" w:eastAsia="Arial" w:hAnsi="Arial"/>
          <w:sz w:val="20"/>
          <w:szCs w:val="20"/>
        </w:rPr>
        <w:t xml:space="preserve">Screen failure cost subsidy: Sponsor will reimburse sites for dMMR/MSI-H testing costs for screen failures — a key site incentive given ~$800–1,200 per test cost</w:t>
      </w:r>
    </w:p>
    <w:p>
      <w:pPr>
        <w:pStyle w:val="ListParagraph"/>
        <w:numPr>
          <w:ilvl w:val="0"/>
          <w:numId w:val="2"/>
        </w:numPr>
        <w:spacing w:before="40" w:after="40"/>
      </w:pPr>
      <w:r>
        <w:rPr>
          <w:rFonts w:ascii="Arial" w:cs="Arial" w:eastAsia="Arial" w:hAnsi="Arial"/>
          <w:sz w:val="20"/>
          <w:szCs w:val="20"/>
        </w:rPr>
        <w:t xml:space="preserve">Screen failure log: All screen failures tracked by reason; rolling analysis to optimize I/E criteria and site coaching</w:t>
      </w:r>
    </w:p>
    <w:p>
      <w:pPr>
        <w:spacing w:before="0" w:after="0"/>
      </w:pPr>
      <w:r>
        <w:rPr>
          <w:rFonts w:ascii="Arial" w:cs="Arial" w:eastAsia="Arial" w:hAnsi="Arial"/>
          <w:sz w:val="20"/>
          <w:szCs w:val="20"/>
        </w:rPr>
        <w:t xml:space="preserve"/>
      </w:r>
    </w:p>
    <w:p>
      <w:pPr>
        <w:pStyle w:val="Heading2"/>
        <w:spacing w:before="280" w:after="140"/>
      </w:pPr>
      <w:r>
        <w:rPr>
          <w:rFonts w:ascii="Arial" w:cs="Arial" w:eastAsia="Arial" w:hAnsi="Arial"/>
          <w:b/>
          <w:bCs/>
          <w:color w:val="2E5BA8"/>
          <w:sz w:val="24"/>
          <w:szCs w:val="24"/>
        </w:rPr>
        <w:t xml:space="preserve">7.5 Site-Level Enrollment Tracking &amp; Performance Management</w:t>
      </w:r>
    </w:p>
    <w:p>
      <w:pPr>
        <w:spacing w:before="60" w:after="60"/>
      </w:pPr>
      <w:r>
        <w:rPr>
          <w:rFonts w:ascii="Arial" w:cs="Arial" w:eastAsia="Arial" w:hAnsi="Arial"/>
          <w:sz w:val="20"/>
          <w:szCs w:val="20"/>
        </w:rPr>
        <w:t xml:space="preserve">An enrollment performance dashboard will be maintained in real-time via the EDC system and sponsor operational platform (Veeva Vault/Medidata integration). Monthly enrollment reviews will be held with all CRAs and site-level targets established:</w:t>
      </w:r>
    </w:p>
    <w:p>
      <w:pPr>
        <w:pStyle w:val="ListParagraph"/>
        <w:numPr>
          <w:ilvl w:val="0"/>
          <w:numId w:val="2"/>
        </w:numPr>
        <w:spacing w:before="40" w:after="40"/>
      </w:pPr>
      <w:r>
        <w:rPr>
          <w:rFonts w:ascii="Arial" w:cs="Arial" w:eastAsia="Arial" w:hAnsi="Arial"/>
          <w:sz w:val="20"/>
          <w:szCs w:val="20"/>
        </w:rPr>
        <w:t xml:space="preserve">Green flag: Site enrolling ≥80% of target rate → routine monitoring</w:t>
      </w:r>
    </w:p>
    <w:p>
      <w:pPr>
        <w:pStyle w:val="ListParagraph"/>
        <w:numPr>
          <w:ilvl w:val="0"/>
          <w:numId w:val="2"/>
        </w:numPr>
        <w:spacing w:before="40" w:after="40"/>
      </w:pPr>
      <w:r>
        <w:rPr>
          <w:rFonts w:ascii="Arial" w:cs="Arial" w:eastAsia="Arial" w:hAnsi="Arial"/>
          <w:sz w:val="20"/>
          <w:szCs w:val="20"/>
        </w:rPr>
        <w:t xml:space="preserve">Yellow flag: Site enrolling 50–79% of target rate → biweekly CRA check-in; root cause analysis</w:t>
      </w:r>
    </w:p>
    <w:p>
      <w:pPr>
        <w:pStyle w:val="ListParagraph"/>
        <w:numPr>
          <w:ilvl w:val="0"/>
          <w:numId w:val="2"/>
        </w:numPr>
        <w:spacing w:before="40" w:after="40"/>
      </w:pPr>
      <w:r>
        <w:rPr>
          <w:rFonts w:ascii="Arial" w:cs="Arial" w:eastAsia="Arial" w:hAnsi="Arial"/>
          <w:sz w:val="20"/>
          <w:szCs w:val="20"/>
        </w:rPr>
        <w:t xml:space="preserve">Red flag: Site enrolling &lt;50% of target rate for 2 consecutive months → site review board; potential Tier re-classification; possible replacement with backup site</w:t>
      </w:r>
    </w:p>
    <w:p>
      <w:pPr>
        <w:spacing w:before="0" w:after="0"/>
      </w:pPr>
      <w:r>
        <w:rPr>
          <w:rFonts w:ascii="Arial" w:cs="Arial" w:eastAsia="Arial" w:hAnsi="Arial"/>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6B" w:val="clear"/>
            <w:tcMar>
              <w:top w:type="dxa" w:w="160"/>
              <w:left w:type="dxa" w:w="240"/>
              <w:bottom w:type="dxa" w:w="160"/>
              <w:right w:type="dxa" w:w="240"/>
            </w:tcMar>
          </w:tcPr>
          <w:p>
            <w:pPr>
              <w:spacing w:before="0" w:after="40"/>
            </w:pPr>
            <w:r>
              <w:rPr>
                <w:rFonts w:ascii="Arial" w:cs="Arial" w:eastAsia="Arial" w:hAnsi="Arial"/>
                <w:b/>
                <w:bCs/>
                <w:color w:val="FFFFFF"/>
                <w:sz w:val="26"/>
                <w:szCs w:val="26"/>
              </w:rPr>
              <w:t xml:space="preserve">8. INCLUSION/EXCLUSION CRITERIA DESIGN RATIONALE</w:t>
            </w:r>
          </w:p>
          <w:p>
            <w:pPr>
              <w:spacing w:before="0" w:after="0"/>
            </w:pPr>
            <w:r>
              <w:rPr>
                <w:rFonts w:ascii="Arial" w:cs="Arial" w:eastAsia="Arial" w:hAnsi="Arial"/>
                <w:i/>
                <w:iCs/>
                <w:color w:val="B0C4DE"/>
                <w:sz w:val="18"/>
                <w:szCs w:val="18"/>
              </w:rPr>
              <w:t xml:space="preserve">Clinical &amp; Operational Justification for Each Criterion</w:t>
            </w:r>
          </w:p>
        </w:tc>
      </w:tr>
    </w:tbl>
    <w:p>
      <w:pPr>
        <w:spacing w:before="0" w:after="0"/>
      </w:pPr>
      <w:r>
        <w:rPr>
          <w:rFonts w:ascii="Arial" w:cs="Arial" w:eastAsia="Arial" w:hAnsi="Arial"/>
          <w:sz w:val="20"/>
          <w:szCs w:val="20"/>
        </w:rPr>
        <w:t xml:space="preserve"/>
      </w:r>
    </w:p>
    <w:p>
      <w:pPr>
        <w:pStyle w:val="Heading2"/>
        <w:spacing w:before="280" w:after="140"/>
      </w:pPr>
      <w:r>
        <w:rPr>
          <w:rFonts w:ascii="Arial" w:cs="Arial" w:eastAsia="Arial" w:hAnsi="Arial"/>
          <w:b/>
          <w:bCs/>
          <w:color w:val="2E5BA8"/>
          <w:sz w:val="24"/>
          <w:szCs w:val="24"/>
        </w:rPr>
        <w:t xml:space="preserve">8.1 Inclusion Criteria — Design Rationale</w:t>
      </w:r>
    </w:p>
    <w:p>
      <w:pPr>
        <w:spacing w:before="60" w:after="60"/>
      </w:pPr>
      <w:r>
        <w:rPr>
          <w:rFonts w:ascii="Arial" w:cs="Arial" w:eastAsia="Arial" w:hAnsi="Arial"/>
          <w:sz w:val="20"/>
          <w:szCs w:val="20"/>
        </w:rPr>
        <w:t xml:space="preserve">The inclusion criteria are designed to enroll a population that maximizes the likelihood of demonstrating the primary endpoint (PFS superiority) while ensuring generalizability to the intended label population and operational feasibility across 20 countries. Each criterion is justified below:</w:t>
      </w:r>
    </w:p>
    <w:p>
      <w:pPr>
        <w:spacing w:before="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1200"/>
        <w:gridCol w:w="1560"/>
      </w:tblGrid>
      <w:tr>
        <w:tc>
          <w:tcPr>
            <w:tcW w:type="dxa" w:w="240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18"/>
                <w:szCs w:val="18"/>
              </w:rPr>
              <w:t xml:space="preserve">Inclusion Criterion</w:t>
            </w:r>
          </w:p>
        </w:tc>
        <w:tc>
          <w:tcPr>
            <w:tcW w:type="dxa" w:w="420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18"/>
                <w:szCs w:val="18"/>
              </w:rPr>
              <w:t xml:space="preserve">Rationale</w:t>
            </w:r>
          </w:p>
        </w:tc>
        <w:tc>
          <w:tcPr>
            <w:tcW w:type="dxa" w:w="120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18"/>
                <w:szCs w:val="18"/>
              </w:rPr>
              <w:t xml:space="preserve">Enrollment Impact</w:t>
            </w:r>
          </w:p>
        </w:tc>
        <w:tc>
          <w:tcPr>
            <w:tcW w:type="dxa" w:w="156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18"/>
                <w:szCs w:val="18"/>
              </w:rPr>
              <w:t xml:space="preserve">Operational Note</w:t>
            </w:r>
          </w:p>
        </w:tc>
      </w:tr>
      <w:tr>
        <w:tc>
          <w:tcPr>
            <w:tcW w:type="dxa" w:w="24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[object Object]</w:t>
            </w:r>
          </w:p>
        </w:tc>
        <w:tc>
          <w:tcPr>
            <w:tcW w:type="dxa" w:w="4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Aligns with adult oncology indication; no pediatric mCRC data for cervimab; consistent with KEYNOTE-177 eligibility; PIP waiver expected from EMA</w:t>
            </w:r>
          </w:p>
        </w:tc>
        <w:tc>
          <w:tcPr>
            <w:tcW w:type="dxa" w:w="1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Low</w:t>
            </w:r>
          </w:p>
        </w:tc>
        <w:tc>
          <w:tcPr>
            <w:tcW w:type="dxa" w:w="15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Standard adult oncology criterion</w:t>
            </w:r>
          </w:p>
        </w:tc>
      </w:tr>
      <w:tr>
        <w:tc>
          <w:tcPr>
            <w:tcW w:type="dxa" w:w="24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[object Object]</w:t>
            </w:r>
          </w:p>
        </w:tc>
        <w:tc>
          <w:tcPr>
            <w:tcW w:type="dxa" w:w="42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Central pathology confirmation not required but archival tissue mandatory; cytology-only acceptable to preserve enrollment (vs biopsy-only requirement); unresectable/metastatic ensures appropriate disease stage for 1L systemic therapy eligibility</w:t>
            </w:r>
          </w:p>
        </w:tc>
        <w:tc>
          <w:tcPr>
            <w:tcW w:type="dxa" w:w="12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Medium</w:t>
            </w:r>
          </w:p>
        </w:tc>
        <w:tc>
          <w:tcPr>
            <w:tcW w:type="dxa" w:w="15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Cytology acceptable to reduce screen failures; avoids unnecessary re-biopsy burden</w:t>
            </w:r>
          </w:p>
        </w:tc>
      </w:tr>
      <w:tr>
        <w:tc>
          <w:tcPr>
            <w:tcW w:type="dxa" w:w="24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[object Object]</w:t>
            </w:r>
          </w:p>
        </w:tc>
        <w:tc>
          <w:tcPr>
            <w:tcW w:type="dxa" w:w="4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Biomarker-selected population per KEYNOTE-177 design; central lab confirmation ensures consistent testing; IHC alone (loss of MLH1/MSH2/MSH6/PMS2) or PCR-based MSI acceptable to maximize inclusion; dual testing reduces false negatives by ~8–12%</w:t>
            </w:r>
          </w:p>
        </w:tc>
        <w:tc>
          <w:tcPr>
            <w:tcW w:type="dxa" w:w="1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HIGH — primary enrollment driver</w:t>
            </w:r>
          </w:p>
        </w:tc>
        <w:tc>
          <w:tcPr>
            <w:tcW w:type="dxa" w:w="15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Central lab mandatory to prevent site variability; 7-day turnaround target; screen failure cost reimbursement for MSS patients</w:t>
            </w:r>
          </w:p>
        </w:tc>
      </w:tr>
      <w:tr>
        <w:tc>
          <w:tcPr>
            <w:tcW w:type="dxa" w:w="24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[object Object]</w:t>
            </w:r>
          </w:p>
        </w:tc>
        <w:tc>
          <w:tcPr>
            <w:tcW w:type="dxa" w:w="42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1L treatment-naive population consistent with KEYNOTE-177 and planned labeling; prior adjuvant therapy ≥6 months before randomization permitted — aligns with standard practice and KEYNOTE-177 eligibility; avoids penalizing patients for standard prior treatment</w:t>
            </w:r>
          </w:p>
        </w:tc>
        <w:tc>
          <w:tcPr>
            <w:tcW w:type="dxa" w:w="12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Medium</w:t>
            </w:r>
          </w:p>
        </w:tc>
        <w:tc>
          <w:tcPr>
            <w:tcW w:type="dxa" w:w="15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6-month adjuvant washout is standard; operational guidance needed on documenting adjuvant completion date accurately</w:t>
            </w:r>
          </w:p>
        </w:tc>
      </w:tr>
      <w:tr>
        <w:tc>
          <w:tcPr>
            <w:tcW w:type="dxa" w:w="24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[object Object]</w:t>
            </w:r>
          </w:p>
        </w:tc>
        <w:tc>
          <w:tcPr>
            <w:tcW w:type="dxa" w:w="4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Required for PFS endpoint validity; 28-day window consistent with KEYNOTE-177; CT preferred; MRI where CT contraindicated; scans must be within 28 days of randomization (not screening)</w:t>
            </w:r>
          </w:p>
        </w:tc>
        <w:tc>
          <w:tcPr>
            <w:tcW w:type="dxa" w:w="1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Low-Medium</w:t>
            </w:r>
          </w:p>
        </w:tc>
        <w:tc>
          <w:tcPr>
            <w:tcW w:type="dxa" w:w="15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Operationally: sites must not delay randomization beyond 28 days from imaging; re-imaging required if window exceeded</w:t>
            </w:r>
          </w:p>
        </w:tc>
      </w:tr>
      <w:tr>
        <w:tc>
          <w:tcPr>
            <w:tcW w:type="dxa" w:w="24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[object Object]</w:t>
            </w:r>
          </w:p>
        </w:tc>
        <w:tc>
          <w:tcPr>
            <w:tcW w:type="dxa" w:w="42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Functional status threshold standard for PD-1 monotherapy trials; ECOG 2 excluded to ensure treatment-tolerability and endpoint interpretability; stratification factor</w:t>
            </w:r>
          </w:p>
        </w:tc>
        <w:tc>
          <w:tcPr>
            <w:tcW w:type="dxa" w:w="12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Low</w:t>
            </w:r>
          </w:p>
        </w:tc>
        <w:tc>
          <w:tcPr>
            <w:tcW w:type="dxa" w:w="15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Sites must use ECOG scale consistently; training provided at SIV; ECOG 2 most common soft ineligibility — do not waive</w:t>
            </w:r>
          </w:p>
        </w:tc>
      </w:tr>
      <w:tr>
        <w:tc>
          <w:tcPr>
            <w:tcW w:type="dxa" w:w="24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[object Object]</w:t>
            </w:r>
          </w:p>
        </w:tc>
        <w:tc>
          <w:tcPr>
            <w:tcW w:type="dxa" w:w="4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Standard thresholds; consistent with KEYNOTE-177 and nivolumab trials; Gilbert syndrome bilirubin exception (≤3x ULN) included to avoid exclusion of benign hyperbilirubinemia; hepatic met exception (ALT/AST ≤5x ULN)</w:t>
            </w:r>
          </w:p>
        </w:tc>
        <w:tc>
          <w:tcPr>
            <w:tcW w:type="dxa" w:w="1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Low</w:t>
            </w:r>
          </w:p>
        </w:tc>
        <w:tc>
          <w:tcPr>
            <w:tcW w:type="dxa" w:w="15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Lab thresholds must be confirmed within 7 days of randomization; hepatic met exception important — operationally verify liver disease documentation at screen</w:t>
            </w:r>
          </w:p>
        </w:tc>
      </w:tr>
      <w:tr>
        <w:tc>
          <w:tcPr>
            <w:tcW w:type="dxa" w:w="24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[object Object]</w:t>
            </w:r>
          </w:p>
        </w:tc>
        <w:tc>
          <w:tcPr>
            <w:tcW w:type="dxa" w:w="42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Standard reproductive safety; aligns with ICH E8, FDA and EMA reproductive toxicity guidance; serum hCG test within 72 hours of first dose; 6-month post-treatment contraception consistent with IgG4 elimination half-life</w:t>
            </w:r>
          </w:p>
        </w:tc>
        <w:tc>
          <w:tcPr>
            <w:tcW w:type="dxa" w:w="12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Low</w:t>
            </w:r>
          </w:p>
        </w:tc>
        <w:tc>
          <w:tcPr>
            <w:tcW w:type="dxa" w:w="15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Operationally burden at sites with high WOCBP enrollment; ensure site workflows for timely pre-dose serum hCG</w:t>
            </w:r>
          </w:p>
        </w:tc>
      </w:tr>
      <w:tr>
        <w:tc>
          <w:tcPr>
            <w:tcW w:type="dxa" w:w="24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[object Object]</w:t>
            </w:r>
          </w:p>
        </w:tc>
        <w:tc>
          <w:tcPr>
            <w:tcW w:type="dxa" w:w="4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ICH E6(R2), 21 CFR Part 50 requirement; patient autonomy; document before ANY screening procedure including MSI-H testing</w:t>
            </w:r>
          </w:p>
        </w:tc>
        <w:tc>
          <w:tcPr>
            <w:tcW w:type="dxa" w:w="1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None</w:t>
            </w:r>
          </w:p>
        </w:tc>
        <w:tc>
          <w:tcPr>
            <w:tcW w:type="dxa" w:w="15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ICH/GCP requirement; site must document consent date precedes all screening assessments</w:t>
            </w:r>
          </w:p>
        </w:tc>
      </w:tr>
    </w:tbl>
    <w:p>
      <w:pPr>
        <w:spacing w:before="0" w:after="0"/>
      </w:pPr>
      <w:r>
        <w:rPr>
          <w:rFonts w:ascii="Arial" w:cs="Arial" w:eastAsia="Arial" w:hAnsi="Arial"/>
          <w:sz w:val="20"/>
          <w:szCs w:val="20"/>
        </w:rPr>
        <w:t xml:space="preserve"/>
      </w:r>
    </w:p>
    <w:p>
      <w:pPr>
        <w:pStyle w:val="Heading2"/>
        <w:spacing w:before="280" w:after="140"/>
      </w:pPr>
      <w:r>
        <w:rPr>
          <w:rFonts w:ascii="Arial" w:cs="Arial" w:eastAsia="Arial" w:hAnsi="Arial"/>
          <w:b/>
          <w:bCs/>
          <w:color w:val="2E5BA8"/>
          <w:sz w:val="24"/>
          <w:szCs w:val="24"/>
        </w:rPr>
        <w:t xml:space="preserve">8.2 Exclusion Criteria — Design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1200"/>
        <w:gridCol w:w="1760"/>
      </w:tblGrid>
      <w:tr>
        <w:tc>
          <w:tcPr>
            <w:tcW w:type="dxa" w:w="260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18"/>
                <w:szCs w:val="18"/>
              </w:rPr>
              <w:t xml:space="preserve">Exclusion Criterion</w:t>
            </w:r>
          </w:p>
        </w:tc>
        <w:tc>
          <w:tcPr>
            <w:tcW w:type="dxa" w:w="380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18"/>
                <w:szCs w:val="18"/>
              </w:rPr>
              <w:t xml:space="preserve">Rationale</w:t>
            </w:r>
          </w:p>
        </w:tc>
        <w:tc>
          <w:tcPr>
            <w:tcW w:type="dxa" w:w="120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18"/>
                <w:szCs w:val="18"/>
              </w:rPr>
              <w:t xml:space="preserve">Screen Failure Risk</w:t>
            </w:r>
          </w:p>
        </w:tc>
        <w:tc>
          <w:tcPr>
            <w:tcW w:type="dxa" w:w="176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18"/>
                <w:szCs w:val="18"/>
              </w:rPr>
              <w:t xml:space="preserve">Operational Note</w:t>
            </w:r>
          </w:p>
        </w:tc>
      </w:tr>
      <w:tr>
        <w:tc>
          <w:tcPr>
            <w:tcW w:type="dxa" w:w="26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[object Object]</w:t>
            </w:r>
          </w:p>
        </w:tc>
        <w:tc>
          <w:tcPr>
            <w:tcW w:type="dxa" w:w="38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Prevents enrollment of patients pre-sensitized or refractory to checkpoint blockade; essential for 1L cervimab claim; primary competitive differentiation criterion</w:t>
            </w:r>
          </w:p>
        </w:tc>
        <w:tc>
          <w:tcPr>
            <w:tcW w:type="dxa" w:w="1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Low</w:t>
            </w:r>
          </w:p>
        </w:tc>
        <w:tc>
          <w:tcPr>
            <w:tcW w:type="dxa" w:w="17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Sites must check prior immunotherapy history thoroughly; note pembrolizumab use in Stage III adjuvant setting is increasing — document carefully</w:t>
            </w:r>
          </w:p>
        </w:tc>
      </w:tr>
      <w:tr>
        <w:tc>
          <w:tcPr>
            <w:tcW w:type="dxa" w:w="26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[object Object]</w:t>
            </w:r>
          </w:p>
        </w:tc>
        <w:tc>
          <w:tcPr>
            <w:tcW w:type="dxa" w:w="38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Immune activation risk from PD-1 blockade; irAE risk amplified in autoimmune patients; 2-year window standard for ICI trials; replacement therapy (thyroid, adrenal) permissible</w:t>
            </w:r>
          </w:p>
        </w:tc>
        <w:tc>
          <w:tcPr>
            <w:tcW w:type="dxa" w:w="12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Medium — can cause screen failures</w:t>
            </w:r>
          </w:p>
        </w:tc>
        <w:tc>
          <w:tcPr>
            <w:tcW w:type="dxa" w:w="17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Sites must document autoimmune history; replacement therapy ≠ active autoimmune disease; FAQ guidance for sites on what qualifies</w:t>
            </w:r>
          </w:p>
        </w:tc>
      </w:tr>
      <w:tr>
        <w:tc>
          <w:tcPr>
            <w:tcW w:type="dxa" w:w="26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[object Object]</w:t>
            </w:r>
          </w:p>
        </w:tc>
        <w:tc>
          <w:tcPr>
            <w:tcW w:type="dxa" w:w="38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Highest risk irAE for colitis with PD-1 inhibitor; ICI-mediated colitis can be severe/fatal in IBD patients; conservative exclusion consistent with all ICI labels and KEYNOTE-177</w:t>
            </w:r>
          </w:p>
        </w:tc>
        <w:tc>
          <w:tcPr>
            <w:tcW w:type="dxa" w:w="1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Low</w:t>
            </w:r>
          </w:p>
        </w:tc>
        <w:tc>
          <w:tcPr>
            <w:tcW w:type="dxa" w:w="17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IBD must be actively queried; endoscopy results may be needed in ambiguous cases</w:t>
            </w:r>
          </w:p>
        </w:tc>
      </w:tr>
      <w:tr>
        <w:tc>
          <w:tcPr>
            <w:tcW w:type="dxa" w:w="26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[object Object]</w:t>
            </w:r>
          </w:p>
        </w:tc>
        <w:tc>
          <w:tcPr>
            <w:tcW w:type="dxa" w:w="38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Safety signal: prior severe irAE predicts recurrence; essential to protect patient safety</w:t>
            </w:r>
          </w:p>
        </w:tc>
        <w:tc>
          <w:tcPr>
            <w:tcW w:type="dxa" w:w="12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Low</w:t>
            </w:r>
          </w:p>
        </w:tc>
        <w:tc>
          <w:tcPr>
            <w:tcW w:type="dxa" w:w="17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Document grade and nature of prior irAE; lesser irAEs (Grade 1–2) permissible</w:t>
            </w:r>
          </w:p>
        </w:tc>
      </w:tr>
      <w:tr>
        <w:tc>
          <w:tcPr>
            <w:tcW w:type="dxa" w:w="26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[object Object]</w:t>
            </w:r>
          </w:p>
        </w:tc>
        <w:tc>
          <w:tcPr>
            <w:tcW w:type="dxa" w:w="38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Immunosuppression would blunt PD-1 blockade efficacy and mask irAE assessment; 14-day washout standard; inhaled/topical steroids and replacement doses permissible</w:t>
            </w:r>
          </w:p>
        </w:tc>
        <w:tc>
          <w:tcPr>
            <w:tcW w:type="dxa" w:w="1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Medium — common in cancer patients</w:t>
            </w:r>
          </w:p>
        </w:tc>
        <w:tc>
          <w:tcPr>
            <w:tcW w:type="dxa" w:w="17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Careful documentation of steroid dose and indication; replacement dose (≤10 mg) is not excluded; operationally require precise steroid documentation at screening</w:t>
            </w:r>
          </w:p>
        </w:tc>
      </w:tr>
      <w:tr>
        <w:tc>
          <w:tcPr>
            <w:tcW w:type="dxa" w:w="26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[object Object]</w:t>
            </w:r>
          </w:p>
        </w:tc>
        <w:tc>
          <w:tcPr>
            <w:tcW w:type="dxa" w:w="38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Untreated CNS mets: safety risk with corticosteroid interactions; treated/asymptomatic exception per standard oncology practice and KEYNOTE-177; reduces unnecessary exclusions</w:t>
            </w:r>
          </w:p>
        </w:tc>
        <w:tc>
          <w:tcPr>
            <w:tcW w:type="dxa" w:w="12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Low-Medium</w:t>
            </w:r>
          </w:p>
        </w:tc>
        <w:tc>
          <w:tcPr>
            <w:tcW w:type="dxa" w:w="17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Sites must document CNS imaging and treatment history; exception criteria require documentation of radiotherapy completion date and corticosteroid taper</w:t>
            </w:r>
          </w:p>
        </w:tc>
      </w:tr>
      <w:tr>
        <w:tc>
          <w:tcPr>
            <w:tcW w:type="dxa" w:w="26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[object Object]</w:t>
            </w:r>
          </w:p>
        </w:tc>
        <w:tc>
          <w:tcPr>
            <w:tcW w:type="dxa" w:w="38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Explicitly excludes patients whose tumor status would preclude PD-1 benefit; reinforces biomarker selection strategy</w:t>
            </w:r>
          </w:p>
        </w:tc>
        <w:tc>
          <w:tcPr>
            <w:tcW w:type="dxa" w:w="1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Low</w:t>
            </w:r>
          </w:p>
        </w:tc>
        <w:tc>
          <w:tcPr>
            <w:tcW w:type="dxa" w:w="17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Central lab confirmation serves as the primary gating step; local MSS result alone is insufficient to exclude — central confirmation required for all borderline cases</w:t>
            </w:r>
          </w:p>
        </w:tc>
      </w:tr>
      <w:tr>
        <w:tc>
          <w:tcPr>
            <w:tcW w:type="dxa" w:w="26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[object Object]</w:t>
            </w:r>
          </w:p>
        </w:tc>
        <w:tc>
          <w:tcPr>
            <w:tcW w:type="dxa" w:w="38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Severe irAE: PD-1 inhibitors associated with pneumonitis; baseline ILD dramatically elevates risk; consistent with all ICI labels</w:t>
            </w:r>
          </w:p>
        </w:tc>
        <w:tc>
          <w:tcPr>
            <w:tcW w:type="dxa" w:w="12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Low</w:t>
            </w:r>
          </w:p>
        </w:tc>
        <w:tc>
          <w:tcPr>
            <w:tcW w:type="dxa" w:w="17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Chest CT review required at screening; sites must query ILD history proactively</w:t>
            </w:r>
          </w:p>
        </w:tc>
      </w:tr>
      <w:tr>
        <w:tc>
          <w:tcPr>
            <w:tcW w:type="dxa" w:w="26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[object Object]</w:t>
            </w:r>
          </w:p>
        </w:tc>
        <w:tc>
          <w:tcPr>
            <w:tcW w:type="dxa" w:w="38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Immune compromise risk; HBV/HCV hepatitis flare risk with immunotherapy; stable well-controlled HIV (CD4 ≥350, no ART required) permissible — consistent with emerging inclusive criteria</w:t>
            </w:r>
          </w:p>
        </w:tc>
        <w:tc>
          <w:tcPr>
            <w:tcW w:type="dxa" w:w="1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Low</w:t>
            </w:r>
          </w:p>
        </w:tc>
        <w:tc>
          <w:tcPr>
            <w:tcW w:type="dxa" w:w="17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Sites in high-prevalence regions must routinely screen; viral load documentation required; stable HIV should NOT trigger exclusion per protocol</w:t>
            </w:r>
          </w:p>
        </w:tc>
      </w:tr>
      <w:tr>
        <w:tc>
          <w:tcPr>
            <w:tcW w:type="dxa" w:w="26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[object Object]</w:t>
            </w:r>
          </w:p>
        </w:tc>
        <w:tc>
          <w:tcPr>
            <w:tcW w:type="dxa" w:w="38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Wound healing risk (bevacizumab arm); procedural complications; 28-day window standard</w:t>
            </w:r>
          </w:p>
        </w:tc>
        <w:tc>
          <w:tcPr>
            <w:tcW w:type="dxa" w:w="12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Low</w:t>
            </w:r>
          </w:p>
        </w:tc>
        <w:tc>
          <w:tcPr>
            <w:tcW w:type="dxa" w:w="17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Minor procedures (biopsy, port placement) do NOT qualify as major surgery; sites need clarity on definition</w:t>
            </w:r>
          </w:p>
        </w:tc>
      </w:tr>
      <w:tr>
        <w:tc>
          <w:tcPr>
            <w:tcW w:type="dxa" w:w="26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[object Object]</w:t>
            </w:r>
          </w:p>
        </w:tc>
        <w:tc>
          <w:tcPr>
            <w:tcW w:type="dxa" w:w="38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Competing disease endpoint confounding; standard exclusion for oncology trials; exceptions for non-invasive skin cancers and carcinoma in situ are consistent with industry standard</w:t>
            </w:r>
          </w:p>
        </w:tc>
        <w:tc>
          <w:tcPr>
            <w:tcW w:type="dxa" w:w="1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Low</w:t>
            </w:r>
          </w:p>
        </w:tc>
        <w:tc>
          <w:tcPr>
            <w:tcW w:type="dxa" w:w="17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Prostate cancer on active surveillance, low-risk thyroid cancers need case-by-case medical monitor review</w:t>
            </w:r>
          </w:p>
        </w:tc>
      </w:tr>
    </w:tbl>
    <w:p>
      <w:pPr>
        <w:spacing w:before="0" w:after="0"/>
      </w:pPr>
      <w:r>
        <w:rPr>
          <w:rFonts w:ascii="Arial" w:cs="Arial" w:eastAsia="Arial" w:hAnsi="Arial"/>
          <w:sz w:val="20"/>
          <w:szCs w:val="20"/>
        </w:rPr>
        <w:t xml:space="preserve"/>
      </w:r>
    </w:p>
    <w:p>
      <w:pPr>
        <w:pStyle w:val="Heading2"/>
        <w:spacing w:before="280" w:after="140"/>
      </w:pPr>
      <w:r>
        <w:rPr>
          <w:rFonts w:ascii="Arial" w:cs="Arial" w:eastAsia="Arial" w:hAnsi="Arial"/>
          <w:b/>
          <w:bCs/>
          <w:color w:val="2E5BA8"/>
          <w:sz w:val="24"/>
          <w:szCs w:val="24"/>
        </w:rPr>
        <w:t xml:space="preserve">8.3 Criteria Optimization — Operational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BA8" w:sz="8"/>
              <w:left w:val="single" w:color="2E5BA8" w:sz="8"/>
              <w:bottom w:val="single" w:color="CCCCCC" w:sz="4"/>
              <w:right w:val="single" w:color="CCCCCC" w:sz="4"/>
            </w:tcBorders>
            <w:shd w:fill="FFF3CD" w:val="clear"/>
            <w:tcMar>
              <w:top w:type="dxa" w:w="160"/>
              <w:left w:type="dxa" w:w="200"/>
              <w:bottom w:type="dxa" w:w="160"/>
              <w:right w:type="dxa" w:w="200"/>
            </w:tcMar>
          </w:tcPr>
          <w:p>
            <w:pPr>
              <w:spacing w:before="0" w:after="60"/>
            </w:pPr>
            <w:r>
              <w:rPr>
                <w:rFonts w:ascii="Arial" w:cs="Arial" w:eastAsia="Arial" w:hAnsi="Arial"/>
                <w:b/>
                <w:bCs/>
                <w:color w:val="1B3A6B"/>
                <w:sz w:val="20"/>
                <w:szCs w:val="20"/>
              </w:rPr>
              <w:t xml:space="preserve">I/E Criteria Design Improvements vs Standard ICI Template</w:t>
            </w:r>
          </w:p>
          <w:p>
            <w:pPr>
              <w:pStyle w:val="ListParagraph"/>
              <w:numPr>
                <w:ilvl w:val="0"/>
                <w:numId w:val="2"/>
              </w:numPr>
              <w:spacing w:before="40" w:after="40"/>
            </w:pPr>
            <w:r>
              <w:rPr>
                <w:rFonts w:ascii="Arial" w:cs="Arial" w:eastAsia="Arial" w:hAnsi="Arial"/>
                <w:sz w:val="20"/>
                <w:szCs w:val="20"/>
              </w:rPr>
              <w:t xml:space="preserve">ADDED cytology-acceptable CRC confirmation: reduces re-biopsy requirement; decreases screen failures ~8%</w:t>
            </w:r>
          </w:p>
          <w:p>
            <w:pPr>
              <w:pStyle w:val="ListParagraph"/>
              <w:numPr>
                <w:ilvl w:val="0"/>
                <w:numId w:val="2"/>
              </w:numPr>
              <w:spacing w:before="40" w:after="40"/>
            </w:pPr>
            <w:r>
              <w:rPr>
                <w:rFonts w:ascii="Arial" w:cs="Arial" w:eastAsia="Arial" w:hAnsi="Arial"/>
                <w:sz w:val="20"/>
                <w:szCs w:val="20"/>
              </w:rPr>
              <w:t xml:space="preserve">ADDED central lab dMMR/MSI-H confirmation with IHC OR PCR (not AND): accepts either modality; reduces false-negative exclusions by ~10%; increases eligible pool</w:t>
            </w:r>
          </w:p>
          <w:p>
            <w:pPr>
              <w:pStyle w:val="ListParagraph"/>
              <w:numPr>
                <w:ilvl w:val="0"/>
                <w:numId w:val="2"/>
              </w:numPr>
              <w:spacing w:before="40" w:after="40"/>
            </w:pPr>
            <w:r>
              <w:rPr>
                <w:rFonts w:ascii="Arial" w:cs="Arial" w:eastAsia="Arial" w:hAnsi="Arial"/>
                <w:sz w:val="20"/>
                <w:szCs w:val="20"/>
              </w:rPr>
              <w:t xml:space="preserve">ADDED Gilbert syndrome bilirubin exception: standard of care; prevents exclusion of ~3% of patients with benign hyperbilirubinemia</w:t>
            </w:r>
          </w:p>
          <w:p>
            <w:pPr>
              <w:pStyle w:val="ListParagraph"/>
              <w:numPr>
                <w:ilvl w:val="0"/>
                <w:numId w:val="2"/>
              </w:numPr>
              <w:spacing w:before="40" w:after="40"/>
            </w:pPr>
            <w:r>
              <w:rPr>
                <w:rFonts w:ascii="Arial" w:cs="Arial" w:eastAsia="Arial" w:hAnsi="Arial"/>
                <w:sz w:val="20"/>
                <w:szCs w:val="20"/>
              </w:rPr>
              <w:t xml:space="preserve">ADDED hepatic metastasis LFT exception: ≤5x ULN for AST/ALT; prevents exclusion of patients with liver mets (30–40% of mCRC population)</w:t>
            </w:r>
          </w:p>
          <w:p>
            <w:pPr>
              <w:pStyle w:val="ListParagraph"/>
              <w:numPr>
                <w:ilvl w:val="0"/>
                <w:numId w:val="2"/>
              </w:numPr>
              <w:spacing w:before="40" w:after="40"/>
            </w:pPr>
            <w:r>
              <w:rPr>
                <w:rFonts w:ascii="Arial" w:cs="Arial" w:eastAsia="Arial" w:hAnsi="Arial"/>
                <w:sz w:val="20"/>
                <w:szCs w:val="20"/>
              </w:rPr>
              <w:t xml:space="preserve">ADDED stable HIV exception: progressive inclusion; CD4 ≥350 and no ART-required HIV does not contraindicate cervimab; aligns with FDA recommendations</w:t>
            </w:r>
          </w:p>
          <w:p>
            <w:pPr>
              <w:pStyle w:val="ListParagraph"/>
              <w:numPr>
                <w:ilvl w:val="0"/>
                <w:numId w:val="2"/>
              </w:numPr>
              <w:spacing w:before="40" w:after="40"/>
            </w:pPr>
            <w:r>
              <w:rPr>
                <w:rFonts w:ascii="Arial" w:cs="Arial" w:eastAsia="Arial" w:hAnsi="Arial"/>
                <w:sz w:val="20"/>
                <w:szCs w:val="20"/>
              </w:rPr>
              <w:t xml:space="preserve">CONSIDERED but EXCLUDED: prior adjuvant oxaliplatin restriction — decided NOT to exclude; prior adjuvant chemo ≥6 months prior is permitted; inclusion of this population increases eligible pool by ~15%</w:t>
            </w:r>
          </w:p>
          <w:p>
            <w:pPr>
              <w:pStyle w:val="ListParagraph"/>
              <w:numPr>
                <w:ilvl w:val="0"/>
                <w:numId w:val="2"/>
              </w:numPr>
              <w:spacing w:before="40" w:after="40"/>
            </w:pPr>
            <w:r>
              <w:rPr>
                <w:rFonts w:ascii="Arial" w:cs="Arial" w:eastAsia="Arial" w:hAnsi="Arial"/>
                <w:sz w:val="20"/>
                <w:szCs w:val="20"/>
              </w:rPr>
              <w:t xml:space="preserve">CONSIDERED but EXCLUDED: TMB threshold inclusion criterion — decided against TMB cut-off; TMB is exploratory; imposing TMB threshold at screen would dramatically reduce eligible pool and introduce central lab delays</w:t>
            </w:r>
          </w:p>
        </w:tc>
      </w:tr>
    </w:tbl>
    <w:p>
      <w:pPr>
        <w:spacing w:before="0" w:after="0"/>
      </w:pPr>
      <w:r>
        <w:rPr>
          <w:rFonts w:ascii="Arial" w:cs="Arial" w:eastAsia="Arial" w:hAnsi="Arial"/>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6B" w:val="clear"/>
            <w:tcMar>
              <w:top w:type="dxa" w:w="160"/>
              <w:left w:type="dxa" w:w="240"/>
              <w:bottom w:type="dxa" w:w="160"/>
              <w:right w:type="dxa" w:w="240"/>
            </w:tcMar>
          </w:tcPr>
          <w:p>
            <w:pPr>
              <w:spacing w:before="0" w:after="40"/>
            </w:pPr>
            <w:r>
              <w:rPr>
                <w:rFonts w:ascii="Arial" w:cs="Arial" w:eastAsia="Arial" w:hAnsi="Arial"/>
                <w:b/>
                <w:bCs/>
                <w:color w:val="FFFFFF"/>
                <w:sz w:val="26"/>
                <w:szCs w:val="26"/>
              </w:rPr>
              <w:t xml:space="preserve">9. VENDOR &amp; TECHNOLOGY STRATEGY</w:t>
            </w:r>
          </w:p>
          <w:p>
            <w:pPr>
              <w:spacing w:before="0" w:after="0"/>
            </w:pPr>
            <w:r>
              <w:rPr>
                <w:rFonts w:ascii="Arial" w:cs="Arial" w:eastAsia="Arial" w:hAnsi="Arial"/>
                <w:i/>
                <w:iCs/>
                <w:color w:val="B0C4DE"/>
                <w:sz w:val="18"/>
                <w:szCs w:val="18"/>
              </w:rPr>
              <w:t xml:space="preserve">Functional Service Providers &amp; Clinical Technology Stack</w:t>
            </w:r>
          </w:p>
        </w:tc>
      </w:tr>
    </w:tbl>
    <w:p>
      <w:pPr>
        <w:spacing w:before="0" w:after="0"/>
      </w:pPr>
      <w:r>
        <w:rPr>
          <w:rFonts w:ascii="Arial" w:cs="Arial" w:eastAsia="Arial" w:hAnsi="Arial"/>
          <w:sz w:val="20"/>
          <w:szCs w:val="20"/>
        </w:rPr>
        <w:t xml:space="preserve"/>
      </w:r>
    </w:p>
    <w:p>
      <w:pPr>
        <w:pStyle w:val="Heading2"/>
        <w:spacing w:before="280" w:after="140"/>
      </w:pPr>
      <w:r>
        <w:rPr>
          <w:rFonts w:ascii="Arial" w:cs="Arial" w:eastAsia="Arial" w:hAnsi="Arial"/>
          <w:b/>
          <w:bCs/>
          <w:color w:val="2E5BA8"/>
          <w:sz w:val="24"/>
          <w:szCs w:val="24"/>
        </w:rPr>
        <w:t xml:space="preserve">9.1 Key Vendor Categories &amp; Selection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200"/>
        <w:gridCol w:w="2760"/>
      </w:tblGrid>
      <w:tr>
        <w:tc>
          <w:tcPr>
            <w:tcW w:type="dxa" w:w="160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18"/>
                <w:szCs w:val="18"/>
              </w:rPr>
              <w:t xml:space="preserve">Vendor Category</w:t>
            </w:r>
          </w:p>
        </w:tc>
        <w:tc>
          <w:tcPr>
            <w:tcW w:type="dxa" w:w="280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18"/>
                <w:szCs w:val="18"/>
              </w:rPr>
              <w:t xml:space="preserve">Function &amp; Model</w:t>
            </w:r>
          </w:p>
        </w:tc>
        <w:tc>
          <w:tcPr>
            <w:tcW w:type="dxa" w:w="220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18"/>
                <w:szCs w:val="18"/>
              </w:rPr>
              <w:t xml:space="preserve">Preferred Vendors</w:t>
            </w:r>
          </w:p>
        </w:tc>
        <w:tc>
          <w:tcPr>
            <w:tcW w:type="dxa" w:w="276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18"/>
                <w:szCs w:val="18"/>
              </w:rPr>
              <w:t xml:space="preserve">Key Requirement</w:t>
            </w:r>
          </w:p>
        </w:tc>
      </w:tr>
      <w:tr>
        <w:tc>
          <w:tcPr>
            <w:tcW w:type="dxa" w:w="16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[object Object]</w:t>
            </w:r>
          </w:p>
        </w:tc>
        <w:tc>
          <w:tcPr>
            <w:tcW w:type="dxa" w:w="28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Preferred model: Hybrid FSP with regional CRO partners for APAC/LATAM countries; global CRO for US/EU; sponsor-retained medical monitoring and biostatistics</w:t>
            </w:r>
          </w:p>
        </w:tc>
        <w:tc>
          <w:tcPr>
            <w:tcW w:type="dxa" w:w="2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ICON, Syneos Health, PRA Health Sciences; regional: Novatek (EE), Medpace (APAC)</w:t>
            </w:r>
          </w:p>
        </w:tc>
        <w:tc>
          <w:tcPr>
            <w:tcW w:type="dxa" w:w="27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RFP issued Q1 2026; selection by Q2 2026</w:t>
            </w:r>
          </w:p>
        </w:tc>
      </w:tr>
      <w:tr>
        <w:tc>
          <w:tcPr>
            <w:tcW w:type="dxa" w:w="16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[object Object]</w:t>
            </w:r>
          </w:p>
        </w:tc>
        <w:tc>
          <w:tcPr>
            <w:tcW w:type="dxa" w:w="28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Central dMMR/MSI-H testing is mission-critical; one global central lab with regional depots; CLIA/CAP certified; ISO 15189; DICOM integration for NGS reports</w:t>
            </w:r>
          </w:p>
        </w:tc>
        <w:tc>
          <w:tcPr>
            <w:tcW w:type="dxa" w:w="22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Foundation Medicine, Labcorp Oncology, BioReference Oncology</w:t>
            </w:r>
          </w:p>
        </w:tc>
        <w:tc>
          <w:tcPr>
            <w:tcW w:type="dxa" w:w="27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Must demonstrate &lt;7 business-day TAT; experience with IHC 4-plex + PCR MSI; validated NGS TMB panel</w:t>
            </w:r>
          </w:p>
        </w:tc>
      </w:tr>
      <w:tr>
        <w:tc>
          <w:tcPr>
            <w:tcW w:type="dxa" w:w="16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[object Object]</w:t>
            </w:r>
          </w:p>
        </w:tc>
        <w:tc>
          <w:tcPr>
            <w:tcW w:type="dxa" w:w="28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Blinded Independent Central Review for RECIST v1.1 PFS endpoint; mandatory for FDA/EMA registration; DICOM image transfer from all 200 sites</w:t>
            </w:r>
          </w:p>
        </w:tc>
        <w:tc>
          <w:tcPr>
            <w:tcW w:type="dxa" w:w="2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Medidata Rave Imaging, BioClinica/Certis, Imaging Endpoint</w:t>
            </w:r>
          </w:p>
        </w:tc>
        <w:tc>
          <w:tcPr>
            <w:tcW w:type="dxa" w:w="27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RFP Q1 2026; BICR SOP and charter pre-approved by FDA/EMA consultation</w:t>
            </w:r>
          </w:p>
        </w:tc>
      </w:tr>
      <w:tr>
        <w:tc>
          <w:tcPr>
            <w:tcW w:type="dxa" w:w="16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[object Object]</w:t>
            </w:r>
          </w:p>
        </w:tc>
        <w:tc>
          <w:tcPr>
            <w:tcW w:type="dxa" w:w="28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1:1 randomization and stratification management; drug supply management; real-time enrollment tracking by stratum</w:t>
            </w:r>
          </w:p>
        </w:tc>
        <w:tc>
          <w:tcPr>
            <w:tcW w:type="dxa" w:w="22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Medidata Rave IRT, Veeva Vault IRT, Almac iRIS</w:t>
            </w:r>
          </w:p>
        </w:tc>
        <w:tc>
          <w:tcPr>
            <w:tcW w:type="dxa" w:w="27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Integration with EDC system critical; 24/7 support required; validated for GxP use</w:t>
            </w:r>
          </w:p>
        </w:tc>
      </w:tr>
      <w:tr>
        <w:tc>
          <w:tcPr>
            <w:tcW w:type="dxa" w:w="16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[object Object]</w:t>
            </w:r>
          </w:p>
        </w:tc>
        <w:tc>
          <w:tcPr>
            <w:tcW w:type="dxa" w:w="28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Electronic data capture; &gt;500 eCRF pages expected; multi-language support; 21 CFR Part 11 compliant</w:t>
            </w:r>
          </w:p>
        </w:tc>
        <w:tc>
          <w:tcPr>
            <w:tcW w:type="dxa" w:w="2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Medidata Rave, Oracle InForm, Veeva Vault EDC</w:t>
            </w:r>
          </w:p>
        </w:tc>
        <w:tc>
          <w:tcPr>
            <w:tcW w:type="dxa" w:w="27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Preferred: Medidata Rave for FDA/EMA audit trail familiarity; integration with BICR/IWRS</w:t>
            </w:r>
          </w:p>
        </w:tc>
      </w:tr>
      <w:tr>
        <w:tc>
          <w:tcPr>
            <w:tcW w:type="dxa" w:w="16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[object Object]</w:t>
            </w:r>
          </w:p>
        </w:tc>
        <w:tc>
          <w:tcPr>
            <w:tcW w:type="dxa" w:w="28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SAE collection and expedited reporting; IND safety reports (7-day/15-day); aggregate DSUR; DSMB data package</w:t>
            </w:r>
          </w:p>
        </w:tc>
        <w:tc>
          <w:tcPr>
            <w:tcW w:type="dxa" w:w="22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Argus (Oracle); Veeva Vault Safety</w:t>
            </w:r>
          </w:p>
        </w:tc>
        <w:tc>
          <w:tcPr>
            <w:tcW w:type="dxa" w:w="27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PV agreements required before FPI; 24-hour SAE notification system</w:t>
            </w:r>
          </w:p>
        </w:tc>
      </w:tr>
      <w:tr>
        <w:tc>
          <w:tcPr>
            <w:tcW w:type="dxa" w:w="16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[object Object]</w:t>
            </w:r>
          </w:p>
        </w:tc>
        <w:tc>
          <w:tcPr>
            <w:tcW w:type="dxa" w:w="28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Cervimab PK sampling (pre/post-infusion at C1, C3, C6, C9); anti-drug antibody (ADA) analysis</w:t>
            </w:r>
          </w:p>
        </w:tc>
        <w:tc>
          <w:tcPr>
            <w:tcW w:type="dxa" w:w="2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Covance/Labcorp Bioanalytical; Pacific Bioanalytical; Charles River</w:t>
            </w:r>
          </w:p>
        </w:tc>
        <w:tc>
          <w:tcPr>
            <w:tcW w:type="dxa" w:w="27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Validated bioanalytical method (Gyrolab or MSD platform); bridged to Phase 1/2 PK assay</w:t>
            </w:r>
          </w:p>
        </w:tc>
      </w:tr>
      <w:tr>
        <w:tc>
          <w:tcPr>
            <w:tcW w:type="dxa" w:w="16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[object Object]</w:t>
            </w:r>
          </w:p>
        </w:tc>
        <w:tc>
          <w:tcPr>
            <w:tcW w:type="dxa" w:w="28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Independent charter-governed DSMB; unblinded statistical analysis at IA1/IA2; access to unblinded safety</w:t>
            </w:r>
          </w:p>
        </w:tc>
        <w:tc>
          <w:tcPr>
            <w:tcW w:type="dxa" w:w="22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Sponsor Statistical Group + independent statistician; DSMB charter to FDA</w:t>
            </w:r>
          </w:p>
        </w:tc>
        <w:tc>
          <w:tcPr>
            <w:tcW w:type="dxa" w:w="27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DSMB charter finalized before FPI; DSMB SOP for unblinding procedures</w:t>
            </w:r>
          </w:p>
        </w:tc>
      </w:tr>
    </w:tbl>
    <w:p>
      <w:pPr>
        <w:spacing w:before="0" w:after="0"/>
      </w:pPr>
      <w:r>
        <w:rPr>
          <w:rFonts w:ascii="Arial" w:cs="Arial" w:eastAsia="Arial" w:hAnsi="Arial"/>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6B" w:val="clear"/>
            <w:tcMar>
              <w:top w:type="dxa" w:w="160"/>
              <w:left w:type="dxa" w:w="240"/>
              <w:bottom w:type="dxa" w:w="160"/>
              <w:right w:type="dxa" w:w="240"/>
            </w:tcMar>
          </w:tcPr>
          <w:p>
            <w:pPr>
              <w:spacing w:before="0" w:after="40"/>
            </w:pPr>
            <w:r>
              <w:rPr>
                <w:rFonts w:ascii="Arial" w:cs="Arial" w:eastAsia="Arial" w:hAnsi="Arial"/>
                <w:b/>
                <w:bCs/>
                <w:color w:val="FFFFFF"/>
                <w:sz w:val="26"/>
                <w:szCs w:val="26"/>
              </w:rPr>
              <w:t xml:space="preserve">10. RISK MANAGEMENT PLAN</w:t>
            </w:r>
          </w:p>
          <w:p>
            <w:pPr>
              <w:spacing w:before="0" w:after="0"/>
            </w:pPr>
            <w:r>
              <w:rPr>
                <w:rFonts w:ascii="Arial" w:cs="Arial" w:eastAsia="Arial" w:hAnsi="Arial"/>
                <w:i/>
                <w:iCs/>
                <w:color w:val="B0C4DE"/>
                <w:sz w:val="18"/>
                <w:szCs w:val="18"/>
              </w:rPr>
              <w:t xml:space="preserve">Proactive Risk Identification, Scoring &amp; Mitigation</w:t>
            </w:r>
          </w:p>
        </w:tc>
      </w:tr>
    </w:tbl>
    <w:p>
      <w:pPr>
        <w:spacing w:before="0" w:after="0"/>
      </w:pPr>
      <w:r>
        <w:rPr>
          <w:rFonts w:ascii="Arial" w:cs="Arial" w:eastAsia="Arial" w:hAnsi="Arial"/>
          <w:sz w:val="20"/>
          <w:szCs w:val="20"/>
        </w:rPr>
        <w:t xml:space="preserve"/>
      </w:r>
    </w:p>
    <w:p>
      <w:pPr>
        <w:pStyle w:val="Heading2"/>
        <w:spacing w:before="280" w:after="140"/>
      </w:pPr>
      <w:r>
        <w:rPr>
          <w:rFonts w:ascii="Arial" w:cs="Arial" w:eastAsia="Arial" w:hAnsi="Arial"/>
          <w:b/>
          <w:bCs/>
          <w:color w:val="2E5BA8"/>
          <w:sz w:val="24"/>
          <w:szCs w:val="24"/>
        </w:rPr>
        <w:t xml:space="preserve">10.1 Risk Register</w:t>
      </w:r>
    </w:p>
    <w:p>
      <w:pPr>
        <w:spacing w:before="60" w:after="60"/>
      </w:pPr>
      <w:r>
        <w:rPr>
          <w:rFonts w:ascii="Arial" w:cs="Arial" w:eastAsia="Arial" w:hAnsi="Arial"/>
          <w:sz w:val="20"/>
          <w:szCs w:val="20"/>
        </w:rPr>
        <w:t xml:space="preserve">Risks are scored by Likelihood (1–5) x Impact (1–5) = Risk Score (1–25). Red ≥15, Yellow 8–14, Green &lt;8.</w:t>
      </w:r>
    </w:p>
    <w:p>
      <w:pPr>
        <w:spacing w:before="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2200"/>
        <w:gridCol w:w="600"/>
        <w:gridCol w:w="600"/>
        <w:gridCol w:w="900"/>
        <w:gridCol w:w="1960"/>
      </w:tblGrid>
      <w:tr>
        <w:tc>
          <w:tcPr>
            <w:tcW w:type="dxa" w:w="70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18"/>
                <w:szCs w:val="18"/>
              </w:rPr>
              <w:t xml:space="preserve">Risk ID</w:t>
            </w:r>
          </w:p>
        </w:tc>
        <w:tc>
          <w:tcPr>
            <w:tcW w:type="dxa" w:w="240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18"/>
                <w:szCs w:val="18"/>
              </w:rPr>
              <w:t xml:space="preserve">Risk Description</w:t>
            </w:r>
          </w:p>
        </w:tc>
        <w:tc>
          <w:tcPr>
            <w:tcW w:type="dxa" w:w="220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18"/>
                <w:szCs w:val="18"/>
              </w:rPr>
              <w:t xml:space="preserve">Consequence</w:t>
            </w:r>
          </w:p>
        </w:tc>
        <w:tc>
          <w:tcPr>
            <w:tcW w:type="dxa" w:w="60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18"/>
                <w:szCs w:val="18"/>
              </w:rPr>
              <w:t xml:space="preserve">Likelihood
(1–5)</w:t>
            </w:r>
          </w:p>
        </w:tc>
        <w:tc>
          <w:tcPr>
            <w:tcW w:type="dxa" w:w="60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18"/>
                <w:szCs w:val="18"/>
              </w:rPr>
              <w:t xml:space="preserve">Impact
(1–5)</w:t>
            </w:r>
          </w:p>
        </w:tc>
        <w:tc>
          <w:tcPr>
            <w:tcW w:type="dxa" w:w="90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18"/>
                <w:szCs w:val="18"/>
              </w:rPr>
              <w:t xml:space="preserve">Score</w:t>
            </w:r>
          </w:p>
        </w:tc>
        <w:tc>
          <w:tcPr>
            <w:tcW w:type="dxa" w:w="196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18"/>
                <w:szCs w:val="18"/>
              </w:rPr>
              <w:t xml:space="preserve">Mitigation Strategy</w:t>
            </w:r>
          </w:p>
        </w:tc>
      </w:tr>
      <w:tr>
        <w:tc>
          <w:tcPr>
            <w:tcW w:type="dxa" w:w="7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[object Object]</w:t>
            </w:r>
          </w:p>
        </w:tc>
        <w:tc>
          <w:tcPr>
            <w:tcW w:type="dxa" w:w="24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Low dMMR/MSI-H screen-to-randomize rate (&lt;30%)</w:t>
            </w:r>
          </w:p>
        </w:tc>
        <w:tc>
          <w:tcPr>
            <w:tcW w:type="dxa" w:w="2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Screen failure burden exceeds budget; LPI delayed &gt;6 months</w:t>
            </w:r>
          </w:p>
        </w:tc>
        <w:tc>
          <w:tcPr>
            <w:tcW w:type="dxa" w:w="6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4</w:t>
            </w:r>
          </w:p>
        </w:tc>
        <w:tc>
          <w:tcPr>
            <w:tcW w:type="dxa" w:w="6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5</w:t>
            </w:r>
          </w:p>
        </w:tc>
        <w:tc>
          <w:tcPr>
            <w:tcW w:type="dxa" w:w="9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[object Object]</w:t>
            </w:r>
          </w:p>
        </w:tc>
        <w:tc>
          <w:tcPr>
            <w:tcW w:type="dxa" w:w="19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Central lab with reflex testing; screen failure cost reimbursement; expanded site selection with high MSI-H testing rates</w:t>
            </w:r>
          </w:p>
        </w:tc>
      </w:tr>
      <w:tr>
        <w:tc>
          <w:tcPr>
            <w:tcW w:type="dxa" w:w="7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[object Object]</w:t>
            </w:r>
          </w:p>
        </w:tc>
        <w:tc>
          <w:tcPr>
            <w:tcW w:type="dxa" w:w="24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Competitive enrollment pressure from pembrolizumab commercial use</w:t>
            </w:r>
          </w:p>
        </w:tc>
        <w:tc>
          <w:tcPr>
            <w:tcW w:type="dxa" w:w="22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Sites fail to enroll in countries where pembro is SoC</w:t>
            </w:r>
          </w:p>
        </w:tc>
        <w:tc>
          <w:tcPr>
            <w:tcW w:type="dxa" w:w="6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4</w:t>
            </w:r>
          </w:p>
        </w:tc>
        <w:tc>
          <w:tcPr>
            <w:tcW w:type="dxa" w:w="6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4</w:t>
            </w:r>
          </w:p>
        </w:tc>
        <w:tc>
          <w:tcPr>
            <w:tcW w:type="dxa" w:w="9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[object Object]</w:t>
            </w:r>
          </w:p>
        </w:tc>
        <w:tc>
          <w:tcPr>
            <w:tcW w:type="dxa" w:w="19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Target geographies where pembro not reimbursed; emphasize 1L treatment-naive pool; investigator-blinded competitive analysis</w:t>
            </w:r>
          </w:p>
        </w:tc>
      </w:tr>
      <w:tr>
        <w:tc>
          <w:tcPr>
            <w:tcW w:type="dxa" w:w="7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[object Object]</w:t>
            </w:r>
          </w:p>
        </w:tc>
        <w:tc>
          <w:tcPr>
            <w:tcW w:type="dxa" w:w="24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Site activation delays in APAC/LATAM (NMPA, ANVISA)</w:t>
            </w:r>
          </w:p>
        </w:tc>
        <w:tc>
          <w:tcPr>
            <w:tcW w:type="dxa" w:w="2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Enrollment ramp delayed 3–6 months; LPI impact</w:t>
            </w:r>
          </w:p>
        </w:tc>
        <w:tc>
          <w:tcPr>
            <w:tcW w:type="dxa" w:w="6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3</w:t>
            </w:r>
          </w:p>
        </w:tc>
        <w:tc>
          <w:tcPr>
            <w:tcW w:type="dxa" w:w="6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4</w:t>
            </w:r>
          </w:p>
        </w:tc>
        <w:tc>
          <w:tcPr>
            <w:tcW w:type="dxa" w:w="9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[object Object]</w:t>
            </w:r>
          </w:p>
        </w:tc>
        <w:tc>
          <w:tcPr>
            <w:tcW w:type="dxa" w:w="19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Early HA engagement; 12-month NMPA/ANVISA lead time built into plan; backup sites in faster-approval countries</w:t>
            </w:r>
          </w:p>
        </w:tc>
      </w:tr>
      <w:tr>
        <w:tc>
          <w:tcPr>
            <w:tcW w:type="dxa" w:w="7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[object Object]</w:t>
            </w:r>
          </w:p>
        </w:tc>
        <w:tc>
          <w:tcPr>
            <w:tcW w:type="dxa" w:w="24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BICR/imaging data quality failures</w:t>
            </w:r>
          </w:p>
        </w:tc>
        <w:tc>
          <w:tcPr>
            <w:tcW w:type="dxa" w:w="22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RECIST v1.1 per-protocol set violations; FDA inspection risk</w:t>
            </w:r>
          </w:p>
        </w:tc>
        <w:tc>
          <w:tcPr>
            <w:tcW w:type="dxa" w:w="6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2</w:t>
            </w:r>
          </w:p>
        </w:tc>
        <w:tc>
          <w:tcPr>
            <w:tcW w:type="dxa" w:w="6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5</w:t>
            </w:r>
          </w:p>
        </w:tc>
        <w:tc>
          <w:tcPr>
            <w:tcW w:type="dxa" w:w="9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[object Object]</w:t>
            </w:r>
          </w:p>
        </w:tc>
        <w:tc>
          <w:tcPr>
            <w:tcW w:type="dxa" w:w="19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Central BICR with DICOM validation at SIV; site imaging quality check first 3 patients; investigator RECIST training module</w:t>
            </w:r>
          </w:p>
        </w:tc>
      </w:tr>
      <w:tr>
        <w:tc>
          <w:tcPr>
            <w:tcW w:type="dxa" w:w="7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[object Object]</w:t>
            </w:r>
          </w:p>
        </w:tc>
        <w:tc>
          <w:tcPr>
            <w:tcW w:type="dxa" w:w="24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High irAE rate leading to treatment discontinuations</w:t>
            </w:r>
          </w:p>
        </w:tc>
        <w:tc>
          <w:tcPr>
            <w:tcW w:type="dxa" w:w="2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Safety imbalance; impact on PFS endpoint; labeling risk</w:t>
            </w:r>
          </w:p>
        </w:tc>
        <w:tc>
          <w:tcPr>
            <w:tcW w:type="dxa" w:w="6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3</w:t>
            </w:r>
          </w:p>
        </w:tc>
        <w:tc>
          <w:tcPr>
            <w:tcW w:type="dxa" w:w="6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4</w:t>
            </w:r>
          </w:p>
        </w:tc>
        <w:tc>
          <w:tcPr>
            <w:tcW w:type="dxa" w:w="9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[object Object]</w:t>
            </w:r>
          </w:p>
        </w:tc>
        <w:tc>
          <w:tcPr>
            <w:tcW w:type="dxa" w:w="19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irAE management algorithm in protocol; real-time DSMB safety review; medical monitor 24-hour hotline for sites</w:t>
            </w:r>
          </w:p>
        </w:tc>
      </w:tr>
      <w:tr>
        <w:tc>
          <w:tcPr>
            <w:tcW w:type="dxa" w:w="7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[object Object]</w:t>
            </w:r>
          </w:p>
        </w:tc>
        <w:tc>
          <w:tcPr>
            <w:tcW w:type="dxa" w:w="24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Biomarker sample collection failure (&lt;90% compliance)</w:t>
            </w:r>
          </w:p>
        </w:tc>
        <w:tc>
          <w:tcPr>
            <w:tcW w:type="dxa" w:w="22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Exploratory TMB/PD-L1 endpoints underpowered</w:t>
            </w:r>
          </w:p>
        </w:tc>
        <w:tc>
          <w:tcPr>
            <w:tcW w:type="dxa" w:w="6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3</w:t>
            </w:r>
          </w:p>
        </w:tc>
        <w:tc>
          <w:tcPr>
            <w:tcW w:type="dxa" w:w="6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3</w:t>
            </w:r>
          </w:p>
        </w:tc>
        <w:tc>
          <w:tcPr>
            <w:tcW w:type="dxa" w:w="9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[object Object]</w:t>
            </w:r>
          </w:p>
        </w:tc>
        <w:tc>
          <w:tcPr>
            <w:tcW w:type="dxa" w:w="19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Biomarker coordinator at Tier 1 sites; central lab tissue receipt confirmation loop; protocol requires archival tissue</w:t>
            </w:r>
          </w:p>
        </w:tc>
      </w:tr>
      <w:tr>
        <w:tc>
          <w:tcPr>
            <w:tcW w:type="dxa" w:w="7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[object Object]</w:t>
            </w:r>
          </w:p>
        </w:tc>
        <w:tc>
          <w:tcPr>
            <w:tcW w:type="dxa" w:w="24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Protocol amendment required (I/E modification)</w:t>
            </w:r>
          </w:p>
        </w:tc>
        <w:tc>
          <w:tcPr>
            <w:tcW w:type="dxa" w:w="2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6–12 week delay for IRB re-submission; enrollment pause</w:t>
            </w:r>
          </w:p>
        </w:tc>
        <w:tc>
          <w:tcPr>
            <w:tcW w:type="dxa" w:w="6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2</w:t>
            </w:r>
          </w:p>
        </w:tc>
        <w:tc>
          <w:tcPr>
            <w:tcW w:type="dxa" w:w="6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4</w:t>
            </w:r>
          </w:p>
        </w:tc>
        <w:tc>
          <w:tcPr>
            <w:tcW w:type="dxa" w:w="9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[object Object]</w:t>
            </w:r>
          </w:p>
        </w:tc>
        <w:tc>
          <w:tcPr>
            <w:tcW w:type="dxa" w:w="19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Front-load I/E design review; medical monitor FAQ document; avoid amendments via thorough pre-launch testing</w:t>
            </w:r>
          </w:p>
        </w:tc>
      </w:tr>
      <w:tr>
        <w:tc>
          <w:tcPr>
            <w:tcW w:type="dxa" w:w="7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[object Object]</w:t>
            </w:r>
          </w:p>
        </w:tc>
        <w:tc>
          <w:tcPr>
            <w:tcW w:type="dxa" w:w="24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Data integrity concern at high-enrollment sites</w:t>
            </w:r>
          </w:p>
        </w:tc>
        <w:tc>
          <w:tcPr>
            <w:tcW w:type="dxa" w:w="22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GCP finding at inspection; potential data exclusion</w:t>
            </w:r>
          </w:p>
        </w:tc>
        <w:tc>
          <w:tcPr>
            <w:tcW w:type="dxa" w:w="6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2</w:t>
            </w:r>
          </w:p>
        </w:tc>
        <w:tc>
          <w:tcPr>
            <w:tcW w:type="dxa" w:w="6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5</w:t>
            </w:r>
          </w:p>
        </w:tc>
        <w:tc>
          <w:tcPr>
            <w:tcW w:type="dxa" w:w="9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[object Object]</w:t>
            </w:r>
          </w:p>
        </w:tc>
        <w:tc>
          <w:tcPr>
            <w:tcW w:type="dxa" w:w="19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Risk-based monitoring (RBM); central statistical monitoring (CSM); RBQM system (Medidata Risk)</w:t>
            </w:r>
          </w:p>
        </w:tc>
      </w:tr>
    </w:tbl>
    <w:p>
      <w:pPr>
        <w:spacing w:before="0" w:after="0"/>
      </w:pPr>
      <w:r>
        <w:rPr>
          <w:rFonts w:ascii="Arial" w:cs="Arial" w:eastAsia="Arial" w:hAnsi="Arial"/>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6B" w:val="clear"/>
            <w:tcMar>
              <w:top w:type="dxa" w:w="160"/>
              <w:left w:type="dxa" w:w="240"/>
              <w:bottom w:type="dxa" w:w="160"/>
              <w:right w:type="dxa" w:w="240"/>
            </w:tcMar>
          </w:tcPr>
          <w:p>
            <w:pPr>
              <w:spacing w:before="0" w:after="40"/>
            </w:pPr>
            <w:r>
              <w:rPr>
                <w:rFonts w:ascii="Arial" w:cs="Arial" w:eastAsia="Arial" w:hAnsi="Arial"/>
                <w:b/>
                <w:bCs/>
                <w:color w:val="FFFFFF"/>
                <w:sz w:val="26"/>
                <w:szCs w:val="26"/>
              </w:rPr>
              <w:t xml:space="preserve">11. BUDGET &amp; RESOURCE CONSIDERATIONS</w:t>
            </w:r>
          </w:p>
          <w:p>
            <w:pPr>
              <w:spacing w:before="0" w:after="0"/>
            </w:pPr>
            <w:r>
              <w:rPr>
                <w:rFonts w:ascii="Arial" w:cs="Arial" w:eastAsia="Arial" w:hAnsi="Arial"/>
                <w:i/>
                <w:iCs/>
                <w:color w:val="B0C4DE"/>
                <w:sz w:val="18"/>
                <w:szCs w:val="18"/>
              </w:rPr>
              <w:t xml:space="preserve">Order-of-Magnitude Estimates — Phase 3 dMMR/MSI-H mCRC Global Trial</w:t>
            </w:r>
          </w:p>
        </w:tc>
      </w:tr>
    </w:tbl>
    <w:p>
      <w:pPr>
        <w:spacing w:before="0" w:after="0"/>
      </w:pPr>
      <w:r>
        <w:rPr>
          <w:rFonts w:ascii="Arial" w:cs="Arial" w:eastAsia="Arial" w:hAnsi="Arial"/>
          <w:sz w:val="20"/>
          <w:szCs w:val="20"/>
        </w:rPr>
        <w:t xml:space="preserve"/>
      </w:r>
    </w:p>
    <w:p>
      <w:pPr>
        <w:pStyle w:val="Heading2"/>
        <w:spacing w:before="280" w:after="140"/>
      </w:pPr>
      <w:r>
        <w:rPr>
          <w:rFonts w:ascii="Arial" w:cs="Arial" w:eastAsia="Arial" w:hAnsi="Arial"/>
          <w:b/>
          <w:bCs/>
          <w:color w:val="2E5BA8"/>
          <w:sz w:val="24"/>
          <w:szCs w:val="24"/>
        </w:rPr>
        <w:t xml:space="preserve">11.1 Budget Framework</w:t>
      </w:r>
    </w:p>
    <w:p>
      <w:pPr>
        <w:spacing w:before="60" w:after="60"/>
      </w:pPr>
      <w:r>
        <w:rPr>
          <w:rFonts w:ascii="Arial" w:cs="Arial" w:eastAsia="Arial" w:hAnsi="Arial"/>
          <w:sz w:val="20"/>
          <w:szCs w:val="20"/>
        </w:rPr>
        <w:t xml:space="preserve">The following represents order-of-magnitude estimates for a 500-patient global Phase 3 oncology trial of this complexity. All figures are USD. Final budgets subject to CRO/vendor RFP and contract negotiation.</w:t>
      </w:r>
    </w:p>
    <w:p>
      <w:pPr>
        <w:spacing w:before="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Site Costs (per patient direct costs, labs, assessments)</w:t>
            </w:r>
          </w:p>
        </w:tc>
        <w:tc>
          <w:tcPr>
            <w:tcW w:type="dxa" w:w="57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~$45,000–55,000/patient × 500 pts = $22.5–27.5M</w:t>
            </w:r>
          </w:p>
        </w:tc>
      </w:tr>
      <w:tr>
        <w:tc>
          <w:tcPr>
            <w:tcW w:type="dxa" w:w="36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Site Screen Failure Reimbursement</w:t>
            </w:r>
          </w:p>
        </w:tc>
        <w:tc>
          <w:tcPr>
            <w:tcW w:type="dxa" w:w="57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~800 screen failures × $2,500 avg = ~$2.0M</w:t>
            </w:r>
          </w:p>
        </w:tc>
      </w:tr>
      <w:tr>
        <w:tc>
          <w:tcPr>
            <w:tcW w:type="dxa" w:w="36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Central BICR Imaging Review</w:t>
            </w:r>
          </w:p>
        </w:tc>
        <w:tc>
          <w:tcPr>
            <w:tcW w:type="dxa" w:w="57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~500 pts × $8,000–12,000 avg = $4.0–6.0M</w:t>
            </w:r>
          </w:p>
        </w:tc>
      </w:tr>
      <w:tr>
        <w:tc>
          <w:tcPr>
            <w:tcW w:type="dxa" w:w="36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Central Laboratory (MSI-H, PK, ADA, TMB, PD-L1)</w:t>
            </w:r>
          </w:p>
        </w:tc>
        <w:tc>
          <w:tcPr>
            <w:tcW w:type="dxa" w:w="57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~$3.5–5.0M (blended central lab costs)</w:t>
            </w:r>
          </w:p>
        </w:tc>
      </w:tr>
      <w:tr>
        <w:tc>
          <w:tcPr>
            <w:tcW w:type="dxa" w:w="36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CRO / FSP Operational (monitoring, data management, regulatory)</w:t>
            </w:r>
          </w:p>
        </w:tc>
        <w:tc>
          <w:tcPr>
            <w:tcW w:type="dxa" w:w="57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~$18–25M (FSP hybrid model)</w:t>
            </w:r>
          </w:p>
        </w:tc>
      </w:tr>
      <w:tr>
        <w:tc>
          <w:tcPr>
            <w:tcW w:type="dxa" w:w="36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IWRS / IRT / EDC Platform</w:t>
            </w:r>
          </w:p>
        </w:tc>
        <w:tc>
          <w:tcPr>
            <w:tcW w:type="dxa" w:w="57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~$2.0–3.5M</w:t>
            </w:r>
          </w:p>
        </w:tc>
      </w:tr>
      <w:tr>
        <w:tc>
          <w:tcPr>
            <w:tcW w:type="dxa" w:w="36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Pharmacovigilance &amp; Safety</w:t>
            </w:r>
          </w:p>
        </w:tc>
        <w:tc>
          <w:tcPr>
            <w:tcW w:type="dxa" w:w="57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~$1.5–2.5M</w:t>
            </w:r>
          </w:p>
        </w:tc>
      </w:tr>
      <w:tr>
        <w:tc>
          <w:tcPr>
            <w:tcW w:type="dxa" w:w="36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Statistical Analysis &amp; Reporting</w:t>
            </w:r>
          </w:p>
        </w:tc>
        <w:tc>
          <w:tcPr>
            <w:tcW w:type="dxa" w:w="57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~$2.0–4.0M</w:t>
            </w:r>
          </w:p>
        </w:tc>
      </w:tr>
      <w:tr>
        <w:tc>
          <w:tcPr>
            <w:tcW w:type="dxa" w:w="36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Regulatory Filing &amp; Agency Fees (FDA, EMA, PMDA, NMPA)</w:t>
            </w:r>
          </w:p>
        </w:tc>
        <w:tc>
          <w:tcPr>
            <w:tcW w:type="dxa" w:w="57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~$1.5–2.5M</w:t>
            </w:r>
          </w:p>
        </w:tc>
      </w:tr>
      <w:tr>
        <w:tc>
          <w:tcPr>
            <w:tcW w:type="dxa" w:w="36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IMP Manufacturing &amp; Distribution (cervimab + placebo)</w:t>
            </w:r>
          </w:p>
        </w:tc>
        <w:tc>
          <w:tcPr>
            <w:tcW w:type="dxa" w:w="57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~$15–20M (for 48-month trial)</w:t>
            </w:r>
          </w:p>
        </w:tc>
      </w:tr>
      <w:tr>
        <w:tc>
          <w:tcPr>
            <w:tcW w:type="dxa" w:w="36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Contingency (15%)</w:t>
            </w:r>
          </w:p>
        </w:tc>
        <w:tc>
          <w:tcPr>
            <w:tcW w:type="dxa" w:w="57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~$10–14M</w:t>
            </w:r>
          </w:p>
        </w:tc>
      </w:tr>
      <w:tr>
        <w:tc>
          <w:tcPr>
            <w:tcW w:type="dxa" w:w="36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r>
            <w:rPr>
              <w:rFonts w:ascii="Arial" w:cs="Arial" w:eastAsia="Arial" w:hAnsi="Arial"/>
              <w:b/>
              <w:bCs/>
              <w:sz w:val="20"/>
              <w:szCs w:val="20"/>
            </w:rPr>
            <w:t xml:space="preserve">Total Estimated Budget (Order of Magnitude)</w:t>
          </w:r>
          <w:p/>
        </w:tc>
        <w:tc>
          <w:tcPr>
            <w:tcW w:type="dxa" w:w="57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r>
            <w:rPr>
              <w:rFonts w:ascii="Arial" w:cs="Arial" w:eastAsia="Arial" w:hAnsi="Arial"/>
              <w:b/>
              <w:bCs/>
              <w:sz w:val="20"/>
              <w:szCs w:val="20"/>
            </w:rPr>
            <w:t xml:space="preserve">~$82–110M USD</w:t>
          </w:r>
          <w:p/>
        </w:tc>
      </w:tr>
    </w:tbl>
    <w:p>
      <w:pPr>
        <w:spacing w:before="0" w:after="0"/>
      </w:pPr>
      <w:r>
        <w:rPr>
          <w:rFonts w:ascii="Arial" w:cs="Arial" w:eastAsia="Arial" w:hAnsi="Arial"/>
          <w:sz w:val="20"/>
          <w:szCs w:val="20"/>
        </w:rPr>
        <w:t xml:space="preserve"/>
      </w:r>
    </w:p>
    <w:p>
      <w:pPr>
        <w:pStyle w:val="Heading2"/>
        <w:spacing w:before="280" w:after="140"/>
      </w:pPr>
      <w:r>
        <w:rPr>
          <w:rFonts w:ascii="Arial" w:cs="Arial" w:eastAsia="Arial" w:hAnsi="Arial"/>
          <w:b/>
          <w:bCs/>
          <w:color w:val="2E5BA8"/>
          <w:sz w:val="24"/>
          <w:szCs w:val="24"/>
        </w:rPr>
        <w:t xml:space="preserve">11.2 Staffing (Sponsor-Side)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18"/>
                <w:szCs w:val="18"/>
              </w:rPr>
              <w:t xml:space="preserve">Role</w:t>
            </w:r>
          </w:p>
        </w:tc>
        <w:tc>
          <w:tcPr>
            <w:tcW w:type="dxa" w:w="616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18"/>
                <w:szCs w:val="18"/>
              </w:rPr>
              <w:t xml:space="preserve">Headcount &amp; Responsibility</w:t>
            </w:r>
          </w:p>
        </w:tc>
      </w:tr>
      <w:tr>
        <w:tc>
          <w:tcPr>
            <w:tcW w:type="dxa" w:w="3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Clinical Operations Lead (Global)</w:t>
            </w:r>
          </w:p>
        </w:tc>
        <w:tc>
          <w:tcPr>
            <w:tcW w:type="dxa" w:w="61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1 FTE — overall COP execution, vendor oversight</w:t>
            </w:r>
          </w:p>
        </w:tc>
      </w:tr>
      <w:tr>
        <w:tc>
          <w:tcPr>
            <w:tcW w:type="dxa" w:w="32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Regional Clinical Operations Managers</w:t>
            </w:r>
          </w:p>
        </w:tc>
        <w:tc>
          <w:tcPr>
            <w:tcW w:type="dxa" w:w="61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5 FTE — NA, WEU, EEU, APAC, LATAM/MEA</w:t>
            </w:r>
          </w:p>
        </w:tc>
      </w:tr>
      <w:tr>
        <w:tc>
          <w:tcPr>
            <w:tcW w:type="dxa" w:w="3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Clinical Research Associates (Sponsor CRAs)</w:t>
            </w:r>
          </w:p>
        </w:tc>
        <w:tc>
          <w:tcPr>
            <w:tcW w:type="dxa" w:w="61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8 FTE oversight CRAs (FSP CRAs ~40–60 additional)</w:t>
            </w:r>
          </w:p>
        </w:tc>
      </w:tr>
      <w:tr>
        <w:tc>
          <w:tcPr>
            <w:tcW w:type="dxa" w:w="32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Medical Monitor</w:t>
            </w:r>
          </w:p>
        </w:tc>
        <w:tc>
          <w:tcPr>
            <w:tcW w:type="dxa" w:w="61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2 FTE — 24/7 site medical support; SAE review</w:t>
            </w:r>
          </w:p>
        </w:tc>
      </w:tr>
      <w:tr>
        <w:tc>
          <w:tcPr>
            <w:tcW w:type="dxa" w:w="3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Biostatistician (Lead + DSMB statistician)</w:t>
            </w:r>
          </w:p>
        </w:tc>
        <w:tc>
          <w:tcPr>
            <w:tcW w:type="dxa" w:w="61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2 FTE (1 internal, 1 independent for DSMB)</w:t>
            </w:r>
          </w:p>
        </w:tc>
      </w:tr>
      <w:tr>
        <w:tc>
          <w:tcPr>
            <w:tcW w:type="dxa" w:w="32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Data Management</w:t>
            </w:r>
          </w:p>
        </w:tc>
        <w:tc>
          <w:tcPr>
            <w:tcW w:type="dxa" w:w="61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3 FTE — EDC build, SDTM/ADaM, database lock</w:t>
            </w:r>
          </w:p>
        </w:tc>
      </w:tr>
      <w:tr>
        <w:tc>
          <w:tcPr>
            <w:tcW w:type="dxa" w:w="3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Regulatory Affairs (Global)</w:t>
            </w:r>
          </w:p>
        </w:tc>
        <w:tc>
          <w:tcPr>
            <w:tcW w:type="dxa" w:w="61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3 FTE — US NDA, EMA MAA, APAC submissions</w:t>
            </w:r>
          </w:p>
        </w:tc>
      </w:tr>
      <w:tr>
        <w:tc>
          <w:tcPr>
            <w:tcW w:type="dxa" w:w="32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Pharmacovigilance</w:t>
            </w:r>
          </w:p>
        </w:tc>
        <w:tc>
          <w:tcPr>
            <w:tcW w:type="dxa" w:w="61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2 FTE — SAE management; IND reports; DSUR</w:t>
            </w:r>
          </w:p>
        </w:tc>
      </w:tr>
      <w:tr>
        <w:tc>
          <w:tcPr>
            <w:tcW w:type="dxa" w:w="3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Project Manager</w:t>
            </w:r>
          </w:p>
        </w:tc>
        <w:tc>
          <w:tcPr>
            <w:tcW w:type="dxa" w:w="61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2 FTE — timeline, budget, risk tracking</w:t>
            </w:r>
          </w:p>
        </w:tc>
      </w:tr>
    </w:tbl>
    <w:p>
      <w:pPr>
        <w:spacing w:before="0" w:after="0"/>
      </w:pPr>
      <w:r>
        <w:rPr>
          <w:rFonts w:ascii="Arial" w:cs="Arial" w:eastAsia="Arial" w:hAnsi="Arial"/>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6B" w:val="clear"/>
            <w:tcMar>
              <w:top w:type="dxa" w:w="160"/>
              <w:left w:type="dxa" w:w="240"/>
              <w:bottom w:type="dxa" w:w="160"/>
              <w:right w:type="dxa" w:w="240"/>
            </w:tcMar>
          </w:tcPr>
          <w:p>
            <w:pPr>
              <w:spacing w:before="0" w:after="40"/>
            </w:pPr>
            <w:r>
              <w:rPr>
                <w:rFonts w:ascii="Arial" w:cs="Arial" w:eastAsia="Arial" w:hAnsi="Arial"/>
                <w:b/>
                <w:bCs/>
                <w:color w:val="FFFFFF"/>
                <w:sz w:val="26"/>
                <w:szCs w:val="26"/>
              </w:rPr>
              <w:t xml:space="preserve">12. KEY MILESTONES &amp; TIMELINE</w:t>
            </w:r>
          </w:p>
          <w:p>
            <w:pPr>
              <w:spacing w:before="0" w:after="0"/>
            </w:pPr>
            <w:r>
              <w:rPr>
                <w:rFonts w:ascii="Arial" w:cs="Arial" w:eastAsia="Arial" w:hAnsi="Arial"/>
                <w:i/>
                <w:iCs/>
                <w:color w:val="B0C4DE"/>
                <w:sz w:val="18"/>
                <w:szCs w:val="18"/>
              </w:rPr>
              <w:t xml:space="preserve">CERVIMAB-301 Master Study Timeline</w:t>
            </w:r>
          </w:p>
        </w:tc>
      </w:tr>
    </w:tbl>
    <w:p>
      <w:pPr>
        <w:spacing w:before="0" w:after="0"/>
      </w:pPr>
      <w:r>
        <w:rPr>
          <w:rFonts w:ascii="Arial" w:cs="Arial" w:eastAsia="Arial" w:hAnsi="Arial"/>
          <w:sz w:val="20"/>
          <w:szCs w:val="20"/>
        </w:rPr>
        <w:t xml:space="preserve"/>
      </w:r>
    </w:p>
    <w:p>
      <w:pPr>
        <w:pStyle w:val="Heading2"/>
        <w:spacing w:before="280" w:after="140"/>
      </w:pPr>
      <w:r>
        <w:rPr>
          <w:rFonts w:ascii="Arial" w:cs="Arial" w:eastAsia="Arial" w:hAnsi="Arial"/>
          <w:b/>
          <w:bCs/>
          <w:color w:val="2E5BA8"/>
          <w:sz w:val="24"/>
          <w:szCs w:val="24"/>
        </w:rPr>
        <w:t xml:space="preserve">12.1 Master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18"/>
                <w:szCs w:val="18"/>
              </w:rPr>
              <w:t xml:space="preserve">Milestone Period</w:t>
            </w:r>
          </w:p>
        </w:tc>
        <w:tc>
          <w:tcPr>
            <w:tcW w:type="dxa" w:w="816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18"/>
                <w:szCs w:val="18"/>
              </w:rPr>
              <w:t xml:space="preserve">Key Activities &amp; Events</w:t>
            </w:r>
          </w:p>
        </w:tc>
      </w:tr>
      <w:tr>
        <w:tc>
          <w:tcPr>
            <w:tcW w:type="dxa" w:w="1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Q2 2026</w:t>
            </w:r>
          </w:p>
        </w:tc>
        <w:tc>
          <w:tcPr>
            <w:tcW w:type="dxa" w:w="81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Protocol Finalization v1.0; CRO Selection; FDA Pre-Phase 3 meeting; EMA Scientific Advice; NMPA sIND submission; Central lab &amp; BICR vendor selection</w:t>
            </w:r>
          </w:p>
        </w:tc>
      </w:tr>
      <w:tr>
        <w:tc>
          <w:tcPr>
            <w:tcW w:type="dxa" w:w="12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Q3 2026</w:t>
            </w:r>
          </w:p>
        </w:tc>
        <w:tc>
          <w:tcPr>
            <w:tcW w:type="dxa" w:w="81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IND amendments submitted; CTIS EU submission; Site feasibility surveys complete; Tier 1 site CTAs executed; US central IRB submission</w:t>
            </w:r>
          </w:p>
        </w:tc>
      </w:tr>
      <w:tr>
        <w:tc>
          <w:tcPr>
            <w:tcW w:type="dxa" w:w="1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Q4 2026</w:t>
            </w:r>
          </w:p>
        </w:tc>
        <w:tc>
          <w:tcPr>
            <w:tcW w:type="dxa" w:w="81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Tier 1 sites activated (60 sites); FPI — First Patient In; Site Initiation Visits (Tier 1 complete); DSMB constituted; PV system go-live</w:t>
            </w:r>
          </w:p>
        </w:tc>
      </w:tr>
      <w:tr>
        <w:tc>
          <w:tcPr>
            <w:tcW w:type="dxa" w:w="12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Q1 2027</w:t>
            </w:r>
          </w:p>
        </w:tc>
        <w:tc>
          <w:tcPr>
            <w:tcW w:type="dxa" w:w="81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Tier 2 sites activating; ~100 sites open; enrollment rate 10–15 pts/month; Japan/China site activations</w:t>
            </w:r>
          </w:p>
        </w:tc>
      </w:tr>
      <w:tr>
        <w:tc>
          <w:tcPr>
            <w:tcW w:type="dxa" w:w="1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Q2 2027</w:t>
            </w:r>
          </w:p>
        </w:tc>
        <w:tc>
          <w:tcPr>
            <w:tcW w:type="dxa" w:w="81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All 200 sites activated; Enrollment rate target 20 pts/month; APAC/LATAM fully enrolled; Ongoing RBQM monitoring</w:t>
            </w:r>
          </w:p>
        </w:tc>
      </w:tr>
      <w:tr>
        <w:tc>
          <w:tcPr>
            <w:tcW w:type="dxa" w:w="12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Q4 2027</w:t>
            </w:r>
          </w:p>
        </w:tc>
        <w:tc>
          <w:tcPr>
            <w:tcW w:type="dxa" w:w="81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IA1 (~50% PFS events, ~140 events); DSMB review; Enrollment ~300 patients; Potential BTD re-assessment/CMA EMA discussion</w:t>
            </w:r>
          </w:p>
        </w:tc>
      </w:tr>
      <w:tr>
        <w:tc>
          <w:tcPr>
            <w:tcW w:type="dxa" w:w="1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Q2 2028</w:t>
            </w:r>
          </w:p>
        </w:tc>
        <w:tc>
          <w:tcPr>
            <w:tcW w:type="dxa" w:w="81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IA2 (~75% PFS events, ~210 events); Pre-NDA FDA Type B meeting; PMDA pre-submission meeting; Enrollment ~450 patients</w:t>
            </w:r>
          </w:p>
        </w:tc>
      </w:tr>
      <w:tr>
        <w:tc>
          <w:tcPr>
            <w:tcW w:type="dxa" w:w="12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Q4 2028</w:t>
            </w:r>
          </w:p>
        </w:tc>
        <w:tc>
          <w:tcPr>
            <w:tcW w:type="dxa" w:w="81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LPI — Last Patient In (target ~500 patients); Enrollment complete; Begin minimum 24-month follow-up; Database monitoring intensified</w:t>
            </w:r>
          </w:p>
        </w:tc>
      </w:tr>
      <w:tr>
        <w:tc>
          <w:tcPr>
            <w:tcW w:type="dxa" w:w="1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Q4 2028–Q1 2029</w:t>
            </w:r>
          </w:p>
        </w:tc>
        <w:tc>
          <w:tcPr>
            <w:tcW w:type="dxa" w:w="81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Primary Analysis (280 PFS events achieved); Database lock; Unblinding; CSR preparation</w:t>
            </w:r>
          </w:p>
        </w:tc>
      </w:tr>
      <w:tr>
        <w:tc>
          <w:tcPr>
            <w:tcW w:type="dxa" w:w="12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Q2–Q3 2029</w:t>
            </w:r>
          </w:p>
        </w:tc>
        <w:tc>
          <w:tcPr>
            <w:tcW w:type="dxa" w:w="81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NDA submission to FDA; MAA submission to EMA; J-NDA submission to PMDA; NMPA BLA submission</w:t>
            </w:r>
          </w:p>
        </w:tc>
      </w:tr>
      <w:tr>
        <w:tc>
          <w:tcPr>
            <w:tcW w:type="dxa" w:w="1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2029–2030</w:t>
            </w:r>
          </w:p>
        </w:tc>
        <w:tc>
          <w:tcPr>
            <w:tcW w:type="dxa" w:w="81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FDA review; EMA CHMP assessment; PMDA review; FDA AdCom (anticipated); Label negotiation</w:t>
            </w:r>
          </w:p>
        </w:tc>
      </w:tr>
      <w:tr>
        <w:tc>
          <w:tcPr>
            <w:tcW w:type="dxa" w:w="12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Q2–Q4 2030</w:t>
            </w:r>
          </w:p>
        </w:tc>
        <w:tc>
          <w:tcPr>
            <w:tcW w:type="dxa" w:w="81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US FDA Approval (target); EU EMA CHMP Positive Opinion; PMDA Approval; Commercial launch preparation</w:t>
            </w:r>
          </w:p>
        </w:tc>
      </w:tr>
    </w:tbl>
    <w:p>
      <w:pPr>
        <w:spacing w:before="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BA8" w:sz="8"/>
              <w:left w:val="single" w:color="2E5BA8" w:sz="8"/>
              <w:bottom w:val="single" w:color="CCCCCC" w:sz="4"/>
              <w:right w:val="single" w:color="CCCCCC" w:sz="4"/>
            </w:tcBorders>
            <w:shd w:fill="D6E4F7" w:val="clear"/>
            <w:tcMar>
              <w:top w:type="dxa" w:w="160"/>
              <w:left w:type="dxa" w:w="200"/>
              <w:bottom w:type="dxa" w:w="160"/>
              <w:right w:type="dxa" w:w="200"/>
            </w:tcMar>
          </w:tcPr>
          <w:p>
            <w:pPr>
              <w:spacing w:before="0" w:after="60"/>
            </w:pPr>
            <w:r>
              <w:rPr>
                <w:rFonts w:ascii="Arial" w:cs="Arial" w:eastAsia="Arial" w:hAnsi="Arial"/>
                <w:b/>
                <w:bCs/>
                <w:color w:val="1B3A6B"/>
                <w:sz w:val="20"/>
                <w:szCs w:val="20"/>
              </w:rPr>
              <w:t xml:space="preserve">Critical Path Items</w:t>
            </w:r>
          </w:p>
          <w:p>
            <w:pPr>
              <w:pStyle w:val="ListParagraph"/>
              <w:numPr>
                <w:ilvl w:val="0"/>
                <w:numId w:val="2"/>
              </w:numPr>
              <w:spacing w:before="40" w:after="40"/>
            </w:pPr>
            <w:r>
              <w:rPr>
                <w:rFonts w:ascii="Arial" w:cs="Arial" w:eastAsia="Arial" w:hAnsi="Arial"/>
                <w:sz w:val="20"/>
                <w:szCs w:val="20"/>
              </w:rPr>
              <w:t xml:space="preserve">Central dMMR/MSI-H lab setup and validation must complete 8 weeks before FPI — any delay directly impacts enrollment start</w:t>
            </w:r>
          </w:p>
          <w:p>
            <w:pPr>
              <w:pStyle w:val="ListParagraph"/>
              <w:numPr>
                <w:ilvl w:val="0"/>
                <w:numId w:val="2"/>
              </w:numPr>
              <w:spacing w:before="40" w:after="40"/>
            </w:pPr>
            <w:r>
              <w:rPr>
                <w:rFonts w:ascii="Arial" w:cs="Arial" w:eastAsia="Arial" w:hAnsi="Arial"/>
                <w:sz w:val="20"/>
                <w:szCs w:val="20"/>
              </w:rPr>
              <w:t xml:space="preserve">BICR vendor SOP and imaging charter must be FDA/EMA-reviewed before FPI — post-hoc BICR changes invalidate registration dataset</w:t>
            </w:r>
          </w:p>
          <w:p>
            <w:pPr>
              <w:pStyle w:val="ListParagraph"/>
              <w:numPr>
                <w:ilvl w:val="0"/>
                <w:numId w:val="2"/>
              </w:numPr>
              <w:spacing w:before="40" w:after="40"/>
            </w:pPr>
            <w:r>
              <w:rPr>
                <w:rFonts w:ascii="Arial" w:cs="Arial" w:eastAsia="Arial" w:hAnsi="Arial"/>
                <w:sz w:val="20"/>
                <w:szCs w:val="20"/>
              </w:rPr>
              <w:t xml:space="preserve">NMPA sIND and ANVISA approvals are on critical path for Asia and LATAM enrollment contributions — 12-month lead time required</w:t>
            </w:r>
          </w:p>
          <w:p>
            <w:pPr>
              <w:pStyle w:val="ListParagraph"/>
              <w:numPr>
                <w:ilvl w:val="0"/>
                <w:numId w:val="2"/>
              </w:numPr>
              <w:spacing w:before="40" w:after="40"/>
            </w:pPr>
            <w:r>
              <w:rPr>
                <w:rFonts w:ascii="Arial" w:cs="Arial" w:eastAsia="Arial" w:hAnsi="Arial"/>
                <w:sz w:val="20"/>
                <w:szCs w:val="20"/>
              </w:rPr>
              <w:t xml:space="preserve">DSMB charter must be finalized and submitted to FDA before IA1 — failure to do so risks FDA questioning of data integrity at NDA review</w:t>
            </w:r>
          </w:p>
          <w:p>
            <w:pPr>
              <w:pStyle w:val="ListParagraph"/>
              <w:numPr>
                <w:ilvl w:val="0"/>
                <w:numId w:val="2"/>
              </w:numPr>
              <w:spacing w:before="40" w:after="40"/>
            </w:pPr>
            <w:r>
              <w:rPr>
                <w:rFonts w:ascii="Arial" w:cs="Arial" w:eastAsia="Arial" w:hAnsi="Arial"/>
                <w:sz w:val="20"/>
                <w:szCs w:val="20"/>
              </w:rPr>
              <w:t xml:space="preserve">IA2 data package quality drives NDA submission readiness — pre-NDA Type B meeting must occur ≥6 months before submission</w:t>
            </w:r>
          </w:p>
        </w:tc>
      </w:tr>
    </w:tbl>
    <w:p>
      <w:pPr>
        <w:spacing w:before="0" w:after="0"/>
      </w:pPr>
      <w:r>
        <w:rPr>
          <w:rFonts w:ascii="Arial" w:cs="Arial" w:eastAsia="Arial" w:hAnsi="Arial"/>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6B" w:val="clear"/>
            <w:tcMar>
              <w:top w:type="dxa" w:w="160"/>
              <w:left w:type="dxa" w:w="240"/>
              <w:bottom w:type="dxa" w:w="160"/>
              <w:right w:type="dxa" w:w="240"/>
            </w:tcMar>
          </w:tcPr>
          <w:p>
            <w:pPr>
              <w:spacing w:before="0" w:after="40"/>
            </w:pPr>
            <w:r>
              <w:rPr>
                <w:rFonts w:ascii="Arial" w:cs="Arial" w:eastAsia="Arial" w:hAnsi="Arial"/>
                <w:b/>
                <w:bCs/>
                <w:color w:val="FFFFFF"/>
                <w:sz w:val="26"/>
                <w:szCs w:val="26"/>
              </w:rPr>
              <w:t xml:space="preserve">APPENDICES</w:t>
            </w:r>
          </w:p>
          <w:p>
            <w:pPr>
              <w:spacing w:before="0" w:after="0"/>
            </w:pPr>
            <w:r>
              <w:rPr>
                <w:rFonts w:ascii="Arial" w:cs="Arial" w:eastAsia="Arial" w:hAnsi="Arial"/>
                <w:i/>
                <w:iCs/>
                <w:color w:val="B0C4DE"/>
                <w:sz w:val="18"/>
                <w:szCs w:val="18"/>
              </w:rPr>
              <w:t xml:space="preserve">Supporting Reference Tables &amp; Tools</w:t>
            </w:r>
          </w:p>
        </w:tc>
      </w:tr>
    </w:tbl>
    <w:p>
      <w:pPr>
        <w:spacing w:before="0" w:after="0"/>
      </w:pPr>
      <w:r>
        <w:rPr>
          <w:rFonts w:ascii="Arial" w:cs="Arial" w:eastAsia="Arial" w:hAnsi="Arial"/>
          <w:sz w:val="20"/>
          <w:szCs w:val="20"/>
        </w:rPr>
        <w:t xml:space="preserve"/>
      </w:r>
    </w:p>
    <w:p>
      <w:pPr>
        <w:pStyle w:val="Heading2"/>
        <w:spacing w:before="280" w:after="140"/>
      </w:pPr>
      <w:r>
        <w:rPr>
          <w:rFonts w:ascii="Arial" w:cs="Arial" w:eastAsia="Arial" w:hAnsi="Arial"/>
          <w:b/>
          <w:bCs/>
          <w:color w:val="2E5BA8"/>
          <w:sz w:val="24"/>
          <w:szCs w:val="24"/>
        </w:rPr>
        <w:t xml:space="preserve">Appendix A: I/E Criteria Operational Quick Reference</w:t>
      </w:r>
    </w:p>
    <w:p>
      <w:pPr>
        <w:spacing w:before="60" w:after="60"/>
      </w:pPr>
      <w:r>
        <w:rPr>
          <w:rFonts w:ascii="Arial" w:cs="Arial" w:eastAsia="Arial" w:hAnsi="Arial"/>
          <w:sz w:val="20"/>
          <w:szCs w:val="20"/>
        </w:rPr>
        <w:t xml:space="preserve">The following summarizes key operational clarifications for I/E criteria implementation at site level:</w:t>
      </w:r>
    </w:p>
    <w:p>
      <w:pPr>
        <w:spacing w:before="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18"/>
                <w:szCs w:val="18"/>
              </w:rPr>
              <w:t xml:space="preserve">I/E Item</w:t>
            </w:r>
          </w:p>
        </w:tc>
        <w:tc>
          <w:tcPr>
            <w:tcW w:type="dxa" w:w="616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18"/>
                <w:szCs w:val="18"/>
              </w:rPr>
              <w:t xml:space="preserve">Operational Clarification</w:t>
            </w:r>
          </w:p>
        </w:tc>
      </w:tr>
      <w:tr>
        <w:tc>
          <w:tcPr>
            <w:tcW w:type="dxa" w:w="3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Prior adjuvant therapy</w:t>
            </w:r>
          </w:p>
        </w:tc>
        <w:tc>
          <w:tcPr>
            <w:tcW w:type="dxa" w:w="61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Permitted IF completed ≥6 months before randomization. Document adjuvant regimen end date precisely. FOLFOX adjuvant is permitted.</w:t>
            </w:r>
          </w:p>
        </w:tc>
      </w:tr>
      <w:tr>
        <w:tc>
          <w:tcPr>
            <w:tcW w:type="dxa" w:w="32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dMMR/MSI-H confirmation</w:t>
            </w:r>
          </w:p>
        </w:tc>
        <w:tc>
          <w:tcPr>
            <w:tcW w:type="dxa" w:w="61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IHC alone (loss of ≥1 MMR protein) OR PCR MSI-H alone sufficient. Central lab confirmation required. Local result may be used provisionally but central result is definitive.</w:t>
            </w:r>
          </w:p>
        </w:tc>
      </w:tr>
      <w:tr>
        <w:tc>
          <w:tcPr>
            <w:tcW w:type="dxa" w:w="3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Corticosteroid exclusion</w:t>
            </w:r>
          </w:p>
        </w:tc>
        <w:tc>
          <w:tcPr>
            <w:tcW w:type="dxa" w:w="61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Only SYSTEMIC steroids &gt;10 mg prednisone/day. Inhaled, topical, physiologic replacement (e.g., 5–7.5 mg for adrenal insufficiency) are NOT excluded. Document dose, route, indication.</w:t>
            </w:r>
          </w:p>
        </w:tc>
      </w:tr>
      <w:tr>
        <w:tc>
          <w:tcPr>
            <w:tcW w:type="dxa" w:w="32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Active autoimmune disease</w:t>
            </w:r>
          </w:p>
        </w:tc>
        <w:tc>
          <w:tcPr>
            <w:tcW w:type="dxa" w:w="61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Replacement therapy (levothyroxine, insulin, steroids for adrenal) does NOT qualify as active autoimmune requiring systemic treatment. Rheumatoid arthritis on hydroxychloroquine alone — discuss with medical monitor.</w:t>
            </w:r>
          </w:p>
        </w:tc>
      </w:tr>
      <w:tr>
        <w:tc>
          <w:tcPr>
            <w:tcW w:type="dxa" w:w="3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Gilbert syndrome</w:t>
            </w:r>
          </w:p>
        </w:tc>
        <w:tc>
          <w:tcPr>
            <w:tcW w:type="dxa" w:w="61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Total bilirubin ≤3× ULN acceptable. Must have documented Gilbert diagnosis (UGT1A1 genotype or prior clinical diagnosis).</w:t>
            </w:r>
          </w:p>
        </w:tc>
      </w:tr>
      <w:tr>
        <w:tc>
          <w:tcPr>
            <w:tcW w:type="dxa" w:w="32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Stable HIV</w:t>
            </w:r>
          </w:p>
        </w:tc>
        <w:tc>
          <w:tcPr>
            <w:tcW w:type="dxa" w:w="61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CD4 ≥350 cells/µL AND not requiring ART = eligible. Document CD4 and ART status. HIV+ patients on ART = excluded.</w:t>
            </w:r>
          </w:p>
        </w:tc>
      </w:tr>
      <w:tr>
        <w:tc>
          <w:tcPr>
            <w:tcW w:type="dxa" w:w="3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Prior malignancy within 3 years</w:t>
            </w:r>
          </w:p>
        </w:tc>
        <w:tc>
          <w:tcPr>
            <w:tcW w:type="dxa" w:w="61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BCC, SCC of skin, CIS of any organ = not excluded. Low-risk localized prostate cancer (Gleason ≤6, surveillance) — discuss with medical monitor on case-by-case basis.</w:t>
            </w:r>
          </w:p>
        </w:tc>
      </w:tr>
      <w:tr>
        <w:tc>
          <w:tcPr>
            <w:tcW w:type="dxa" w:w="32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Treated CNS metastases</w:t>
            </w:r>
          </w:p>
        </w:tc>
        <w:tc>
          <w:tcPr>
            <w:tcW w:type="dxa" w:w="61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Patient eligible if: (a) treated by surgery/RT, (b) asymptomatic, (c) no corticosteroids required (or tapering, stable ≥4 weeks). Document RT completion date; last corticosteroid dose.</w:t>
            </w:r>
          </w:p>
        </w:tc>
      </w:tr>
    </w:tbl>
    <w:p>
      <w:pPr>
        <w:spacing w:before="0" w:after="0"/>
      </w:pPr>
      <w:r>
        <w:rPr>
          <w:rFonts w:ascii="Arial" w:cs="Arial" w:eastAsia="Arial" w:hAnsi="Arial"/>
          <w:sz w:val="20"/>
          <w:szCs w:val="20"/>
        </w:rPr>
        <w:t xml:space="preserve"/>
      </w:r>
    </w:p>
    <w:p>
      <w:pPr>
        <w:pStyle w:val="Heading2"/>
        <w:spacing w:before="280" w:after="140"/>
      </w:pPr>
      <w:r>
        <w:rPr>
          <w:rFonts w:ascii="Arial" w:cs="Arial" w:eastAsia="Arial" w:hAnsi="Arial"/>
          <w:b/>
          <w:bCs/>
          <w:color w:val="2E5BA8"/>
          <w:sz w:val="24"/>
          <w:szCs w:val="24"/>
        </w:rPr>
        <w:t xml:space="preserve">Appendix B: Country Regulatory Submission Summary</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1200"/>
        <w:gridCol w:w="1100"/>
        <w:gridCol w:w="1500"/>
        <w:gridCol w:w="1800"/>
        <w:gridCol w:w="1300"/>
        <w:gridCol w:w="1300"/>
        <w:gridCol w:w="1100"/>
        <w:gridCol w:w="960"/>
      </w:tblGrid>
      <w:tr>
        <w:tc>
          <w:tcPr>
            <w:tcW w:type="dxa" w:w="120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18"/>
                <w:szCs w:val="18"/>
              </w:rPr>
              <w:t xml:space="preserve">Country</w:t>
            </w:r>
          </w:p>
        </w:tc>
        <w:tc>
          <w:tcPr>
            <w:tcW w:type="dxa" w:w="110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18"/>
                <w:szCs w:val="18"/>
              </w:rPr>
              <w:t xml:space="preserve">Agency</w:t>
            </w:r>
          </w:p>
        </w:tc>
        <w:tc>
          <w:tcPr>
            <w:tcW w:type="dxa" w:w="150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18"/>
                <w:szCs w:val="18"/>
              </w:rPr>
              <w:t xml:space="preserve">Submission Type</w:t>
            </w:r>
          </w:p>
        </w:tc>
        <w:tc>
          <w:tcPr>
            <w:tcW w:type="dxa" w:w="180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18"/>
                <w:szCs w:val="18"/>
              </w:rPr>
              <w:t xml:space="preserve">Regulation</w:t>
            </w:r>
          </w:p>
        </w:tc>
        <w:tc>
          <w:tcPr>
            <w:tcW w:type="dxa" w:w="130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18"/>
                <w:szCs w:val="18"/>
              </w:rPr>
              <w:t xml:space="preserve">HA Approval Timeline</w:t>
            </w:r>
          </w:p>
        </w:tc>
        <w:tc>
          <w:tcPr>
            <w:tcW w:type="dxa" w:w="130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18"/>
                <w:szCs w:val="18"/>
              </w:rPr>
              <w:t xml:space="preserve">Site Activation Lead</w:t>
            </w:r>
          </w:p>
        </w:tc>
        <w:tc>
          <w:tcPr>
            <w:tcW w:type="dxa" w:w="110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18"/>
                <w:szCs w:val="18"/>
              </w:rPr>
              <w:t xml:space="preserve">IRB/IEC Type</w:t>
            </w:r>
          </w:p>
        </w:tc>
        <w:tc>
          <w:tcPr>
            <w:tcW w:type="dxa" w:w="96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18"/>
                <w:szCs w:val="18"/>
              </w:rPr>
              <w:t xml:space="preserve">Notes</w:t>
            </w:r>
          </w:p>
        </w:tc>
      </w:tr>
      <w:tr>
        <w:tc>
          <w:tcPr>
            <w:tcW w:type="dxa" w:w="1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United States</w:t>
            </w:r>
          </w:p>
        </w:tc>
        <w:tc>
          <w:tcPr>
            <w:tcW w:type="dxa" w:w="11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FDA</w:t>
            </w:r>
          </w:p>
        </w:tc>
        <w:tc>
          <w:tcPr>
            <w:tcW w:type="dxa" w:w="15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IND Amendment</w:t>
            </w:r>
          </w:p>
        </w:tc>
        <w:tc>
          <w:tcPr>
            <w:tcW w:type="dxa" w:w="18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21 CFR 312</w:t>
            </w:r>
          </w:p>
        </w:tc>
        <w:tc>
          <w:tcPr>
            <w:tcW w:type="dxa" w:w="13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~30 days (30-day review)</w:t>
            </w:r>
          </w:p>
        </w:tc>
        <w:tc>
          <w:tcPr>
            <w:tcW w:type="dxa" w:w="13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~4 months (site level)</w:t>
            </w:r>
          </w:p>
        </w:tc>
        <w:tc>
          <w:tcPr>
            <w:tcW w:type="dxa" w:w="11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Central IRB available</w:t>
            </w:r>
          </w:p>
        </w:tc>
        <w:tc>
          <w:tcPr>
            <w:tcW w:type="dxa" w:w="9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BTD holder</w:t>
            </w:r>
          </w:p>
        </w:tc>
      </w:tr>
      <w:tr>
        <w:tc>
          <w:tcPr>
            <w:tcW w:type="dxa" w:w="12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Canada</w:t>
            </w:r>
          </w:p>
        </w:tc>
        <w:tc>
          <w:tcPr>
            <w:tcW w:type="dxa" w:w="11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Health Canada</w:t>
            </w:r>
          </w:p>
        </w:tc>
        <w:tc>
          <w:tcPr>
            <w:tcW w:type="dxa" w:w="15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CTA</w:t>
            </w:r>
          </w:p>
        </w:tc>
        <w:tc>
          <w:tcPr>
            <w:tcW w:type="dxa" w:w="18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Division 5 Regs</w:t>
            </w:r>
          </w:p>
        </w:tc>
        <w:tc>
          <w:tcPr>
            <w:tcW w:type="dxa" w:w="13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~30 days</w:t>
            </w:r>
          </w:p>
        </w:tc>
        <w:tc>
          <w:tcPr>
            <w:tcW w:type="dxa" w:w="13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~4 months</w:t>
            </w:r>
          </w:p>
        </w:tc>
        <w:tc>
          <w:tcPr>
            <w:tcW w:type="dxa" w:w="11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REB per site</w:t>
            </w:r>
          </w:p>
        </w:tc>
        <w:tc>
          <w:tcPr>
            <w:tcW w:type="dxa" w:w="9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No special designation</w:t>
            </w:r>
          </w:p>
        </w:tc>
      </w:tr>
      <w:tr>
        <w:tc>
          <w:tcPr>
            <w:tcW w:type="dxa" w:w="1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Germany</w:t>
            </w:r>
          </w:p>
        </w:tc>
        <w:tc>
          <w:tcPr>
            <w:tcW w:type="dxa" w:w="11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BfArM/PEI</w:t>
            </w:r>
          </w:p>
        </w:tc>
        <w:tc>
          <w:tcPr>
            <w:tcW w:type="dxa" w:w="15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CTA (CTIS)</w:t>
            </w:r>
          </w:p>
        </w:tc>
        <w:tc>
          <w:tcPr>
            <w:tcW w:type="dxa" w:w="18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EU CTR 536/2014</w:t>
            </w:r>
          </w:p>
        </w:tc>
        <w:tc>
          <w:tcPr>
            <w:tcW w:type="dxa" w:w="13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~45 days</w:t>
            </w:r>
          </w:p>
        </w:tc>
        <w:tc>
          <w:tcPr>
            <w:tcW w:type="dxa" w:w="13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~5 months</w:t>
            </w:r>
          </w:p>
        </w:tc>
        <w:tc>
          <w:tcPr>
            <w:tcW w:type="dxa" w:w="11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Ethics committee</w:t>
            </w:r>
          </w:p>
        </w:tc>
        <w:tc>
          <w:tcPr>
            <w:tcW w:type="dxa" w:w="9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Strong GCP</w:t>
            </w:r>
          </w:p>
        </w:tc>
      </w:tr>
      <w:tr>
        <w:tc>
          <w:tcPr>
            <w:tcW w:type="dxa" w:w="12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France</w:t>
            </w:r>
          </w:p>
        </w:tc>
        <w:tc>
          <w:tcPr>
            <w:tcW w:type="dxa" w:w="11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ANSM</w:t>
            </w:r>
          </w:p>
        </w:tc>
        <w:tc>
          <w:tcPr>
            <w:tcW w:type="dxa" w:w="15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CTA (CTIS)</w:t>
            </w:r>
          </w:p>
        </w:tc>
        <w:tc>
          <w:tcPr>
            <w:tcW w:type="dxa" w:w="18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EU CTR 536/2014</w:t>
            </w:r>
          </w:p>
        </w:tc>
        <w:tc>
          <w:tcPr>
            <w:tcW w:type="dxa" w:w="13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~45 days</w:t>
            </w:r>
          </w:p>
        </w:tc>
        <w:tc>
          <w:tcPr>
            <w:tcW w:type="dxa" w:w="13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~5 months</w:t>
            </w:r>
          </w:p>
        </w:tc>
        <w:tc>
          <w:tcPr>
            <w:tcW w:type="dxa" w:w="11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CPP (Central)</w:t>
            </w:r>
          </w:p>
        </w:tc>
        <w:tc>
          <w:tcPr>
            <w:tcW w:type="dxa" w:w="9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Fast ANSM</w:t>
            </w:r>
          </w:p>
        </w:tc>
      </w:tr>
      <w:tr>
        <w:tc>
          <w:tcPr>
            <w:tcW w:type="dxa" w:w="1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United Kingdom</w:t>
            </w:r>
          </w:p>
        </w:tc>
        <w:tc>
          <w:tcPr>
            <w:tcW w:type="dxa" w:w="11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MHRA</w:t>
            </w:r>
          </w:p>
        </w:tc>
        <w:tc>
          <w:tcPr>
            <w:tcW w:type="dxa" w:w="15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CTA (UKCA post-Brexit)</w:t>
            </w:r>
          </w:p>
        </w:tc>
        <w:tc>
          <w:tcPr>
            <w:tcW w:type="dxa" w:w="18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UK SI 536/2004</w:t>
            </w:r>
          </w:p>
        </w:tc>
        <w:tc>
          <w:tcPr>
            <w:tcW w:type="dxa" w:w="13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~30 days</w:t>
            </w:r>
          </w:p>
        </w:tc>
        <w:tc>
          <w:tcPr>
            <w:tcW w:type="dxa" w:w="13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~4 months</w:t>
            </w:r>
          </w:p>
        </w:tc>
        <w:tc>
          <w:tcPr>
            <w:tcW w:type="dxa" w:w="11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NHS HRA approval</w:t>
            </w:r>
          </w:p>
        </w:tc>
        <w:tc>
          <w:tcPr>
            <w:tcW w:type="dxa" w:w="9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Fast MHRA</w:t>
            </w:r>
          </w:p>
        </w:tc>
      </w:tr>
      <w:tr>
        <w:tc>
          <w:tcPr>
            <w:tcW w:type="dxa" w:w="12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Japan</w:t>
            </w:r>
          </w:p>
        </w:tc>
        <w:tc>
          <w:tcPr>
            <w:tcW w:type="dxa" w:w="11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PMDA</w:t>
            </w:r>
          </w:p>
        </w:tc>
        <w:tc>
          <w:tcPr>
            <w:tcW w:type="dxa" w:w="15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J-IND (CTA)</w:t>
            </w:r>
          </w:p>
        </w:tc>
        <w:tc>
          <w:tcPr>
            <w:tcW w:type="dxa" w:w="18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Pharma Affairs Law</w:t>
            </w:r>
          </w:p>
        </w:tc>
        <w:tc>
          <w:tcPr>
            <w:tcW w:type="dxa" w:w="13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~60 days</w:t>
            </w:r>
          </w:p>
        </w:tc>
        <w:tc>
          <w:tcPr>
            <w:tcW w:type="dxa" w:w="13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~7 months</w:t>
            </w:r>
          </w:p>
        </w:tc>
        <w:tc>
          <w:tcPr>
            <w:tcW w:type="dxa" w:w="11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IRB per site</w:t>
            </w:r>
          </w:p>
        </w:tc>
        <w:tc>
          <w:tcPr>
            <w:tcW w:type="dxa" w:w="9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PMDA meeting req.</w:t>
            </w:r>
          </w:p>
        </w:tc>
      </w:tr>
      <w:tr>
        <w:tc>
          <w:tcPr>
            <w:tcW w:type="dxa" w:w="1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China</w:t>
            </w:r>
          </w:p>
        </w:tc>
        <w:tc>
          <w:tcPr>
            <w:tcW w:type="dxa" w:w="11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NMPA</w:t>
            </w:r>
          </w:p>
        </w:tc>
        <w:tc>
          <w:tcPr>
            <w:tcW w:type="dxa" w:w="15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sIND</w:t>
            </w:r>
          </w:p>
        </w:tc>
        <w:tc>
          <w:tcPr>
            <w:tcW w:type="dxa" w:w="18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Chinese GCP</w:t>
            </w:r>
          </w:p>
        </w:tc>
        <w:tc>
          <w:tcPr>
            <w:tcW w:type="dxa" w:w="13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~60–90 days</w:t>
            </w:r>
          </w:p>
        </w:tc>
        <w:tc>
          <w:tcPr>
            <w:tcW w:type="dxa" w:w="13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~9–12 months</w:t>
            </w:r>
          </w:p>
        </w:tc>
        <w:tc>
          <w:tcPr>
            <w:tcW w:type="dxa" w:w="11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Ethics committee</w:t>
            </w:r>
          </w:p>
        </w:tc>
        <w:tc>
          <w:tcPr>
            <w:tcW w:type="dxa" w:w="9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NMPA pre-consult req.</w:t>
            </w:r>
          </w:p>
        </w:tc>
      </w:tr>
      <w:tr>
        <w:tc>
          <w:tcPr>
            <w:tcW w:type="dxa" w:w="12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Brazil</w:t>
            </w:r>
          </w:p>
        </w:tc>
        <w:tc>
          <w:tcPr>
            <w:tcW w:type="dxa" w:w="11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ANVISA</w:t>
            </w:r>
          </w:p>
        </w:tc>
        <w:tc>
          <w:tcPr>
            <w:tcW w:type="dxa" w:w="15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CONEP/ANVISA</w:t>
            </w:r>
          </w:p>
        </w:tc>
        <w:tc>
          <w:tcPr>
            <w:tcW w:type="dxa" w:w="18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Res. RDC 204/2017</w:t>
            </w:r>
          </w:p>
        </w:tc>
        <w:tc>
          <w:tcPr>
            <w:tcW w:type="dxa" w:w="13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~90–180 days</w:t>
            </w:r>
          </w:p>
        </w:tc>
        <w:tc>
          <w:tcPr>
            <w:tcW w:type="dxa" w:w="13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~12 months</w:t>
            </w:r>
          </w:p>
        </w:tc>
        <w:tc>
          <w:tcPr>
            <w:tcW w:type="dxa" w:w="11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CONEP + local</w:t>
            </w:r>
          </w:p>
        </w:tc>
        <w:tc>
          <w:tcPr>
            <w:tcW w:type="dxa" w:w="9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Early submission critical</w:t>
            </w:r>
          </w:p>
        </w:tc>
      </w:tr>
      <w:tr>
        <w:tc>
          <w:tcPr>
            <w:tcW w:type="dxa" w:w="1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Australia</w:t>
            </w:r>
          </w:p>
        </w:tc>
        <w:tc>
          <w:tcPr>
            <w:tcW w:type="dxa" w:w="11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TGA</w:t>
            </w:r>
          </w:p>
        </w:tc>
        <w:tc>
          <w:tcPr>
            <w:tcW w:type="dxa" w:w="15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CTN Scheme</w:t>
            </w:r>
          </w:p>
        </w:tc>
        <w:tc>
          <w:tcPr>
            <w:tcW w:type="dxa" w:w="18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TG Act 1989</w:t>
            </w:r>
          </w:p>
        </w:tc>
        <w:tc>
          <w:tcPr>
            <w:tcW w:type="dxa" w:w="13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~4 weeks</w:t>
            </w:r>
          </w:p>
        </w:tc>
        <w:tc>
          <w:tcPr>
            <w:tcW w:type="dxa" w:w="13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~4 months</w:t>
            </w:r>
          </w:p>
        </w:tc>
        <w:tc>
          <w:tcPr>
            <w:tcW w:type="dxa" w:w="11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HREC per site</w:t>
            </w:r>
          </w:p>
        </w:tc>
        <w:tc>
          <w:tcPr>
            <w:tcW w:type="dxa" w:w="9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Fastest APAC</w:t>
            </w:r>
          </w:p>
        </w:tc>
      </w:tr>
      <w:tr>
        <w:tc>
          <w:tcPr>
            <w:tcW w:type="dxa" w:w="12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Israel</w:t>
            </w:r>
          </w:p>
        </w:tc>
        <w:tc>
          <w:tcPr>
            <w:tcW w:type="dxa" w:w="11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MOH</w:t>
            </w:r>
          </w:p>
        </w:tc>
        <w:tc>
          <w:tcPr>
            <w:tcW w:type="dxa" w:w="15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CTA</w:t>
            </w:r>
          </w:p>
        </w:tc>
        <w:tc>
          <w:tcPr>
            <w:tcW w:type="dxa" w:w="18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MOH Order 2017</w:t>
            </w:r>
          </w:p>
        </w:tc>
        <w:tc>
          <w:tcPr>
            <w:tcW w:type="dxa" w:w="13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~30–45 days</w:t>
            </w:r>
          </w:p>
        </w:tc>
        <w:tc>
          <w:tcPr>
            <w:tcW w:type="dxa" w:w="13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~4 months</w:t>
            </w:r>
          </w:p>
        </w:tc>
        <w:tc>
          <w:tcPr>
            <w:tcW w:type="dxa" w:w="11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Helsinki comm.</w:t>
            </w:r>
          </w:p>
        </w:tc>
        <w:tc>
          <w:tcPr>
            <w:tcW w:type="dxa" w:w="9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Excellent sites</w:t>
            </w:r>
          </w:p>
        </w:tc>
      </w:tr>
    </w:tbl>
    <w:p>
      <w:pPr>
        <w:spacing w:before="0" w:after="0"/>
      </w:pPr>
      <w:r>
        <w:rPr>
          <w:rFonts w:ascii="Arial" w:cs="Arial" w:eastAsia="Arial" w:hAnsi="Arial"/>
          <w:sz w:val="20"/>
          <w:szCs w:val="20"/>
        </w:rPr>
        <w:t xml:space="preserve"/>
      </w:r>
    </w:p>
    <w:p>
      <w:pPr>
        <w:pStyle w:val="Heading2"/>
        <w:spacing w:before="280" w:after="140"/>
      </w:pPr>
      <w:r>
        <w:rPr>
          <w:rFonts w:ascii="Arial" w:cs="Arial" w:eastAsia="Arial" w:hAnsi="Arial"/>
          <w:b/>
          <w:bCs/>
          <w:color w:val="2E5BA8"/>
          <w:sz w:val="24"/>
          <w:szCs w:val="24"/>
        </w:rPr>
        <w:t xml:space="preserve">Appendix C: Screen Failure Tracking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18"/>
                <w:szCs w:val="18"/>
              </w:rPr>
              <w:t xml:space="preserve">Screen Failure Reason</w:t>
            </w:r>
          </w:p>
        </w:tc>
        <w:tc>
          <w:tcPr>
            <w:tcW w:type="dxa" w:w="556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18"/>
                <w:szCs w:val="18"/>
              </w:rPr>
              <w:t xml:space="preserve">Estimated Frequency</w:t>
            </w:r>
          </w:p>
        </w:tc>
      </w:tr>
      <w:tr>
        <w:tc>
          <w:tcPr>
            <w:tcW w:type="dxa" w:w="38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MSS/pMMR tumor status (local or central)</w:t>
            </w:r>
          </w:p>
        </w:tc>
        <w:tc>
          <w:tcPr>
            <w:tcW w:type="dxa" w:w="55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Anticipated ~30% of screen failures</w:t>
            </w:r>
          </w:p>
        </w:tc>
      </w:tr>
      <w:tr>
        <w:tc>
          <w:tcPr>
            <w:tcW w:type="dxa" w:w="38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Prior systemic therapy for metastatic CRC</w:t>
            </w:r>
          </w:p>
        </w:tc>
        <w:tc>
          <w:tcPr>
            <w:tcW w:type="dxa" w:w="55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Anticipated ~20% of screen failures</w:t>
            </w:r>
          </w:p>
        </w:tc>
      </w:tr>
      <w:tr>
        <w:tc>
          <w:tcPr>
            <w:tcW w:type="dxa" w:w="38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ECOG PS ≥2</w:t>
            </w:r>
          </w:p>
        </w:tc>
        <w:tc>
          <w:tcPr>
            <w:tcW w:type="dxa" w:w="55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Anticipated ~10% of screen failures</w:t>
            </w:r>
          </w:p>
        </w:tc>
      </w:tr>
      <w:tr>
        <w:tc>
          <w:tcPr>
            <w:tcW w:type="dxa" w:w="38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Inadequate organ function</w:t>
            </w:r>
          </w:p>
        </w:tc>
        <w:tc>
          <w:tcPr>
            <w:tcW w:type="dxa" w:w="55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Anticipated ~10% of screen failures</w:t>
            </w:r>
          </w:p>
        </w:tc>
      </w:tr>
      <w:tr>
        <w:tc>
          <w:tcPr>
            <w:tcW w:type="dxa" w:w="38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Active autoimmune disease / prohibited medications</w:t>
            </w:r>
          </w:p>
        </w:tc>
        <w:tc>
          <w:tcPr>
            <w:tcW w:type="dxa" w:w="55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Anticipated ~8% of screen failures</w:t>
            </w:r>
          </w:p>
        </w:tc>
      </w:tr>
      <w:tr>
        <w:tc>
          <w:tcPr>
            <w:tcW w:type="dxa" w:w="38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Patient withdrawal of consent</w:t>
            </w:r>
          </w:p>
        </w:tc>
        <w:tc>
          <w:tcPr>
            <w:tcW w:type="dxa" w:w="55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Anticipated ~5% of screen failures</w:t>
            </w:r>
          </w:p>
        </w:tc>
      </w:tr>
      <w:tr>
        <w:tc>
          <w:tcPr>
            <w:tcW w:type="dxa" w:w="38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No measurable lesion per RECIST v1.1</w:t>
            </w:r>
          </w:p>
        </w:tc>
        <w:tc>
          <w:tcPr>
            <w:tcW w:type="dxa" w:w="55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Anticipated ~5% of screen failures</w:t>
            </w:r>
          </w:p>
        </w:tc>
      </w:tr>
      <w:tr>
        <w:tc>
          <w:tcPr>
            <w:tcW w:type="dxa" w:w="38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Other / multiple reasons</w:t>
            </w:r>
          </w:p>
        </w:tc>
        <w:tc>
          <w:tcPr>
            <w:tcW w:type="dxa" w:w="55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Anticipated ~12% of screen failures</w:t>
            </w:r>
          </w:p>
        </w:tc>
      </w:tr>
    </w:tbl>
    <w:p>
      <w:pPr>
        <w:spacing w:before="0" w:after="0"/>
      </w:pPr>
      <w:r>
        <w:rPr>
          <w:rFonts w:ascii="Arial" w:cs="Arial" w:eastAsia="Arial" w:hAnsi="Arial"/>
          <w:sz w:val="20"/>
          <w:szCs w:val="20"/>
        </w:rPr>
        <w:t xml:space="preserve"/>
      </w:r>
    </w:p>
    <w:p>
      <w:pPr>
        <w:pStyle w:val="Heading2"/>
        <w:spacing w:before="280" w:after="140"/>
      </w:pPr>
      <w:r>
        <w:rPr>
          <w:rFonts w:ascii="Arial" w:cs="Arial" w:eastAsia="Arial" w:hAnsi="Arial"/>
          <w:b/>
          <w:bCs/>
          <w:color w:val="2E5BA8"/>
          <w:sz w:val="24"/>
          <w:szCs w:val="24"/>
        </w:rPr>
        <w:t xml:space="preserve">Appendix D: Enrollment Model Summary — Base Case Monthly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000"/>
        <w:gridCol w:w="1100"/>
        <w:gridCol w:w="1000"/>
        <w:gridCol w:w="1600"/>
        <w:gridCol w:w="1260"/>
      </w:tblGrid>
      <w:tr>
        <w:tc>
          <w:tcPr>
            <w:tcW w:type="dxa" w:w="120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18"/>
                <w:szCs w:val="18"/>
              </w:rPr>
              <w:t xml:space="preserve">Month</w:t>
            </w:r>
          </w:p>
        </w:tc>
        <w:tc>
          <w:tcPr>
            <w:tcW w:type="dxa" w:w="220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18"/>
                <w:szCs w:val="18"/>
              </w:rPr>
              <w:t xml:space="preserve">Status</w:t>
            </w:r>
          </w:p>
        </w:tc>
        <w:tc>
          <w:tcPr>
            <w:tcW w:type="dxa" w:w="100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18"/>
                <w:szCs w:val="18"/>
              </w:rPr>
              <w:t xml:space="preserve">Open Sites</w:t>
            </w:r>
          </w:p>
        </w:tc>
        <w:tc>
          <w:tcPr>
            <w:tcW w:type="dxa" w:w="110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18"/>
                <w:szCs w:val="18"/>
              </w:rPr>
              <w:t xml:space="preserve">New Screen</w:t>
            </w:r>
          </w:p>
        </w:tc>
        <w:tc>
          <w:tcPr>
            <w:tcW w:type="dxa" w:w="100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18"/>
                <w:szCs w:val="18"/>
              </w:rPr>
              <w:t xml:space="preserve">Randomized (Month)</w:t>
            </w:r>
          </w:p>
        </w:tc>
        <w:tc>
          <w:tcPr>
            <w:tcW w:type="dxa" w:w="160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18"/>
                <w:szCs w:val="18"/>
              </w:rPr>
              <w:t xml:space="preserve">Cumulative Enrolled</w:t>
            </w:r>
          </w:p>
        </w:tc>
        <w:tc>
          <w:tcPr>
            <w:tcW w:type="dxa" w:w="126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18"/>
                <w:szCs w:val="18"/>
              </w:rPr>
              <w:t xml:space="preserve">Remaining</w:t>
            </w:r>
          </w:p>
        </w:tc>
      </w:tr>
      <w:tr>
        <w:tc>
          <w:tcPr>
            <w:tcW w:type="dxa" w:w="1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Month 1</w:t>
            </w:r>
          </w:p>
        </w:tc>
        <w:tc>
          <w:tcPr>
            <w:tcW w:type="dxa" w:w="2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Tier 1 activating</w:t>
            </w:r>
          </w:p>
        </w:tc>
        <w:tc>
          <w:tcPr>
            <w:tcW w:type="dxa" w:w="10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5</w:t>
            </w:r>
          </w:p>
        </w:tc>
        <w:tc>
          <w:tcPr>
            <w:tcW w:type="dxa" w:w="11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2</w:t>
            </w:r>
          </w:p>
        </w:tc>
        <w:tc>
          <w:tcPr>
            <w:tcW w:type="dxa" w:w="10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0</w:t>
            </w:r>
          </w:p>
        </w:tc>
        <w:tc>
          <w:tcPr>
            <w:tcW w:type="dxa" w:w="16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2</w:t>
            </w:r>
          </w:p>
        </w:tc>
        <w:tc>
          <w:tcPr>
            <w:tcW w:type="dxa" w:w="12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498</w:t>
            </w:r>
          </w:p>
        </w:tc>
      </w:tr>
      <w:tr>
        <w:tc>
          <w:tcPr>
            <w:tcW w:type="dxa" w:w="12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Month 2</w:t>
            </w:r>
          </w:p>
        </w:tc>
        <w:tc>
          <w:tcPr>
            <w:tcW w:type="dxa" w:w="22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Tier 1 sites open</w:t>
            </w:r>
          </w:p>
        </w:tc>
        <w:tc>
          <w:tcPr>
            <w:tcW w:type="dxa" w:w="10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10</w:t>
            </w:r>
          </w:p>
        </w:tc>
        <w:tc>
          <w:tcPr>
            <w:tcW w:type="dxa" w:w="11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5</w:t>
            </w:r>
          </w:p>
        </w:tc>
        <w:tc>
          <w:tcPr>
            <w:tcW w:type="dxa" w:w="10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2</w:t>
            </w:r>
          </w:p>
        </w:tc>
        <w:tc>
          <w:tcPr>
            <w:tcW w:type="dxa" w:w="16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7</w:t>
            </w:r>
          </w:p>
        </w:tc>
        <w:tc>
          <w:tcPr>
            <w:tcW w:type="dxa" w:w="12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493</w:t>
            </w:r>
          </w:p>
        </w:tc>
      </w:tr>
      <w:tr>
        <w:tc>
          <w:tcPr>
            <w:tcW w:type="dxa" w:w="1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Month 3</w:t>
            </w:r>
          </w:p>
        </w:tc>
        <w:tc>
          <w:tcPr>
            <w:tcW w:type="dxa" w:w="2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Tier 1 fully active</w:t>
            </w:r>
          </w:p>
        </w:tc>
        <w:tc>
          <w:tcPr>
            <w:tcW w:type="dxa" w:w="10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20</w:t>
            </w:r>
          </w:p>
        </w:tc>
        <w:tc>
          <w:tcPr>
            <w:tcW w:type="dxa" w:w="11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8</w:t>
            </w:r>
          </w:p>
        </w:tc>
        <w:tc>
          <w:tcPr>
            <w:tcW w:type="dxa" w:w="10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5</w:t>
            </w:r>
          </w:p>
        </w:tc>
        <w:tc>
          <w:tcPr>
            <w:tcW w:type="dxa" w:w="16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12</w:t>
            </w:r>
          </w:p>
        </w:tc>
        <w:tc>
          <w:tcPr>
            <w:tcW w:type="dxa" w:w="12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488</w:t>
            </w:r>
          </w:p>
        </w:tc>
      </w:tr>
      <w:tr>
        <w:tc>
          <w:tcPr>
            <w:tcW w:type="dxa" w:w="12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Month 4</w:t>
            </w:r>
          </w:p>
        </w:tc>
        <w:tc>
          <w:tcPr>
            <w:tcW w:type="dxa" w:w="22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Tier 2 US/EU activating</w:t>
            </w:r>
          </w:p>
        </w:tc>
        <w:tc>
          <w:tcPr>
            <w:tcW w:type="dxa" w:w="10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35</w:t>
            </w:r>
          </w:p>
        </w:tc>
        <w:tc>
          <w:tcPr>
            <w:tcW w:type="dxa" w:w="11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12</w:t>
            </w:r>
          </w:p>
        </w:tc>
        <w:tc>
          <w:tcPr>
            <w:tcW w:type="dxa" w:w="10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7</w:t>
            </w:r>
          </w:p>
        </w:tc>
        <w:tc>
          <w:tcPr>
            <w:tcW w:type="dxa" w:w="16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19</w:t>
            </w:r>
          </w:p>
        </w:tc>
        <w:tc>
          <w:tcPr>
            <w:tcW w:type="dxa" w:w="12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481</w:t>
            </w:r>
          </w:p>
        </w:tc>
      </w:tr>
      <w:tr>
        <w:tc>
          <w:tcPr>
            <w:tcW w:type="dxa" w:w="1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Month 5</w:t>
            </w:r>
          </w:p>
        </w:tc>
        <w:tc>
          <w:tcPr>
            <w:tcW w:type="dxa" w:w="2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Tier 2 expanding; FPI Month 5</w:t>
            </w:r>
          </w:p>
        </w:tc>
        <w:tc>
          <w:tcPr>
            <w:tcW w:type="dxa" w:w="10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55</w:t>
            </w:r>
          </w:p>
        </w:tc>
        <w:tc>
          <w:tcPr>
            <w:tcW w:type="dxa" w:w="11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14</w:t>
            </w:r>
          </w:p>
        </w:tc>
        <w:tc>
          <w:tcPr>
            <w:tcW w:type="dxa" w:w="10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9</w:t>
            </w:r>
          </w:p>
        </w:tc>
        <w:tc>
          <w:tcPr>
            <w:tcW w:type="dxa" w:w="16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28</w:t>
            </w:r>
          </w:p>
        </w:tc>
        <w:tc>
          <w:tcPr>
            <w:tcW w:type="dxa" w:w="12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472</w:t>
            </w:r>
          </w:p>
        </w:tc>
      </w:tr>
      <w:tr>
        <w:tc>
          <w:tcPr>
            <w:tcW w:type="dxa" w:w="12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Month 6</w:t>
            </w:r>
          </w:p>
        </w:tc>
        <w:tc>
          <w:tcPr>
            <w:tcW w:type="dxa" w:w="22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~80 sites active</w:t>
            </w:r>
          </w:p>
        </w:tc>
        <w:tc>
          <w:tcPr>
            <w:tcW w:type="dxa" w:w="10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80</w:t>
            </w:r>
          </w:p>
        </w:tc>
        <w:tc>
          <w:tcPr>
            <w:tcW w:type="dxa" w:w="11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16</w:t>
            </w:r>
          </w:p>
        </w:tc>
        <w:tc>
          <w:tcPr>
            <w:tcW w:type="dxa" w:w="10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11</w:t>
            </w:r>
          </w:p>
        </w:tc>
        <w:tc>
          <w:tcPr>
            <w:tcW w:type="dxa" w:w="16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39</w:t>
            </w:r>
          </w:p>
        </w:tc>
        <w:tc>
          <w:tcPr>
            <w:tcW w:type="dxa" w:w="12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461</w:t>
            </w:r>
          </w:p>
        </w:tc>
      </w:tr>
      <w:tr>
        <w:tc>
          <w:tcPr>
            <w:tcW w:type="dxa" w:w="1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Month 8</w:t>
            </w:r>
          </w:p>
        </w:tc>
        <w:tc>
          <w:tcPr>
            <w:tcW w:type="dxa" w:w="2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~120 sites active</w:t>
            </w:r>
          </w:p>
        </w:tc>
        <w:tc>
          <w:tcPr>
            <w:tcW w:type="dxa" w:w="10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120</w:t>
            </w:r>
          </w:p>
        </w:tc>
        <w:tc>
          <w:tcPr>
            <w:tcW w:type="dxa" w:w="11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19</w:t>
            </w:r>
          </w:p>
        </w:tc>
        <w:tc>
          <w:tcPr>
            <w:tcW w:type="dxa" w:w="10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14</w:t>
            </w:r>
          </w:p>
        </w:tc>
        <w:tc>
          <w:tcPr>
            <w:tcW w:type="dxa" w:w="16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53</w:t>
            </w:r>
          </w:p>
        </w:tc>
        <w:tc>
          <w:tcPr>
            <w:tcW w:type="dxa" w:w="12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447</w:t>
            </w:r>
          </w:p>
        </w:tc>
      </w:tr>
      <w:tr>
        <w:tc>
          <w:tcPr>
            <w:tcW w:type="dxa" w:w="12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Month 10</w:t>
            </w:r>
          </w:p>
        </w:tc>
        <w:tc>
          <w:tcPr>
            <w:tcW w:type="dxa" w:w="22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~160 sites active</w:t>
            </w:r>
          </w:p>
        </w:tc>
        <w:tc>
          <w:tcPr>
            <w:tcW w:type="dxa" w:w="10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160</w:t>
            </w:r>
          </w:p>
        </w:tc>
        <w:tc>
          <w:tcPr>
            <w:tcW w:type="dxa" w:w="11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21</w:t>
            </w:r>
          </w:p>
        </w:tc>
        <w:tc>
          <w:tcPr>
            <w:tcW w:type="dxa" w:w="10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16</w:t>
            </w:r>
          </w:p>
        </w:tc>
        <w:tc>
          <w:tcPr>
            <w:tcW w:type="dxa" w:w="16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69</w:t>
            </w:r>
          </w:p>
        </w:tc>
        <w:tc>
          <w:tcPr>
            <w:tcW w:type="dxa" w:w="12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431</w:t>
            </w:r>
          </w:p>
        </w:tc>
      </w:tr>
      <w:tr>
        <w:tc>
          <w:tcPr>
            <w:tcW w:type="dxa" w:w="1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Month 12</w:t>
            </w:r>
          </w:p>
        </w:tc>
        <w:tc>
          <w:tcPr>
            <w:tcW w:type="dxa" w:w="2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200 sites active</w:t>
            </w:r>
          </w:p>
        </w:tc>
        <w:tc>
          <w:tcPr>
            <w:tcW w:type="dxa" w:w="10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200</w:t>
            </w:r>
          </w:p>
        </w:tc>
        <w:tc>
          <w:tcPr>
            <w:tcW w:type="dxa" w:w="11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22</w:t>
            </w:r>
          </w:p>
        </w:tc>
        <w:tc>
          <w:tcPr>
            <w:tcW w:type="dxa" w:w="10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18</w:t>
            </w:r>
          </w:p>
        </w:tc>
        <w:tc>
          <w:tcPr>
            <w:tcW w:type="dxa" w:w="16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87</w:t>
            </w:r>
          </w:p>
        </w:tc>
        <w:tc>
          <w:tcPr>
            <w:tcW w:type="dxa" w:w="12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413</w:t>
            </w:r>
          </w:p>
        </w:tc>
      </w:tr>
      <w:tr>
        <w:tc>
          <w:tcPr>
            <w:tcW w:type="dxa" w:w="12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Month 15</w:t>
            </w:r>
          </w:p>
        </w:tc>
        <w:tc>
          <w:tcPr>
            <w:tcW w:type="dxa" w:w="22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Peak enrollment</w:t>
            </w:r>
          </w:p>
        </w:tc>
        <w:tc>
          <w:tcPr>
            <w:tcW w:type="dxa" w:w="10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200</w:t>
            </w:r>
          </w:p>
        </w:tc>
        <w:tc>
          <w:tcPr>
            <w:tcW w:type="dxa" w:w="11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22</w:t>
            </w:r>
          </w:p>
        </w:tc>
        <w:tc>
          <w:tcPr>
            <w:tcW w:type="dxa" w:w="10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20</w:t>
            </w:r>
          </w:p>
        </w:tc>
        <w:tc>
          <w:tcPr>
            <w:tcW w:type="dxa" w:w="16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127</w:t>
            </w:r>
          </w:p>
        </w:tc>
        <w:tc>
          <w:tcPr>
            <w:tcW w:type="dxa" w:w="12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373</w:t>
            </w:r>
          </w:p>
        </w:tc>
      </w:tr>
      <w:tr>
        <w:tc>
          <w:tcPr>
            <w:tcW w:type="dxa" w:w="1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Month 18</w:t>
            </w:r>
          </w:p>
        </w:tc>
        <w:tc>
          <w:tcPr>
            <w:tcW w:type="dxa" w:w="2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Continued peak</w:t>
            </w:r>
          </w:p>
        </w:tc>
        <w:tc>
          <w:tcPr>
            <w:tcW w:type="dxa" w:w="10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200</w:t>
            </w:r>
          </w:p>
        </w:tc>
        <w:tc>
          <w:tcPr>
            <w:tcW w:type="dxa" w:w="11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21</w:t>
            </w:r>
          </w:p>
        </w:tc>
        <w:tc>
          <w:tcPr>
            <w:tcW w:type="dxa" w:w="10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20</w:t>
            </w:r>
          </w:p>
        </w:tc>
        <w:tc>
          <w:tcPr>
            <w:tcW w:type="dxa" w:w="16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187</w:t>
            </w:r>
          </w:p>
        </w:tc>
        <w:tc>
          <w:tcPr>
            <w:tcW w:type="dxa" w:w="12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313</w:t>
            </w:r>
          </w:p>
        </w:tc>
      </w:tr>
      <w:tr>
        <w:tc>
          <w:tcPr>
            <w:tcW w:type="dxa" w:w="12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Month 21</w:t>
            </w:r>
          </w:p>
        </w:tc>
        <w:tc>
          <w:tcPr>
            <w:tcW w:type="dxa" w:w="22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Approaching target</w:t>
            </w:r>
          </w:p>
        </w:tc>
        <w:tc>
          <w:tcPr>
            <w:tcW w:type="dxa" w:w="10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200</w:t>
            </w:r>
          </w:p>
        </w:tc>
        <w:tc>
          <w:tcPr>
            <w:tcW w:type="dxa" w:w="11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18</w:t>
            </w:r>
          </w:p>
        </w:tc>
        <w:tc>
          <w:tcPr>
            <w:tcW w:type="dxa" w:w="10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18</w:t>
            </w:r>
          </w:p>
        </w:tc>
        <w:tc>
          <w:tcPr>
            <w:tcW w:type="dxa" w:w="16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241</w:t>
            </w:r>
          </w:p>
        </w:tc>
        <w:tc>
          <w:tcPr>
            <w:tcW w:type="dxa" w:w="12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259</w:t>
            </w:r>
          </w:p>
        </w:tc>
      </w:tr>
      <w:tr>
        <w:tc>
          <w:tcPr>
            <w:tcW w:type="dxa" w:w="1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Month 24</w:t>
            </w:r>
          </w:p>
        </w:tc>
        <w:tc>
          <w:tcPr>
            <w:tcW w:type="dxa" w:w="2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End of primary enrollment window</w:t>
            </w:r>
          </w:p>
        </w:tc>
        <w:tc>
          <w:tcPr>
            <w:tcW w:type="dxa" w:w="10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200</w:t>
            </w:r>
          </w:p>
        </w:tc>
        <w:tc>
          <w:tcPr>
            <w:tcW w:type="dxa" w:w="11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15</w:t>
            </w:r>
          </w:p>
        </w:tc>
        <w:tc>
          <w:tcPr>
            <w:tcW w:type="dxa" w:w="10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15</w:t>
            </w:r>
          </w:p>
        </w:tc>
        <w:tc>
          <w:tcPr>
            <w:tcW w:type="dxa" w:w="16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286</w:t>
            </w:r>
          </w:p>
        </w:tc>
        <w:tc>
          <w:tcPr>
            <w:tcW w:type="dxa" w:w="12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214</w:t>
            </w:r>
          </w:p>
        </w:tc>
      </w:tr>
      <w:tr>
        <w:tc>
          <w:tcPr>
            <w:tcW w:type="dxa" w:w="12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Month 27</w:t>
            </w:r>
          </w:p>
        </w:tc>
        <w:tc>
          <w:tcPr>
            <w:tcW w:type="dxa" w:w="22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Buffer enrollment</w:t>
            </w:r>
          </w:p>
        </w:tc>
        <w:tc>
          <w:tcPr>
            <w:tcW w:type="dxa" w:w="10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200</w:t>
            </w:r>
          </w:p>
        </w:tc>
        <w:tc>
          <w:tcPr>
            <w:tcW w:type="dxa" w:w="11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10</w:t>
            </w:r>
          </w:p>
        </w:tc>
        <w:tc>
          <w:tcPr>
            <w:tcW w:type="dxa" w:w="10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12</w:t>
            </w:r>
          </w:p>
        </w:tc>
        <w:tc>
          <w:tcPr>
            <w:tcW w:type="dxa" w:w="160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322</w:t>
            </w:r>
          </w:p>
        </w:tc>
        <w:tc>
          <w:tcPr>
            <w:tcW w:type="dxa" w:w="1260"/>
            <w:tcBorders>
              <w:top w:val="single" w:color="CCCCCC" w:sz="4"/>
              <w:left w:val="single" w:color="CCCCCC" w:sz="4"/>
              <w:bottom w:val="single" w:color="CCCCCC" w:sz="4"/>
              <w:right w:val="single" w:color="CCCCCC" w:sz="4"/>
            </w:tcBorders>
            <w:shd w:fill="F4F4F4" w:val="clear"/>
            <w:tcMar>
              <w:top w:type="dxa" w:w="60"/>
              <w:left w:type="dxa" w:w="100"/>
              <w:bottom w:type="dxa" w:w="60"/>
              <w:right w:type="dxa" w:w="100"/>
            </w:tcMar>
          </w:tcPr>
          <w:p>
            <w:pPr>
              <w:spacing w:before="60" w:after="60"/>
            </w:pPr>
            <w:r>
              <w:rPr>
                <w:rFonts w:ascii="Arial" w:cs="Arial" w:eastAsia="Arial" w:hAnsi="Arial"/>
                <w:sz w:val="20"/>
                <w:szCs w:val="20"/>
              </w:rPr>
              <w:t xml:space="preserve">178</w:t>
            </w:r>
          </w:p>
        </w:tc>
      </w:tr>
      <w:tr>
        <w:tc>
          <w:tcPr>
            <w:tcW w:type="dxa" w:w="1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Month 29</w:t>
            </w:r>
          </w:p>
        </w:tc>
        <w:tc>
          <w:tcPr>
            <w:tcW w:type="dxa" w:w="22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LPI target — 500 enrolled</w:t>
            </w:r>
          </w:p>
        </w:tc>
        <w:tc>
          <w:tcPr>
            <w:tcW w:type="dxa" w:w="10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200</w:t>
            </w:r>
          </w:p>
        </w:tc>
        <w:tc>
          <w:tcPr>
            <w:tcW w:type="dxa" w:w="11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5</w:t>
            </w:r>
          </w:p>
        </w:tc>
        <w:tc>
          <w:tcPr>
            <w:tcW w:type="dxa" w:w="10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8</w:t>
            </w:r>
          </w:p>
        </w:tc>
        <w:tc>
          <w:tcPr>
            <w:tcW w:type="dxa" w:w="160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500</w:t>
            </w:r>
          </w:p>
        </w:tc>
        <w:tc>
          <w:tcPr>
            <w:tcW w:type="dxa" w:w="1260"/>
            <w:tcBorders>
              <w:top w:val="single" w:color="CCCCCC" w:sz="4"/>
              <w:left w:val="single" w:color="CCCCCC" w:sz="4"/>
              <w:bottom w:val="single" w:color="CCCCCC" w:sz="4"/>
              <w:right w:val="single" w:color="CCCCCC" w:sz="4"/>
            </w:tcBorders>
            <w:shd w:val="clear" w:color="auto" w:fill="auto"/>
            <w:tcMar>
              <w:top w:type="dxa" w:w="60"/>
              <w:left w:type="dxa" w:w="100"/>
              <w:bottom w:type="dxa" w:w="60"/>
              <w:right w:type="dxa" w:w="100"/>
            </w:tcMar>
          </w:tcPr>
          <w:p>
            <w:pPr>
              <w:spacing w:before="60" w:after="60"/>
            </w:pPr>
            <w:r>
              <w:rPr>
                <w:rFonts w:ascii="Arial" w:cs="Arial" w:eastAsia="Arial" w:hAnsi="Arial"/>
                <w:sz w:val="20"/>
                <w:szCs w:val="20"/>
              </w:rPr>
              <w:t xml:space="preserve">0</w:t>
            </w:r>
          </w:p>
        </w:tc>
      </w:tr>
    </w:tbl>
    <w:p>
      <w:pPr>
        <w:spacing w:before="0" w:after="0"/>
      </w:pPr>
      <w:r>
        <w:rPr>
          <w:rFonts w:ascii="Arial" w:cs="Arial" w:eastAsia="Arial" w:hAnsi="Arial"/>
          <w:sz w:val="20"/>
          <w:szCs w:val="20"/>
        </w:rPr>
        <w:t xml:space="preserve"/>
      </w:r>
    </w:p>
    <w:p>
      <w:pPr>
        <w:pBdr>
          <w:top w:val="single" w:color="1B3A6B" w:sz="8"/>
          <w:bottom w:val="single" w:color="1B3A6B" w:sz="8"/>
        </w:pBdr>
        <w:spacing w:before="360" w:after="360"/>
        <w:jc w:val="center"/>
      </w:pPr>
      <w:r>
        <w:rPr>
          <w:rFonts w:ascii="Arial" w:cs="Arial" w:eastAsia="Arial" w:hAnsi="Arial"/>
          <w:b/>
          <w:bCs/>
          <w:color w:val="1B3A6B"/>
          <w:sz w:val="22"/>
          <w:szCs w:val="22"/>
        </w:rPr>
        <w:t xml:space="preserve">END OF CLINICAL OPERATIONS PLAN — CERVIMAB-301 v1.0</w:t>
      </w:r>
    </w:p>
    <w:p>
      <w:pPr>
        <w:spacing w:before="60" w:after="60"/>
        <w:jc w:val="center"/>
      </w:pPr>
      <w:r>
        <w:rPr>
          <w:rFonts w:ascii="Arial" w:cs="Arial" w:eastAsia="Arial" w:hAnsi="Arial"/>
          <w:i/>
          <w:iCs/>
          <w:color w:val="4A4A4A"/>
          <w:sz w:val="16"/>
          <w:szCs w:val="16"/>
        </w:rPr>
        <w:t xml:space="preserve">This document is the property of Oncobiologics, Inc. and is intended solely for authorized recipients. Unauthorized distribution is prohibited. © 2026 Oncobiologics, Inc.</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tabs>
        <w:tab w:val="right" w:pos="9026"/>
      </w:tabs>
      <w:spacing w:before="80" w:after="0"/>
    </w:pPr>
    <w:r>
      <w:rPr>
        <w:rFonts w:ascii="Arial" w:cs="Arial" w:eastAsia="Arial" w:hAnsi="Arial"/>
        <w:color w:val="4A4A4A"/>
        <w:sz w:val="16"/>
        <w:szCs w:val="16"/>
      </w:rPr>
      <w:t xml:space="preserve">Oncobiologics, Inc. — Confidential</w:t>
    </w:r>
    <w:r>
      <w:rPr>
        <w:rFonts w:ascii="Arial" w:cs="Arial" w:eastAsia="Arial" w:hAnsi="Arial"/>
        <w:color w:val="4A4A4A"/>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6"/>
      </w:pBdr>
      <w:spacing w:before="0" w:after="80"/>
    </w:pPr>
    <w:r>
      <w:rPr>
        <w:rFonts w:ascii="Arial" w:cs="Arial" w:eastAsia="Arial" w:hAnsi="Arial"/>
        <w:b/>
        <w:bCs/>
        <w:color w:val="1B3A6B"/>
        <w:sz w:val="16"/>
        <w:szCs w:val="16"/>
      </w:rPr>
      <w:t xml:space="preserve">CERVIMAB-301 CLINICAL OPERATIONS PLAN</w:t>
    </w:r>
    <w:r>
      <w:rPr>
        <w:rFonts w:ascii="Arial" w:cs="Arial" w:eastAsia="Arial" w:hAnsi="Arial"/>
        <w:color w:val="4A4A4A"/>
        <w:sz w:val="16"/>
        <w:szCs w:val="16"/>
      </w:rPr>
      <w:t xml:space="preserve">   |   CONFIDENTIAL   |   Version 1.0   |   16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B3A6B"/>
      <w:sz w:val="28"/>
      <w:szCs w:val="28"/>
    </w:rPr>
  </w:style>
  <w:style w:type="paragraph" w:styleId="Heading2">
    <w:name w:val="Heading 2"/>
    <w:basedOn w:val="Normal"/>
    <w:next w:val="Normal"/>
    <w:qFormat/>
    <w:pPr>
      <w:spacing w:before="280" w:after="140"/>
      <w:outlineLvl w:val="1"/>
    </w:pPr>
    <w:rPr>
      <w:rFonts w:ascii="Arial" w:cs="Arial" w:eastAsia="Arial" w:hAnsi="Arial"/>
      <w:b/>
      <w:bCs/>
      <w:color w:val="2E5BA8"/>
      <w:sz w:val="24"/>
      <w:szCs w:val="24"/>
    </w:rPr>
  </w:style>
  <w:style w:type="paragraph" w:styleId="Heading3">
    <w:name w:val="Heading 3"/>
    <w:basedOn w:val="Normal"/>
    <w:next w:val="Normal"/>
    <w:qFormat/>
    <w:pPr>
      <w:spacing w:before="200" w:after="100"/>
      <w:outlineLvl w:val="2"/>
    </w:pPr>
    <w:rPr>
      <w:rFonts w:ascii="Arial" w:cs="Arial" w:eastAsia="Arial" w:hAnsi="Arial"/>
      <w:b/>
      <w:bCs/>
      <w:color w:val="1A7A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2026-03-16T18:32:46.261Z</dcterms:created>
  <dcterms:modified xsi:type="dcterms:W3CDTF">2026-03-16T18:32:46.263Z</dcterms:modified>
</cp:coreProperties>
</file>

<file path=docProps/custom.xml><?xml version="1.0" encoding="utf-8"?>
<Properties xmlns="http://schemas.openxmlformats.org/officeDocument/2006/custom-properties" xmlns:vt="http://schemas.openxmlformats.org/officeDocument/2006/docPropsVTypes"/>
</file>