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4"/>
          <w:szCs w:val="44"/>
        </w:rPr>
        <w:t xml:space="preserve">LONG-TERM PATIENT REGISTRY PROTOCOL</w:t>
      </w:r>
    </w:p>
    <w:p>
      <w:pPr>
        <w:spacing w:after="80"/>
        <w:jc w:val="center"/>
      </w:pPr>
      <w:r>
        <w:rPr>
          <w:rFonts w:ascii="Arial" w:cs="Arial" w:eastAsia="Arial" w:hAnsi="Arial"/>
          <w:b/>
          <w:bCs/>
          <w:color w:val="2E5FA3"/>
          <w:sz w:val="32"/>
          <w:szCs w:val="32"/>
        </w:rPr>
        <w:t xml:space="preserve">CERVIMAB (cerviximab-pgrc)</w:t>
      </w:r>
    </w:p>
    <w:p>
      <w:pPr>
        <w:spacing w:after="240"/>
        <w:jc w:val="center"/>
      </w:pPr>
      <w:r>
        <w:rPr>
          <w:rFonts w:ascii="Arial" w:cs="Arial" w:eastAsia="Arial" w:hAnsi="Arial"/>
          <w:i/>
          <w:iCs/>
          <w:sz w:val="22"/>
          <w:szCs w:val="22"/>
        </w:rPr>
        <w:t xml:space="preserve">CERV-REG: A Prospective, Multicenter, Long-Term Observational Registry of Patients Treated with Cervimab for dMMR/MSI-H Malignancies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Registry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CERV-REG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Registry 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Long-Term Prospective Observational Registry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BLA Reference: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BLA 761XXX</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Regulatory Basis: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 CFR 314.81 (Annual Reports); REMS Supporting Registry; ICH E2E Pharmacovigilance Planning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Sponsor: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NovImmune Therapeutics, Inc.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Registry Operator: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NovImmune / CRO Partnership (IQVIA Registry Solutions)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Target Enrollment: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5,000 patients over 5 years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Follow-Up Duration: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10 years from enrollment or death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Protocol Version: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Geographic Scope: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United States (primary); EU, Canada, Japan (expansion Phase 2)</w:t>
            </w:r>
          </w:p>
        </w:tc>
      </w:tr>
    </w:tbl>
    <w:p>
      <w:pPr>
        <w:spacing w:after="0"/>
      </w:pPr>
      <w:r>
        <w:br w:type="page"/>
      </w:r>
    </w:p>
    <w:p>
      <w:pPr>
        <w:pStyle w:val="Heading1"/>
        <w:pBdr>
          <w:bottom w:val="single" w:color="2E5FA3" w:sz="8" w:space="4"/>
        </w:pBdr>
        <w:spacing w:before="360" w:after="160"/>
      </w:pPr>
      <w:r>
        <w:rPr>
          <w:rFonts w:ascii="Arial" w:cs="Arial" w:eastAsia="Arial" w:hAnsi="Arial"/>
          <w:b/>
          <w:bCs/>
          <w:color w:val="1F3864"/>
          <w:sz w:val="28"/>
          <w:szCs w:val="28"/>
        </w:rPr>
        <w:t xml:space="preserve">1. INTRODUCTION AND RATIONALE</w:t>
      </w:r>
    </w:p>
    <w:p>
      <w:pPr>
        <w:pStyle w:val="Heading2"/>
        <w:spacing w:before="240" w:after="120"/>
      </w:pPr>
      <w:r>
        <w:rPr>
          <w:rFonts w:ascii="Arial" w:cs="Arial" w:eastAsia="Arial" w:hAnsi="Arial"/>
          <w:b/>
          <w:bCs/>
          <w:color w:val="2E5FA3"/>
          <w:sz w:val="24"/>
          <w:szCs w:val="24"/>
        </w:rPr>
        <w:t xml:space="preserve">1.1 Purpose of the Registry</w:t>
      </w:r>
    </w:p>
    <w:p>
      <w:pPr>
        <w:spacing w:after="120"/>
      </w:pPr>
      <w:r>
        <w:rPr>
          <w:rFonts w:ascii="Arial" w:cs="Arial" w:eastAsia="Arial" w:hAnsi="Arial"/>
          <w:sz w:val="20"/>
          <w:szCs w:val="20"/>
        </w:rPr>
        <w:t xml:space="preserve">CERV-REG is a long-term observational registry designed to systematically capture the real-world safety, effectiveness, and clinical outcomes of cervimab across the full spectrum of patients and clinical settings in which it is used post-approval. The registry serves multiple complementary objectives: pharmacovigilance, effectiveness monitoring, health outcomes research, and generation of evidence to support potential label expansions.</w:t>
      </w:r>
    </w:p>
    <w:p>
      <w:pPr>
        <w:pStyle w:val="Heading2"/>
        <w:spacing w:before="240" w:after="120"/>
      </w:pPr>
      <w:r>
        <w:rPr>
          <w:rFonts w:ascii="Arial" w:cs="Arial" w:eastAsia="Arial" w:hAnsi="Arial"/>
          <w:b/>
          <w:bCs/>
          <w:color w:val="2E5FA3"/>
          <w:sz w:val="24"/>
          <w:szCs w:val="24"/>
        </w:rPr>
        <w:t xml:space="preserve">1.2 Regulatory Context and Linkage</w:t>
      </w:r>
    </w:p>
    <w:p>
      <w:pPr>
        <w:spacing w:after="120"/>
      </w:pPr>
      <w:r>
        <w:rPr>
          <w:rFonts w:ascii="Arial" w:cs="Arial" w:eastAsia="Arial" w:hAnsi="Arial"/>
          <w:sz w:val="20"/>
          <w:szCs w:val="20"/>
        </w:rPr>
        <w:t xml:space="preserve">CERV-REG addresses FDA's expectation, outlined in the REMS program for cervimab and in the Risk Management Plan (RMP), for long-term post-marketing follow-up of immune-related adverse events, secondary malignancies, and late-onset toxicities. The registry data will inform annual Periodic Benefit-Risk Evaluation Reports (PBRERs/PSURs) and will provide observational data to supplement PMC/PMR interventional studies.</w:t>
      </w:r>
    </w:p>
    <w:p>
      <w:pPr>
        <w:pStyle w:val="Heading2"/>
        <w:spacing w:before="240" w:after="120"/>
      </w:pPr>
      <w:r>
        <w:rPr>
          <w:rFonts w:ascii="Arial" w:cs="Arial" w:eastAsia="Arial" w:hAnsi="Arial"/>
          <w:b/>
          <w:bCs/>
          <w:color w:val="2E5FA3"/>
          <w:sz w:val="24"/>
          <w:szCs w:val="24"/>
        </w:rPr>
        <w:t xml:space="preserve">1.3 Relationship to Other Post-Marketing Activities</w:t>
      </w:r>
    </w:p>
    <w:p>
      <w:pPr>
        <w:spacing w:after="120"/>
      </w:pPr>
      <w:r>
        <w:rPr>
          <w:rFonts w:ascii="Arial" w:cs="Arial" w:eastAsia="Arial" w:hAnsi="Arial"/>
          <w:sz w:val="20"/>
          <w:szCs w:val="20"/>
        </w:rPr>
        <w:t xml:space="preserve">CERV-REG is designed to be synergistic and non-duplicative with CERV-PMC-001 (PMC/PMR protocol). Patients enrolled in CERV-PMC-001 may separately consent to enrollment in CERV-REG for long-term follow-up beyond the PMC/PMR study window. The registry does not mandate any study-specific assessments beyond routine clinical care.</w:t>
      </w:r>
    </w:p>
    <w:p>
      <w:pPr>
        <w:spacing w:after="0"/>
      </w:pPr>
      <w:r>
        <w:br w:type="page"/>
      </w:r>
    </w:p>
    <w:p>
      <w:pPr>
        <w:pStyle w:val="Heading1"/>
        <w:pBdr>
          <w:bottom w:val="single" w:color="2E5FA3" w:sz="8" w:space="4"/>
        </w:pBdr>
        <w:spacing w:before="360" w:after="160"/>
      </w:pPr>
      <w:r>
        <w:rPr>
          <w:rFonts w:ascii="Arial" w:cs="Arial" w:eastAsia="Arial" w:hAnsi="Arial"/>
          <w:b/>
          <w:bCs/>
          <w:color w:val="1F3864"/>
          <w:sz w:val="28"/>
          <w:szCs w:val="28"/>
        </w:rPr>
        <w:t xml:space="preserve">2. REGISTRY OBJECTIVES</w:t>
      </w:r>
    </w:p>
    <w:p>
      <w:pPr>
        <w:pStyle w:val="Heading2"/>
        <w:spacing w:before="240" w:after="120"/>
      </w:pPr>
      <w:r>
        <w:rPr>
          <w:rFonts w:ascii="Arial" w:cs="Arial" w:eastAsia="Arial" w:hAnsi="Arial"/>
          <w:b/>
          <w:bCs/>
          <w:color w:val="2E5FA3"/>
          <w:sz w:val="24"/>
          <w:szCs w:val="24"/>
        </w:rPr>
        <w:t xml:space="preserve">2.1 Primary Registry Objectives</w:t>
      </w:r>
    </w:p>
    <w:p>
      <w:pPr>
        <w:pStyle w:val="ListParagraph"/>
        <w:numPr>
          <w:ilvl w:val="0"/>
          <w:numId w:val="2"/>
        </w:numPr>
        <w:spacing w:after="80"/>
      </w:pPr>
      <w:r>
        <w:rPr>
          <w:rFonts w:ascii="Arial" w:cs="Arial" w:eastAsia="Arial" w:hAnsi="Arial"/>
          <w:sz w:val="20"/>
          <w:szCs w:val="20"/>
        </w:rPr>
        <w:t xml:space="preserve">Characterize the long-term (5- and 10-year) safety profile of cervimab, with emphasis on: (a) late-onset irAEs occurring &gt;6 months after last dose; (b) secondary malignancies; (c) immune-mediated endocrinopathies requiring ongoing hormone replacement.</w:t>
      </w:r>
    </w:p>
    <w:p>
      <w:pPr>
        <w:pStyle w:val="ListParagraph"/>
        <w:numPr>
          <w:ilvl w:val="0"/>
          <w:numId w:val="2"/>
        </w:numPr>
        <w:spacing w:after="80"/>
      </w:pPr>
      <w:r>
        <w:rPr>
          <w:rFonts w:ascii="Arial" w:cs="Arial" w:eastAsia="Arial" w:hAnsi="Arial"/>
          <w:sz w:val="20"/>
          <w:szCs w:val="20"/>
        </w:rPr>
        <w:t xml:space="preserve">Estimate real-world long-term overall survival (OS) and time-to-treatment-failure (TTF) in patients treated with cervimab.</w:t>
      </w:r>
    </w:p>
    <w:p>
      <w:pPr>
        <w:pStyle w:val="ListParagraph"/>
        <w:numPr>
          <w:ilvl w:val="0"/>
          <w:numId w:val="2"/>
        </w:numPr>
        <w:spacing w:after="80"/>
      </w:pPr>
      <w:r>
        <w:rPr>
          <w:rFonts w:ascii="Arial" w:cs="Arial" w:eastAsia="Arial" w:hAnsi="Arial"/>
          <w:sz w:val="20"/>
          <w:szCs w:val="20"/>
        </w:rPr>
        <w:t xml:space="preserve">Evaluate the impact of duration of cervimab therapy, re-treatment after discontinuation, and subsequent therapies on long-term outcomes.</w:t>
      </w:r>
    </w:p>
    <w:p>
      <w:pPr>
        <w:pStyle w:val="Heading2"/>
        <w:spacing w:before="240" w:after="120"/>
      </w:pPr>
      <w:r>
        <w:rPr>
          <w:rFonts w:ascii="Arial" w:cs="Arial" w:eastAsia="Arial" w:hAnsi="Arial"/>
          <w:b/>
          <w:bCs/>
          <w:color w:val="2E5FA3"/>
          <w:sz w:val="24"/>
          <w:szCs w:val="24"/>
        </w:rPr>
        <w:t xml:space="preserve">2.2 Secondary Objectives</w:t>
      </w:r>
    </w:p>
    <w:p>
      <w:pPr>
        <w:pStyle w:val="ListParagraph"/>
        <w:numPr>
          <w:ilvl w:val="0"/>
          <w:numId w:val="2"/>
        </w:numPr>
        <w:spacing w:after="80"/>
      </w:pPr>
      <w:r>
        <w:rPr>
          <w:rFonts w:ascii="Arial" w:cs="Arial" w:eastAsia="Arial" w:hAnsi="Arial"/>
          <w:sz w:val="20"/>
          <w:szCs w:val="20"/>
        </w:rPr>
        <w:t xml:space="preserve">Document pregnancy outcomes in patients of childbearing potential who were exposed to cervimab within 6 months of conception.</w:t>
      </w:r>
    </w:p>
    <w:p>
      <w:pPr>
        <w:pStyle w:val="ListParagraph"/>
        <w:numPr>
          <w:ilvl w:val="0"/>
          <w:numId w:val="2"/>
        </w:numPr>
        <w:spacing w:after="80"/>
      </w:pPr>
      <w:r>
        <w:rPr>
          <w:rFonts w:ascii="Arial" w:cs="Arial" w:eastAsia="Arial" w:hAnsi="Arial"/>
          <w:sz w:val="20"/>
          <w:szCs w:val="20"/>
        </w:rPr>
        <w:t xml:space="preserve">Characterize patterns of cervimab use outside the approved indication (off-label use monitoring).</w:t>
      </w:r>
    </w:p>
    <w:p>
      <w:pPr>
        <w:pStyle w:val="ListParagraph"/>
        <w:numPr>
          <w:ilvl w:val="0"/>
          <w:numId w:val="2"/>
        </w:numPr>
        <w:spacing w:after="80"/>
      </w:pPr>
      <w:r>
        <w:rPr>
          <w:rFonts w:ascii="Arial" w:cs="Arial" w:eastAsia="Arial" w:hAnsi="Arial"/>
          <w:sz w:val="20"/>
          <w:szCs w:val="20"/>
        </w:rPr>
        <w:t xml:space="preserve">Evaluate HRQoL over time using validated patient-reported outcome instruments (FACT-C, EQ-5D-5L).</w:t>
      </w:r>
    </w:p>
    <w:p>
      <w:pPr>
        <w:pStyle w:val="ListParagraph"/>
        <w:numPr>
          <w:ilvl w:val="0"/>
          <w:numId w:val="2"/>
        </w:numPr>
        <w:spacing w:after="80"/>
      </w:pPr>
      <w:r>
        <w:rPr>
          <w:rFonts w:ascii="Arial" w:cs="Arial" w:eastAsia="Arial" w:hAnsi="Arial"/>
          <w:sz w:val="20"/>
          <w:szCs w:val="20"/>
        </w:rPr>
        <w:t xml:space="preserve">Generate comparative effectiveness evidence versus historical controls and alternative systemic therapies.</w:t>
      </w:r>
    </w:p>
    <w:p>
      <w:pPr>
        <w:pStyle w:val="Heading2"/>
        <w:spacing w:before="240" w:after="120"/>
      </w:pPr>
      <w:r>
        <w:rPr>
          <w:rFonts w:ascii="Arial" w:cs="Arial" w:eastAsia="Arial" w:hAnsi="Arial"/>
          <w:b/>
          <w:bCs/>
          <w:color w:val="2E5FA3"/>
          <w:sz w:val="24"/>
          <w:szCs w:val="24"/>
        </w:rPr>
        <w:t xml:space="preserve">2.3 Long-Term Safety Focus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Safety Domain</w:t>
            </w:r>
          </w:p>
        </w:tc>
        <w:tc>
          <w:tcPr>
            <w:tcW w:type="dxa" w:w="3120"/>
            <w:tcBorders>
              <w:top w:val="single" w:color="FFFFFF" w:sz="1"/>
              <w:left w:val="single" w:color="FFFFFF" w:sz="1"/>
              <w:bottom w:val="single" w:color="FFFFFF" w:sz="1"/>
              <w:right w:val="single" w:color="FFFFFF"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Specific Endpoints</w:t>
            </w:r>
          </w:p>
        </w:tc>
        <w:tc>
          <w:tcPr>
            <w:tcW w:type="dxa" w:w="3120"/>
            <w:tcBorders>
              <w:top w:val="single" w:color="FFFFFF" w:sz="1"/>
              <w:left w:val="single" w:color="FFFFFF" w:sz="1"/>
              <w:bottom w:val="single" w:color="FFFFFF" w:sz="1"/>
              <w:right w:val="single" w:color="FFFFFF"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Monitoring Method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Late Immune Toxicity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Grade 3-5 irAE &gt;6 months post-dose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Annual MedRA-coded AE query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Secondary Malignancy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primary cancer incidence (SIR)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Linkage to SEER/state cancer registries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Endocrinopathy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Adrenal insufficiency, thyroid dysfunction, T1DM incidence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Annual lab and medication review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Cardiovascular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MACE, immune myocarditis (late)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cardiac symptom query + ECG flag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Pregnancy Outcomes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Congenital anomalies, SAB, fetal loss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Dedicated pregnancy registry module</w:t>
            </w:r>
          </w:p>
        </w:tc>
      </w:tr>
    </w:tbl>
    <w:p>
      <w:pPr>
        <w:spacing w:after="0"/>
      </w:pPr>
      <w:r>
        <w:br w:type="page"/>
      </w:r>
    </w:p>
    <w:p>
      <w:pPr>
        <w:pStyle w:val="Heading1"/>
        <w:pBdr>
          <w:bottom w:val="single" w:color="2E5FA3" w:sz="8" w:space="4"/>
        </w:pBdr>
        <w:spacing w:before="360" w:after="160"/>
      </w:pPr>
      <w:r>
        <w:rPr>
          <w:rFonts w:ascii="Arial" w:cs="Arial" w:eastAsia="Arial" w:hAnsi="Arial"/>
          <w:b/>
          <w:bCs/>
          <w:color w:val="1F3864"/>
          <w:sz w:val="28"/>
          <w:szCs w:val="28"/>
        </w:rPr>
        <w:t xml:space="preserve">3. REGISTRY DESIGN</w:t>
      </w:r>
    </w:p>
    <w:p>
      <w:pPr>
        <w:pStyle w:val="Heading2"/>
        <w:spacing w:before="240" w:after="120"/>
      </w:pPr>
      <w:r>
        <w:rPr>
          <w:rFonts w:ascii="Arial" w:cs="Arial" w:eastAsia="Arial" w:hAnsi="Arial"/>
          <w:b/>
          <w:bCs/>
          <w:color w:val="2E5FA3"/>
          <w:sz w:val="24"/>
          <w:szCs w:val="24"/>
        </w:rPr>
        <w:t xml:space="preserve">3.1 Study Type</w:t>
      </w:r>
    </w:p>
    <w:p>
      <w:pPr>
        <w:spacing w:after="120"/>
      </w:pPr>
      <w:r>
        <w:rPr>
          <w:rFonts w:ascii="Arial" w:cs="Arial" w:eastAsia="Arial" w:hAnsi="Arial"/>
          <w:sz w:val="20"/>
          <w:szCs w:val="20"/>
        </w:rPr>
        <w:t xml:space="preserve">CERV-REG is a prospective, observational, non-interventional registry. The registry does not prescribe, modify, or mandate any clinical interventions. All treatment decisions are at the sole discretion of the treating physician per routine clinical care.</w:t>
      </w:r>
    </w:p>
    <w:p>
      <w:pPr>
        <w:pStyle w:val="Heading2"/>
        <w:spacing w:before="240" w:after="120"/>
      </w:pPr>
      <w:r>
        <w:rPr>
          <w:rFonts w:ascii="Arial" w:cs="Arial" w:eastAsia="Arial" w:hAnsi="Arial"/>
          <w:b/>
          <w:bCs/>
          <w:color w:val="2E5FA3"/>
          <w:sz w:val="24"/>
          <w:szCs w:val="24"/>
        </w:rPr>
        <w:t xml:space="preserve">3.2 Registry Entry Points</w:t>
      </w:r>
    </w:p>
    <w:p>
      <w:pPr>
        <w:pStyle w:val="ListParagraph"/>
        <w:numPr>
          <w:ilvl w:val="0"/>
          <w:numId w:val="2"/>
        </w:numPr>
        <w:spacing w:after="80"/>
      </w:pPr>
      <w:r>
        <w:rPr>
          <w:rFonts w:ascii="Arial" w:cs="Arial" w:eastAsia="Arial" w:hAnsi="Arial"/>
          <w:sz w:val="20"/>
          <w:szCs w:val="20"/>
        </w:rPr>
        <w:t xml:space="preserve">Newly initiating cervimab for any approved or off-label indication (prospective enrollment)</w:t>
      </w:r>
    </w:p>
    <w:p>
      <w:pPr>
        <w:pStyle w:val="ListParagraph"/>
        <w:numPr>
          <w:ilvl w:val="0"/>
          <w:numId w:val="2"/>
        </w:numPr>
        <w:spacing w:after="80"/>
      </w:pPr>
      <w:r>
        <w:rPr>
          <w:rFonts w:ascii="Arial" w:cs="Arial" w:eastAsia="Arial" w:hAnsi="Arial"/>
          <w:sz w:val="20"/>
          <w:szCs w:val="20"/>
        </w:rPr>
        <w:t xml:space="preserve">Patients who previously received cervimab and are transitioning from CERV-PMC-001 (long-term follow-up extension)</w:t>
      </w:r>
    </w:p>
    <w:p>
      <w:pPr>
        <w:pStyle w:val="ListParagraph"/>
        <w:numPr>
          <w:ilvl w:val="0"/>
          <w:numId w:val="2"/>
        </w:numPr>
        <w:spacing w:after="80"/>
      </w:pPr>
      <w:r>
        <w:rPr>
          <w:rFonts w:ascii="Arial" w:cs="Arial" w:eastAsia="Arial" w:hAnsi="Arial"/>
          <w:sz w:val="20"/>
          <w:szCs w:val="20"/>
        </w:rPr>
        <w:t xml:space="preserve">Patients identified through electronic health record (EHR) data linkage partners (with consent)</w:t>
      </w:r>
    </w:p>
    <w:p>
      <w:pPr>
        <w:pStyle w:val="Heading2"/>
        <w:spacing w:before="240" w:after="120"/>
      </w:pPr>
      <w:r>
        <w:rPr>
          <w:rFonts w:ascii="Arial" w:cs="Arial" w:eastAsia="Arial" w:hAnsi="Arial"/>
          <w:b/>
          <w:bCs/>
          <w:color w:val="2E5FA3"/>
          <w:sz w:val="24"/>
          <w:szCs w:val="24"/>
        </w:rPr>
        <w:t xml:space="preserve">3.3 Sample Size and Enrollment Plan</w:t>
      </w:r>
    </w:p>
    <w:p>
      <w:pPr>
        <w:spacing w:after="120"/>
      </w:pPr>
      <w:r>
        <w:rPr>
          <w:rFonts w:ascii="Arial" w:cs="Arial" w:eastAsia="Arial" w:hAnsi="Arial"/>
          <w:sz w:val="20"/>
          <w:szCs w:val="20"/>
        </w:rPr>
        <w:t xml:space="preserve">A target enrollment of 5,000 patients over 5 years is planned, with a minimum follow-up of 10 years from date of last enrollment. This sample size enables detection of secondary malignancy rates as low as 0.5% per 1,000 person-years and will support robust subgroup analyses by age, sex, indication, and treatment duration. Enrollment will be opened at approximately 200 sites in the United States in Year 1, with EU/Canada expansion in Year 2.</w:t>
      </w:r>
    </w:p>
    <w:p>
      <w:pPr>
        <w:pStyle w:val="Heading2"/>
        <w:spacing w:before="240" w:after="120"/>
      </w:pPr>
      <w:r>
        <w:rPr>
          <w:rFonts w:ascii="Arial" w:cs="Arial" w:eastAsia="Arial" w:hAnsi="Arial"/>
          <w:b/>
          <w:bCs/>
          <w:color w:val="2E5FA3"/>
          <w:sz w:val="24"/>
          <w:szCs w:val="24"/>
        </w:rPr>
        <w:t xml:space="preserve">3.4 Registry Duration</w:t>
      </w:r>
    </w:p>
    <w:p>
      <w:pPr>
        <w:pStyle w:val="ListParagraph"/>
        <w:numPr>
          <w:ilvl w:val="0"/>
          <w:numId w:val="2"/>
        </w:numPr>
        <w:spacing w:after="80"/>
      </w:pPr>
      <w:r>
        <w:rPr>
          <w:rFonts w:ascii="Arial" w:cs="Arial" w:eastAsia="Arial" w:hAnsi="Arial"/>
          <w:sz w:val="20"/>
          <w:szCs w:val="20"/>
        </w:rPr>
        <w:t xml:space="preserve">Enrollment period: 5 years from registry activation</w:t>
      </w:r>
    </w:p>
    <w:p>
      <w:pPr>
        <w:pStyle w:val="ListParagraph"/>
        <w:numPr>
          <w:ilvl w:val="0"/>
          <w:numId w:val="2"/>
        </w:numPr>
        <w:spacing w:after="80"/>
      </w:pPr>
      <w:r>
        <w:rPr>
          <w:rFonts w:ascii="Arial" w:cs="Arial" w:eastAsia="Arial" w:hAnsi="Arial"/>
          <w:sz w:val="20"/>
          <w:szCs w:val="20"/>
        </w:rPr>
        <w:t xml:space="preserve">Follow-up: Minimum 10 years from last patient enrolled (i.e., ~15 years total operational period)</w:t>
      </w:r>
    </w:p>
    <w:p>
      <w:pPr>
        <w:pStyle w:val="ListParagraph"/>
        <w:numPr>
          <w:ilvl w:val="0"/>
          <w:numId w:val="2"/>
        </w:numPr>
        <w:spacing w:after="80"/>
      </w:pPr>
      <w:r>
        <w:rPr>
          <w:rFonts w:ascii="Arial" w:cs="Arial" w:eastAsia="Arial" w:hAnsi="Arial"/>
          <w:sz w:val="20"/>
          <w:szCs w:val="20"/>
        </w:rPr>
        <w:t xml:space="preserve">Registry may be extended by mutual agreement with FDA based on interim analyses</w:t>
      </w:r>
    </w:p>
    <w:p>
      <w:pPr>
        <w:spacing w:after="0"/>
      </w:pPr>
      <w:r>
        <w:br w:type="page"/>
      </w:r>
    </w:p>
    <w:p>
      <w:pPr>
        <w:pStyle w:val="Heading1"/>
        <w:pBdr>
          <w:bottom w:val="single" w:color="2E5FA3" w:sz="8" w:space="4"/>
        </w:pBdr>
        <w:spacing w:before="360" w:after="160"/>
      </w:pPr>
      <w:r>
        <w:rPr>
          <w:rFonts w:ascii="Arial" w:cs="Arial" w:eastAsia="Arial" w:hAnsi="Arial"/>
          <w:b/>
          <w:bCs/>
          <w:color w:val="1F3864"/>
          <w:sz w:val="28"/>
          <w:szCs w:val="28"/>
        </w:rPr>
        <w:t xml:space="preserve">4. ELIGIBILITY CRITERIA</w:t>
      </w:r>
    </w:p>
    <w:p>
      <w:pPr>
        <w:pStyle w:val="Heading2"/>
        <w:spacing w:before="240" w:after="120"/>
      </w:pPr>
      <w:r>
        <w:rPr>
          <w:rFonts w:ascii="Arial" w:cs="Arial" w:eastAsia="Arial" w:hAnsi="Arial"/>
          <w:b/>
          <w:bCs/>
          <w:color w:val="2E5FA3"/>
          <w:sz w:val="24"/>
          <w:szCs w:val="24"/>
        </w:rPr>
        <w:t xml:space="preserve">4.1 Inclusion Criteria</w:t>
      </w:r>
    </w:p>
    <w:p>
      <w:pPr>
        <w:pStyle w:val="ListParagraph"/>
        <w:numPr>
          <w:ilvl w:val="0"/>
          <w:numId w:val="2"/>
        </w:numPr>
        <w:spacing w:after="80"/>
      </w:pPr>
      <w:r>
        <w:rPr>
          <w:rFonts w:ascii="Arial" w:cs="Arial" w:eastAsia="Arial" w:hAnsi="Arial"/>
          <w:sz w:val="20"/>
          <w:szCs w:val="20"/>
        </w:rPr>
        <w:t xml:space="preserve">Any patient receiving or who has received cervimab for any approved indication</w:t>
      </w:r>
    </w:p>
    <w:p>
      <w:pPr>
        <w:pStyle w:val="ListParagraph"/>
        <w:numPr>
          <w:ilvl w:val="0"/>
          <w:numId w:val="2"/>
        </w:numPr>
        <w:spacing w:after="80"/>
      </w:pPr>
      <w:r>
        <w:rPr>
          <w:rFonts w:ascii="Arial" w:cs="Arial" w:eastAsia="Arial" w:hAnsi="Arial"/>
          <w:sz w:val="20"/>
          <w:szCs w:val="20"/>
        </w:rPr>
        <w:t xml:space="preserve">Age ≥ 2 years at time of first cervimab dose</w:t>
      </w:r>
    </w:p>
    <w:p>
      <w:pPr>
        <w:pStyle w:val="ListParagraph"/>
        <w:numPr>
          <w:ilvl w:val="0"/>
          <w:numId w:val="2"/>
        </w:numPr>
        <w:spacing w:after="80"/>
      </w:pPr>
      <w:r>
        <w:rPr>
          <w:rFonts w:ascii="Arial" w:cs="Arial" w:eastAsia="Arial" w:hAnsi="Arial"/>
          <w:sz w:val="20"/>
          <w:szCs w:val="20"/>
        </w:rPr>
        <w:t xml:space="preserve">Signed informed consent (guardian consent + assent for pediatric patients)</w:t>
      </w:r>
    </w:p>
    <w:p>
      <w:pPr>
        <w:pStyle w:val="ListParagraph"/>
        <w:numPr>
          <w:ilvl w:val="0"/>
          <w:numId w:val="2"/>
        </w:numPr>
        <w:spacing w:after="80"/>
      </w:pPr>
      <w:r>
        <w:rPr>
          <w:rFonts w:ascii="Arial" w:cs="Arial" w:eastAsia="Arial" w:hAnsi="Arial"/>
          <w:sz w:val="20"/>
          <w:szCs w:val="20"/>
        </w:rPr>
        <w:t xml:space="preserve">Willingness to complete annual follow-up contacts (minimum) for the duration of the registry</w:t>
      </w:r>
    </w:p>
    <w:p>
      <w:pPr>
        <w:pStyle w:val="Heading2"/>
        <w:spacing w:before="240" w:after="120"/>
      </w:pPr>
      <w:r>
        <w:rPr>
          <w:rFonts w:ascii="Arial" w:cs="Arial" w:eastAsia="Arial" w:hAnsi="Arial"/>
          <w:b/>
          <w:bCs/>
          <w:color w:val="2E5FA3"/>
          <w:sz w:val="24"/>
          <w:szCs w:val="24"/>
        </w:rPr>
        <w:t xml:space="preserve">4.2 Exclusion Criteria</w:t>
      </w:r>
    </w:p>
    <w:p>
      <w:pPr>
        <w:pStyle w:val="ListParagraph"/>
        <w:numPr>
          <w:ilvl w:val="0"/>
          <w:numId w:val="2"/>
        </w:numPr>
        <w:spacing w:after="80"/>
      </w:pPr>
      <w:r>
        <w:rPr>
          <w:rFonts w:ascii="Arial" w:cs="Arial" w:eastAsia="Arial" w:hAnsi="Arial"/>
          <w:sz w:val="20"/>
          <w:szCs w:val="20"/>
        </w:rPr>
        <w:t xml:space="preserve">Current enrollment in a blinded interventional clinical trial where registry participation could compromise blinding</w:t>
      </w:r>
    </w:p>
    <w:p>
      <w:pPr>
        <w:pStyle w:val="ListParagraph"/>
        <w:numPr>
          <w:ilvl w:val="0"/>
          <w:numId w:val="2"/>
        </w:numPr>
        <w:spacing w:after="80"/>
      </w:pPr>
      <w:r>
        <w:rPr>
          <w:rFonts w:ascii="Arial" w:cs="Arial" w:eastAsia="Arial" w:hAnsi="Arial"/>
          <w:sz w:val="20"/>
          <w:szCs w:val="20"/>
        </w:rPr>
        <w:t xml:space="preserve">Inability or unwillingness to provide informed consent</w:t>
      </w:r>
    </w:p>
    <w:p>
      <w:pPr>
        <w:spacing w:after="80"/>
        <w:ind w:left="360"/>
      </w:pPr>
      <w:r>
        <w:rPr>
          <w:rFonts w:ascii="Arial" w:cs="Arial" w:eastAsia="Arial" w:hAnsi="Arial"/>
          <w:i/>
          <w:iCs/>
          <w:color w:val="555555"/>
          <w:sz w:val="18"/>
          <w:szCs w:val="18"/>
        </w:rPr>
        <w:t xml:space="preserve">►  There are no treatment-based exclusions. Off-label use is captured and tracked but does not preclude enrollment.</w:t>
      </w:r>
    </w:p>
    <w:p>
      <w:pPr>
        <w:spacing w:after="0"/>
      </w:pPr>
      <w:r>
        <w:br w:type="page"/>
      </w:r>
    </w:p>
    <w:p>
      <w:pPr>
        <w:pStyle w:val="Heading1"/>
        <w:pBdr>
          <w:bottom w:val="single" w:color="2E5FA3" w:sz="8" w:space="4"/>
        </w:pBdr>
        <w:spacing w:before="360" w:after="160"/>
      </w:pPr>
      <w:r>
        <w:rPr>
          <w:rFonts w:ascii="Arial" w:cs="Arial" w:eastAsia="Arial" w:hAnsi="Arial"/>
          <w:b/>
          <w:bCs/>
          <w:color w:val="1F3864"/>
          <w:sz w:val="28"/>
          <w:szCs w:val="28"/>
        </w:rPr>
        <w:t xml:space="preserve">5. DATA COLLECTION PLAN</w:t>
      </w:r>
    </w:p>
    <w:p>
      <w:pPr>
        <w:pStyle w:val="Heading2"/>
        <w:spacing w:before="240" w:after="120"/>
      </w:pPr>
      <w:r>
        <w:rPr>
          <w:rFonts w:ascii="Arial" w:cs="Arial" w:eastAsia="Arial" w:hAnsi="Arial"/>
          <w:b/>
          <w:bCs/>
          <w:color w:val="2E5FA3"/>
          <w:sz w:val="24"/>
          <w:szCs w:val="24"/>
        </w:rPr>
        <w:t xml:space="preserve">5.1 Baseline Data Elements</w:t>
      </w:r>
    </w:p>
    <w:p>
      <w:pPr>
        <w:pStyle w:val="ListParagraph"/>
        <w:numPr>
          <w:ilvl w:val="0"/>
          <w:numId w:val="2"/>
        </w:numPr>
        <w:spacing w:after="80"/>
      </w:pPr>
      <w:r>
        <w:rPr>
          <w:rFonts w:ascii="Arial" w:cs="Arial" w:eastAsia="Arial" w:hAnsi="Arial"/>
          <w:sz w:val="20"/>
          <w:szCs w:val="20"/>
        </w:rPr>
        <w:t xml:space="preserve">Demographics: age, sex, race/ethnicity, geographic region</w:t>
      </w:r>
    </w:p>
    <w:p>
      <w:pPr>
        <w:pStyle w:val="ListParagraph"/>
        <w:numPr>
          <w:ilvl w:val="0"/>
          <w:numId w:val="2"/>
        </w:numPr>
        <w:spacing w:after="80"/>
      </w:pPr>
      <w:r>
        <w:rPr>
          <w:rFonts w:ascii="Arial" w:cs="Arial" w:eastAsia="Arial" w:hAnsi="Arial"/>
          <w:sz w:val="20"/>
          <w:szCs w:val="20"/>
        </w:rPr>
        <w:t xml:space="preserve">Tumor characteristics: primary site, histology, dMMR/MSI-H testing method and result, PD-L1 CPS, TMB, Lynch syndrome status</w:t>
      </w:r>
    </w:p>
    <w:p>
      <w:pPr>
        <w:pStyle w:val="ListParagraph"/>
        <w:numPr>
          <w:ilvl w:val="0"/>
          <w:numId w:val="2"/>
        </w:numPr>
        <w:spacing w:after="80"/>
      </w:pPr>
      <w:r>
        <w:rPr>
          <w:rFonts w:ascii="Arial" w:cs="Arial" w:eastAsia="Arial" w:hAnsi="Arial"/>
          <w:sz w:val="20"/>
          <w:szCs w:val="20"/>
        </w:rPr>
        <w:t xml:space="preserve">Prior treatment history: prior lines, regimens, radiation, surgery</w:t>
      </w:r>
    </w:p>
    <w:p>
      <w:pPr>
        <w:pStyle w:val="ListParagraph"/>
        <w:numPr>
          <w:ilvl w:val="0"/>
          <w:numId w:val="2"/>
        </w:numPr>
        <w:spacing w:after="80"/>
      </w:pPr>
      <w:r>
        <w:rPr>
          <w:rFonts w:ascii="Arial" w:cs="Arial" w:eastAsia="Arial" w:hAnsi="Arial"/>
          <w:sz w:val="20"/>
          <w:szCs w:val="20"/>
        </w:rPr>
        <w:t xml:space="preserve">Cervimab details: start date, indication, dose, schedule, combination partners</w:t>
      </w:r>
    </w:p>
    <w:p>
      <w:pPr>
        <w:pStyle w:val="ListParagraph"/>
        <w:numPr>
          <w:ilvl w:val="0"/>
          <w:numId w:val="2"/>
        </w:numPr>
        <w:spacing w:after="80"/>
      </w:pPr>
      <w:r>
        <w:rPr>
          <w:rFonts w:ascii="Arial" w:cs="Arial" w:eastAsia="Arial" w:hAnsi="Arial"/>
          <w:sz w:val="20"/>
          <w:szCs w:val="20"/>
        </w:rPr>
        <w:t xml:space="preserve">Comorbidities: autoimmune history, prior immunosuppressive therapy, smoking, performance status</w:t>
      </w:r>
    </w:p>
    <w:p>
      <w:pPr>
        <w:pStyle w:val="Heading2"/>
        <w:spacing w:before="240" w:after="120"/>
      </w:pPr>
      <w:r>
        <w:rPr>
          <w:rFonts w:ascii="Arial" w:cs="Arial" w:eastAsia="Arial" w:hAnsi="Arial"/>
          <w:b/>
          <w:bCs/>
          <w:color w:val="2E5FA3"/>
          <w:sz w:val="24"/>
          <w:szCs w:val="24"/>
        </w:rPr>
        <w:t xml:space="preserve">5.2 Follow-Up Data Collection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FFFFFF" w:sz="1"/>
              <w:left w:val="single" w:color="FFFFFF" w:sz="1"/>
              <w:bottom w:val="single" w:color="FFFFFF" w:sz="1"/>
              <w:right w:val="single" w:color="FFFFFF"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Data Domain</w:t>
            </w:r>
          </w:p>
        </w:tc>
        <w:tc>
          <w:tcPr>
            <w:tcW w:type="dxa" w:w="2880"/>
            <w:tcBorders>
              <w:top w:val="single" w:color="FFFFFF" w:sz="1"/>
              <w:left w:val="single" w:color="FFFFFF" w:sz="1"/>
              <w:bottom w:val="single" w:color="FFFFFF" w:sz="1"/>
              <w:right w:val="single" w:color="FFFFFF"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Active Treatment Phase</w:t>
            </w:r>
          </w:p>
        </w:tc>
        <w:tc>
          <w:tcPr>
            <w:tcW w:type="dxa" w:w="2880"/>
            <w:tcBorders>
              <w:top w:val="single" w:color="FFFFFF" w:sz="1"/>
              <w:left w:val="single" w:color="FFFFFF" w:sz="1"/>
              <w:bottom w:val="single" w:color="FFFFFF" w:sz="1"/>
              <w:right w:val="single" w:color="FFFFFF"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Post-Treatment Follow-Up</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Adverse Events (irAE focus)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Every clinic visit</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Annually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Disease status / tumor response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 investigator assessment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Annually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Cervimab dosing details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Each cycle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Subsequent therapies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Each change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Annually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HRQoL (FACT-C, EQ-5D-5L)</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Quarterly</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Annually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Vital status / survival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Each visit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Annually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Pregnancy exposure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As identified</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As identified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Secondary malignancy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 identified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 identified + registry linkage</w:t>
            </w:r>
          </w:p>
        </w:tc>
      </w:tr>
    </w:tbl>
    <w:p>
      <w:pPr>
        <w:spacing w:after="0"/>
      </w:pPr>
      <w:r>
        <w:br w:type="page"/>
      </w:r>
    </w:p>
    <w:p>
      <w:pPr>
        <w:pStyle w:val="Heading1"/>
        <w:pBdr>
          <w:bottom w:val="single" w:color="2E5FA3" w:sz="8" w:space="4"/>
        </w:pBdr>
        <w:spacing w:before="360" w:after="160"/>
      </w:pPr>
      <w:r>
        <w:rPr>
          <w:rFonts w:ascii="Arial" w:cs="Arial" w:eastAsia="Arial" w:hAnsi="Arial"/>
          <w:b/>
          <w:bCs/>
          <w:color w:val="1F3864"/>
          <w:sz w:val="28"/>
          <w:szCs w:val="28"/>
        </w:rPr>
        <w:t xml:space="preserve">6. DATA MANAGEMENT AND GOVERNANCE</w:t>
      </w:r>
    </w:p>
    <w:p>
      <w:pPr>
        <w:pStyle w:val="Heading2"/>
        <w:spacing w:before="240" w:after="120"/>
      </w:pPr>
      <w:r>
        <w:rPr>
          <w:rFonts w:ascii="Arial" w:cs="Arial" w:eastAsia="Arial" w:hAnsi="Arial"/>
          <w:b/>
          <w:bCs/>
          <w:color w:val="2E5FA3"/>
          <w:sz w:val="24"/>
          <w:szCs w:val="24"/>
        </w:rPr>
        <w:t xml:space="preserve">6.1 Electronic Data Capture</w:t>
      </w:r>
    </w:p>
    <w:p>
      <w:pPr>
        <w:spacing w:after="120"/>
      </w:pPr>
      <w:r>
        <w:rPr>
          <w:rFonts w:ascii="Arial" w:cs="Arial" w:eastAsia="Arial" w:hAnsi="Arial"/>
          <w:sz w:val="20"/>
          <w:szCs w:val="20"/>
        </w:rPr>
        <w:t xml:space="preserve">All registry data will be entered into a validated, 21 CFR Part 11-compliant EDC platform (Veeva Vault Clinical). Sites will be trained prior to activation. An electronic CRF (eCRF) completion guide will be provided to all site staff. Patient identifiers will be replaced by registry-assigned pseudonymous codes; a secure key management system will be maintained per applicable privacy regulations.</w:t>
      </w:r>
    </w:p>
    <w:p>
      <w:pPr>
        <w:pStyle w:val="Heading2"/>
        <w:spacing w:before="240" w:after="120"/>
      </w:pPr>
      <w:r>
        <w:rPr>
          <w:rFonts w:ascii="Arial" w:cs="Arial" w:eastAsia="Arial" w:hAnsi="Arial"/>
          <w:b/>
          <w:bCs/>
          <w:color w:val="2E5FA3"/>
          <w:sz w:val="24"/>
          <w:szCs w:val="24"/>
        </w:rPr>
        <w:t xml:space="preserve">6.2 Data Quality Assurance</w:t>
      </w:r>
    </w:p>
    <w:p>
      <w:pPr>
        <w:spacing w:after="120"/>
      </w:pPr>
      <w:r>
        <w:rPr>
          <w:rFonts w:ascii="Arial" w:cs="Arial" w:eastAsia="Arial" w:hAnsi="Arial"/>
          <w:sz w:val="20"/>
          <w:szCs w:val="20"/>
        </w:rPr>
        <w:t xml:space="preserve">Central monitoring will be performed by the registry data management team. Source data verification (SDV) will be conducted for a risk-based sample of critical data fields (vital status, SAEs, irAEs). Automated range checks, consistency checks, and query workflows will be built into the EDC platform.</w:t>
      </w:r>
    </w:p>
    <w:p>
      <w:pPr>
        <w:pStyle w:val="Heading2"/>
        <w:spacing w:before="240" w:after="120"/>
      </w:pPr>
      <w:r>
        <w:rPr>
          <w:rFonts w:ascii="Arial" w:cs="Arial" w:eastAsia="Arial" w:hAnsi="Arial"/>
          <w:b/>
          <w:bCs/>
          <w:color w:val="2E5FA3"/>
          <w:sz w:val="24"/>
          <w:szCs w:val="24"/>
        </w:rPr>
        <w:t xml:space="preserve">6.3 Data Linkage</w:t>
      </w:r>
    </w:p>
    <w:p>
      <w:pPr>
        <w:spacing w:after="120"/>
      </w:pPr>
      <w:r>
        <w:rPr>
          <w:rFonts w:ascii="Arial" w:cs="Arial" w:eastAsia="Arial" w:hAnsi="Arial"/>
          <w:sz w:val="20"/>
          <w:szCs w:val="20"/>
        </w:rPr>
        <w:t xml:space="preserve">With patient consent, registry data will be linked to: (a) National Death Index (NDI) for vital status; (b) SEER database for secondary malignancy ascertainment; (c) CMS claims data for healthcare utilization analyses. Linkage protocols will be documented in a separate Data Linkage Agreement and Privacy Impact Assessment.</w:t>
      </w:r>
    </w:p>
    <w:p>
      <w:pPr>
        <w:pStyle w:val="Heading2"/>
        <w:spacing w:before="240" w:after="120"/>
      </w:pPr>
      <w:r>
        <w:rPr>
          <w:rFonts w:ascii="Arial" w:cs="Arial" w:eastAsia="Arial" w:hAnsi="Arial"/>
          <w:b/>
          <w:bCs/>
          <w:color w:val="2E5FA3"/>
          <w:sz w:val="24"/>
          <w:szCs w:val="24"/>
        </w:rPr>
        <w:t xml:space="preserve">6.4 Scientific Steering Committee</w:t>
      </w:r>
    </w:p>
    <w:p>
      <w:pPr>
        <w:spacing w:after="120"/>
      </w:pPr>
      <w:r>
        <w:rPr>
          <w:rFonts w:ascii="Arial" w:cs="Arial" w:eastAsia="Arial" w:hAnsi="Arial"/>
          <w:sz w:val="20"/>
          <w:szCs w:val="20"/>
        </w:rPr>
        <w:t xml:space="preserve">A Scientific Steering Committee (SSC) comprising independent clinical experts, an ethicist, a patient advocate, and sponsor representatives will oversee the scientific integrity of the registry. The SSC will convene annually to review data quality reports, emerging safety signals, and publication plans.</w:t>
      </w:r>
    </w:p>
    <w:p>
      <w:pPr>
        <w:spacing w:after="0"/>
      </w:pPr>
      <w:r>
        <w:br w:type="page"/>
      </w:r>
    </w:p>
    <w:p>
      <w:pPr>
        <w:pStyle w:val="Heading1"/>
        <w:pBdr>
          <w:bottom w:val="single" w:color="2E5FA3" w:sz="8" w:space="4"/>
        </w:pBdr>
        <w:spacing w:before="360" w:after="160"/>
      </w:pPr>
      <w:r>
        <w:rPr>
          <w:rFonts w:ascii="Arial" w:cs="Arial" w:eastAsia="Arial" w:hAnsi="Arial"/>
          <w:b/>
          <w:bCs/>
          <w:color w:val="1F3864"/>
          <w:sz w:val="28"/>
          <w:szCs w:val="28"/>
        </w:rPr>
        <w:t xml:space="preserve">7. PHARMACOVIGILANCE AND SIGNAL MANAGEMENT</w:t>
      </w:r>
    </w:p>
    <w:p>
      <w:pPr>
        <w:spacing w:after="120"/>
      </w:pPr>
      <w:r>
        <w:rPr>
          <w:rFonts w:ascii="Arial" w:cs="Arial" w:eastAsia="Arial" w:hAnsi="Arial"/>
          <w:sz w:val="20"/>
          <w:szCs w:val="20"/>
        </w:rPr>
        <w:t xml:space="preserve">CERV-REG data will be reviewed quarterly by NovImmune Pharmacovigilance in the context of the overall Pharmacovigilance System. Disproportionality analyses (Reporting Odds Ratio, PRR) will be applied to registry AE data semi-annually. Any identified safety signal meeting pre-defined thresholds will be escalated per the established Signal Management SOP and communicated to FDA within 15 days per applicable reporting requirements.</w:t>
      </w:r>
    </w:p>
    <w:p>
      <w:pPr>
        <w:pStyle w:val="Heading2"/>
        <w:spacing w:before="240" w:after="120"/>
      </w:pPr>
      <w:r>
        <w:rPr>
          <w:rFonts w:ascii="Arial" w:cs="Arial" w:eastAsia="Arial" w:hAnsi="Arial"/>
          <w:b/>
          <w:bCs/>
          <w:color w:val="2E5FA3"/>
          <w:sz w:val="24"/>
          <w:szCs w:val="24"/>
        </w:rPr>
        <w:t xml:space="preserve">7.1 Special Populations Surveillance</w:t>
      </w:r>
    </w:p>
    <w:p>
      <w:pPr>
        <w:spacing w:after="120"/>
      </w:pPr>
      <w:r>
        <w:rPr>
          <w:rFonts w:ascii="Arial" w:cs="Arial" w:eastAsia="Arial" w:hAnsi="Arial"/>
          <w:sz w:val="20"/>
          <w:szCs w:val="20"/>
        </w:rPr>
        <w:t xml:space="preserve">Dedicated surveillance modules will be activated for: pregnant patients (Cervimab Pregnancy Registry sub-module); pediatric patients; elderly patients (age ≥75); patients with pre-existing autoimmune conditions; and patients receiving corticosteroids at baseline. Separate aggregate analyses of these subgroups will be included in each annual registry safety report.</w:t>
      </w:r>
    </w:p>
    <w:p>
      <w:pPr>
        <w:spacing w:after="60"/>
      </w:pPr>
      <w:r>
        <w:t xml:space="preserve"/>
      </w:r>
    </w:p>
    <w:p>
      <w:pPr>
        <w:pStyle w:val="Heading1"/>
        <w:pBdr>
          <w:bottom w:val="single" w:color="2E5FA3" w:sz="8" w:space="4"/>
        </w:pBdr>
        <w:spacing w:before="360" w:after="160"/>
      </w:pPr>
      <w:r>
        <w:rPr>
          <w:rFonts w:ascii="Arial" w:cs="Arial" w:eastAsia="Arial" w:hAnsi="Arial"/>
          <w:b/>
          <w:bCs/>
          <w:color w:val="1F3864"/>
          <w:sz w:val="28"/>
          <w:szCs w:val="28"/>
        </w:rPr>
        <w:t xml:space="preserve">8. PUBLICATION AND DATA SHARING POLICY</w:t>
      </w:r>
    </w:p>
    <w:p>
      <w:pPr>
        <w:spacing w:after="120"/>
      </w:pPr>
      <w:r>
        <w:rPr>
          <w:rFonts w:ascii="Arial" w:cs="Arial" w:eastAsia="Arial" w:hAnsi="Arial"/>
          <w:sz w:val="20"/>
          <w:szCs w:val="20"/>
        </w:rPr>
        <w:t xml:space="preserve">Results from CERV-REG will be published in peer-reviewed journals on a regular schedule, with primary safety and effectiveness analyses published at Year 3, Year 5, and Year 10. The registry will be registered at ClinicalTrials.gov prior to first enrollment. Summary-level registry data will be made available through the sponsor's clinical data sharing portal per ICH E17 and PhRMA/EFPIA data sharing principles.</w:t>
      </w:r>
    </w:p>
    <w:p>
      <w:pPr>
        <w:spacing w:after="60"/>
      </w:pPr>
      <w:r>
        <w:t xml:space="preserve"/>
      </w:r>
    </w:p>
    <w:p>
      <w:pPr>
        <w:pStyle w:val="Heading1"/>
        <w:pBdr>
          <w:bottom w:val="single" w:color="2E5FA3" w:sz="8" w:space="4"/>
        </w:pBdr>
        <w:spacing w:before="360" w:after="160"/>
      </w:pPr>
      <w:r>
        <w:rPr>
          <w:rFonts w:ascii="Arial" w:cs="Arial" w:eastAsia="Arial" w:hAnsi="Arial"/>
          <w:b/>
          <w:bCs/>
          <w:color w:val="1F3864"/>
          <w:sz w:val="28"/>
          <w:szCs w:val="28"/>
        </w:rPr>
        <w:t xml:space="preserve">9. ETHICAL CONSIDERATIONS</w:t>
      </w:r>
    </w:p>
    <w:p>
      <w:pPr>
        <w:spacing w:after="120"/>
      </w:pPr>
      <w:r>
        <w:rPr>
          <w:rFonts w:ascii="Arial" w:cs="Arial" w:eastAsia="Arial" w:hAnsi="Arial"/>
          <w:sz w:val="20"/>
          <w:szCs w:val="20"/>
        </w:rPr>
        <w:t xml:space="preserve">The registry protocol will be reviewed by a central IRB (WCG IRB) and local IRBs where required. Patients will be approached for consent only in the context of a clinical interaction with their treating physician. Participation is entirely voluntary and will have no impact on access to cervimab or any other treatment. The registry complies fully with the Declaration of Helsinki, ICH GCP E6(R2), HIPAA, and applicable EU GDPR provisions.</w:t>
      </w:r>
    </w:p>
    <w:p>
      <w:pPr>
        <w:spacing w:after="60"/>
      </w:pPr>
      <w:r>
        <w:t xml:space="preserve"/>
      </w:r>
    </w:p>
    <w:p>
      <w:pPr>
        <w:pStyle w:val="Heading1"/>
        <w:pBdr>
          <w:bottom w:val="single" w:color="2E5FA3" w:sz="8" w:space="4"/>
        </w:pBdr>
        <w:spacing w:before="360" w:after="160"/>
      </w:pPr>
      <w:r>
        <w:rPr>
          <w:rFonts w:ascii="Arial" w:cs="Arial" w:eastAsia="Arial" w:hAnsi="Arial"/>
          <w:b/>
          <w:bCs/>
          <w:color w:val="1F3864"/>
          <w:sz w:val="28"/>
          <w:szCs w:val="28"/>
        </w:rPr>
        <w:t xml:space="preserve">10. REFERENCES</w:t>
      </w:r>
    </w:p>
    <w:p>
      <w:pPr>
        <w:spacing w:after="120"/>
      </w:pPr>
      <w:r>
        <w:rPr>
          <w:rFonts w:ascii="Arial" w:cs="Arial" w:eastAsia="Arial" w:hAnsi="Arial"/>
          <w:sz w:val="20"/>
          <w:szCs w:val="20"/>
        </w:rPr>
        <w:t xml:space="preserve">1. FDA. Guidance for Industry: Registries for Evaluating Patient Outcomes. 3rd ed. 2010.</w:t>
      </w:r>
    </w:p>
    <w:p>
      <w:pPr>
        <w:spacing w:after="120"/>
      </w:pPr>
      <w:r>
        <w:rPr>
          <w:rFonts w:ascii="Arial" w:cs="Arial" w:eastAsia="Arial" w:hAnsi="Arial"/>
          <w:sz w:val="20"/>
          <w:szCs w:val="20"/>
        </w:rPr>
        <w:t xml:space="preserve">2. FDA. Guidance for Industry: Good Pharmacovigilance Practices and Pharmacoepidemiologic Assessment. 2005.</w:t>
      </w:r>
    </w:p>
    <w:p>
      <w:pPr>
        <w:spacing w:after="120"/>
      </w:pPr>
      <w:r>
        <w:rPr>
          <w:rFonts w:ascii="Arial" w:cs="Arial" w:eastAsia="Arial" w:hAnsi="Arial"/>
          <w:sz w:val="20"/>
          <w:szCs w:val="20"/>
        </w:rPr>
        <w:t xml:space="preserve">3. ICH E2E. Pharmacovigilance Planning. 2004.</w:t>
      </w:r>
    </w:p>
    <w:p>
      <w:pPr>
        <w:spacing w:after="120"/>
      </w:pPr>
      <w:r>
        <w:rPr>
          <w:rFonts w:ascii="Arial" w:cs="Arial" w:eastAsia="Arial" w:hAnsi="Arial"/>
          <w:sz w:val="20"/>
          <w:szCs w:val="20"/>
        </w:rPr>
        <w:t xml:space="preserve">4. AHRQ. Registries for Evaluating Patient Outcomes: A User's Guide. 4th ed. 2020.</w:t>
      </w:r>
    </w:p>
    <w:p>
      <w:pPr>
        <w:spacing w:after="120"/>
      </w:pPr>
      <w:r>
        <w:rPr>
          <w:rFonts w:ascii="Arial" w:cs="Arial" w:eastAsia="Arial" w:hAnsi="Arial"/>
          <w:sz w:val="20"/>
          <w:szCs w:val="20"/>
        </w:rPr>
        <w:t xml:space="preserve">5. 21 CFR Part 11. Electronic Records; Electronic Signatures.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2"/>
      </w:pBdr>
      <w:spacing w:before="80"/>
    </w:pPr>
    <w:r>
      <w:rPr>
        <w:rFonts w:ascii="Arial" w:cs="Arial" w:eastAsia="Arial" w:hAnsi="Arial"/>
        <w:color w:val="777777"/>
        <w:sz w:val="16"/>
        <w:szCs w:val="16"/>
      </w:rPr>
      <w:t xml:space="preserve">CERV-REG v1.0 — NovImmune Therapeutics   |   For Regulatory Purposes Only   |   Page </w:t>
    </w:r>
    <w:fldSimple w:instr="PAGE">
      <w:r>
        <w:rPr>
          <w:rFonts w:ascii="Arial" w:cs="Arial" w:eastAsia="Arial" w:hAnsi="Arial"/>
          <w:color w:val="777777"/>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2"/>
      </w:pBdr>
      <w:spacing w:after="80"/>
    </w:pPr>
    <w:r>
      <w:rPr>
        <w:rFonts w:ascii="Arial" w:cs="Arial" w:eastAsia="Arial" w:hAnsi="Arial"/>
        <w:color w:val="555555"/>
        <w:sz w:val="18"/>
        <w:szCs w:val="18"/>
      </w:rPr>
      <w:t xml:space="preserve">CERVIMAB (cerviximab-pgrc) — CONFIDENTIAL</w:t>
    </w:r>
    <w:r>
      <w:rPr>
        <w:rFonts w:ascii="Arial" w:cs="Arial" w:eastAsia="Arial" w:hAnsi="Arial"/>
        <w:b/>
        <w:bCs/>
        <w:color w:val="2E5FA3"/>
        <w:sz w:val="18"/>
        <w:szCs w:val="18"/>
      </w:rPr>
      <w:t xml:space="preserve">   |   LONG-TERM REGISTRY PROTOCOL — CERV-REG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FA3"/>
      <w:sz w:val="24"/>
      <w:szCs w:val="24"/>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2026-03-16T14:48:10.421Z</dcterms:created>
  <dcterms:modified xsi:type="dcterms:W3CDTF">2026-03-16T14:48:10.421Z</dcterms:modified>
</cp:coreProperties>
</file>

<file path=docProps/custom.xml><?xml version="1.0" encoding="utf-8"?>
<Properties xmlns="http://schemas.openxmlformats.org/officeDocument/2006/custom-properties" xmlns:vt="http://schemas.openxmlformats.org/officeDocument/2006/docPropsVTypes"/>
</file>