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INVESTIGATIONAL MEDICINAL PRODUCT DOSSIER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5F8A"/>
          <w:sz w:val="44"/>
          <w:szCs w:val="44"/>
        </w:rPr>
        <w:t xml:space="preserve">IMPD</w:t>
      </w:r>
    </w:p>
    <w:p>
      <w:pPr>
        <w:spacing w:before="0" w:after="240"/>
        <w:jc w:val="center"/>
      </w:pPr>
      <w:r>
        <w:rPr>
          <w:color w:val="2E5F8A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CERVIMAB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(Anti-PD-1 Monoclonal Antibody)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100 mg/10 mL (10 mg/mL) Concentrate for Solution for Infusion</w:t>
      </w:r>
    </w:p>
    <w:p>
      <w:pPr>
        <w:spacing w:before="0" w:after="360"/>
        <w:jc w:val="center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Indication: dMMR/MSI-H Metastatic Colorectal Cancer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Biosciences, Inc.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Investigational Medicinal Product Dossier (IMPD)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ACME-CERV-CRC-001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 / III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Contact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Affairs Department, Acme Biosciences, Inc.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contains trade secrets and confidential information. Unauthorized disclosure is prohibited.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PREPARED IN ACCORDANCE WITH: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21 CFR Parts 210, 211, 312 | ICH Q8, Q9, Q10, Q11 | EU CTR (EU) 536/2014 | ICH E6(R3) GCP</w:t>
      </w:r>
    </w:p>
    <w:p>
      <w:r>
        <w:br w:type="page"/>
      </w:r>
    </w:p>
    <w:p>
      <w:pPr>
        <w:pStyle w:val="Heading1"/>
        <w:pBdr>
          <w:bottom w:val="single" w:color="2E5F8A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p>
      <w:pPr>
        <w:spacing w:before="60" w:after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This table of contents reflects the structure of the complete IMPD. Section numbers correspond to ICH CTD Module 3 and EU IMPD format. References to page numbers are representative.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Information &amp; Cover Page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(Pharmaceutical) Data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and Drug Substance Overview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Substance (DS) — Cervimab API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Product (DP) — Cervimab 10 mg/mL Concentrate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Standards &amp; Materials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Closure System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Non-Clinical Data Summary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Pharmacokinetics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Toxicology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 Summary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Pharmacology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Efficacy Data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Data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Appendices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8A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ADMINISTRATIVE INFORMATION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1.1 Drug Product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Nonproprietary Name (INN)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Cervimab (proposed)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Brand/Code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CERV-001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Molecular 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human IgG4 monoclonal antibody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Programmed Death-1 (PD-1) receptor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Molecular Weight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~148 kDa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Dosage Form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Concentrate for solution for infusion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mg/10 mL (10 mg/mL)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of Administration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Intravenous (IV) infusion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[Pending INN assignment]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ATC Code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L01XC (proposed — antineoplastic monoclonal antibodies)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1.2 Sponsor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Biosciences, Inc.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Biotech Drive, Cambridge, MA 02142, USA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 Number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FDA Division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of Oncology Products 1 (DOP1), OOD, CDER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 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IND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Affairs Contact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Jane Regulatory, VP Regulatory Affairs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(617) 555-0100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regulatory@acmebiosciences.com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1.3 Manufacturing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2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Name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Manufacturing LLC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Pharma Way, Devens, MA 01434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Substance Manufacturing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FDA-registered, ISO 9001:2015, cGMP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AcmeFill Solutions GmbH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Industriestrasse 45, Basel, Switzerland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Product Mfg. &amp; Fill/Finish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FDA-registered, Swissmedic cGMP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Pacific QC Labs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5200 Harbor Blvd, Los Angeles, CA 90010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&amp; Stability Testing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FDA-registered, CAP/CLIA accredited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ColdChain Logistics Inc.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 Depot Road, Wilmington, DE 19801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&amp; Storage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GDP-compliant, FDA-registered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8A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QUALITY (PHARMACEUTICAL) DATA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2.1 Introduction and Drug Substance Overview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Cervimab is a fully human immunoglobulin G4 (IgG4) monoclonal antibody (mAb) that selectively binds to the Programmed Death-1 (PD-1) receptor on T lymphocytes, blocking interaction with its ligands PD-L1 and PD-L2. PD-1 checkpoint blockade restores anti-tumor T-cell activity and has demonstrated robust clinical activity in deficient mismatch repair (dMMR) / microsatellite instability-high (MSI-H) colorectal cancer (CRC), a patient population characterized by a high somatic mutational burden and favorable immunological microenvironment.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Cervimab is produced by recombinant DNA technology using a Chinese Hamster Ovary (CHO) cell expression system, and purified by a validated multi-step chromatography and filtration process. The proposed commercial presentation is a single-use vial containing 100 mg cervimab in 10 mL (10 mg/mL) sterile, preservative-free aqueous solution for IV infusion after dilution.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2.2 Drug Substance (DS)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2.2.1 General Information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Cervimab API is classified as a biological medicine per 21 CFR 600 (Biological Products) and ICH Q6B (Test Procedures and Acceptance Criteria for Biotechnological/Biological Products). All manufacturing operations are conducted in accordance with 21 CFR 211, 610, and applicable ICH guidelines (Q7, Q8, Q9, Q10, Q11).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2.2.2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Antibody Class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IgG4 / kappa light chain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Heavy Chain (VH)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IGHV1-2 germline; CDR-H3: CARGEYDYGDYALDYW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Light Chain (VL)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IGKV3-20 germline; CDR-L3: QQYGSSPWT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Engineering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S228P hinge stabilization (EU numbering); eliminates Fab-arm exchange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Glycosylation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N-linked glycan at Asn297 (Fc); predominantly G0F, G1F, G2F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Molecular Formula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C6516H10068N1724O2032S44 (protein backbone, approximate)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Extinction Coefficient (E0.1%)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1.48 mL/(mg·cm) at 280 nm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Isoelectric Point (pI)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 ± 0.3 (by capillary IEF)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Melting Temperature (Tm)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72.4°C ± 0.5°C (DSC, primary Fab domain)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2.2.3 Manufacturing Process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manufacturing process for cervimab drug substance encompasses the following unit operations: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Cell Bank System: Two-tier cell banking (MCB and WCB) derived from a single research cell bank (RCB). CHO-DG44 host cells transfected with cervimab heavy and light chain expression constructs. MCB and WCB qualified per ICH Q5A and Q5D.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Upstream Bioprocessing: Seed train expansion from vial thaw through N-1 bioreactor (500 L), to production bioreactor (2,000 L fed-batch culture, 14-day run). Temperature: 36.5°C; pH: 7.1; DO: 30% saturation. Harvest by centrifugation and depth filtration.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Downstream Purification (5-step process):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Protein A affinity chromatography (MabSelect SuRe LX resin) — primary capture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Low-pH viral inactivation (pH 3.5, 60 min at room temperature)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Anion-exchange chromatography (flow-through mode, Capto Q resin) — HCP and DNA clearance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Cation-exchange chromatography (bind-elute mode, Capto SP ImpRes) — aggregate removal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5: Viral filtration (20 nm filter, Planova 20N) and ultrafiltration/diafiltration (UF/DF) into DS formulation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DS Bulk: Formulated at 50 mg/mL in 20 mM histidine/histidine HCl, 8% (w/v) sucrose, 0.04% polysorbate 80, pH 6.0. Filtered through 0.22 µm membrane, filled into sterile stainless-steel vessels, snap-frozen over dry ice, and stored at ≤-70°C.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2.2.4 Drug Substance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Compendial (Ph. Eur. 2.9.20)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to slightly opalescent, colorless to pale yellow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2.2.3 / USP &lt;791&gt;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 – 6.2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 Concentration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Spectrophotometry (A280)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48.0 – 52.0 mg/mL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Purity (SE-HPLC)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In-house validated SEC-HPLC method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Monomer ≥ 98.0%; HMW ≤ 1.5%; LMW ≤ 0.5%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Purity (cIEF)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Imaged capillary isoelectric focusing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peak ≥ 85%; acidic variants ≤ 10%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Purity (rCE-SDS, reduced)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capillary electrophoresis-SDS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HC: 45–55%; LC: 45–55%; other bands ≤ 2%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Potency (Receptor Binding ELISA)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competitive binding assay vs. reference standard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80–125% relative binding activity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Bioassay (T-cell activation)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human T-cell proliferation assay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potency 70–143% vs. reference standard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Cell Protein (HCP)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Process-specific CHO-HCP ELISA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100 ppm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Cell DNA (qPCR)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CHO DNA qPCR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 pg/mg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 A (ELISA)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Anti-Protein A ELISA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 ppm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Polysorbate 80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HPLC-ELSD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0.030 – 0.050% (w/v)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Osmolality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Freezing Point Depression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270–370 mOsm/kg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Endotoxin (LAL)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2.6.14 / USP &lt;85&gt; (kinetic turbidimetric)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0.5 EU/mg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Sterility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2.6.1 / USP &lt;71&gt; (Membrane Filtration)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growth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Mycoplasma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(Ph. Eur. 2.6.7)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Adventitious Agents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vitro and in vivo assays per ICH Q5A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adventitious agents detected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2.2.5 Reference Standards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A two-tier reference standard system is established for cervimab: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Primary Reference Standard (PRS-001): Produced from GMP manufacturing lot CERV-DS-0012. Characterized by multiple orthogonal methods (peptide mapping, intact mass, glycan profile, XRC, HDX-MS, CD spectroscopy). Stored as single-use aliquots at -80°C.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Working Reference Standard (WRS): Qualified against PRS by parallel testing in all release assays. Acceptance: ≤5% difference from PRS in quantitative assays. New WRS lots bridged per SOP-QC-RS-007.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2.2.6 Drug Substance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Condition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Points (months)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Long-term: ≤-70°C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 vessel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0, 6, 12, 18, 24, 36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Ongoing; 24-month data available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Accelerated: -20°C ± 5°C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 vessel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0, 3, 6, 12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to 12 months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Stress: 5°C ± 3°C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 vessel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0, 1, 3, 6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Stress: 25°C/60%RH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 vessel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2 weeks, 1, 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Freeze-Thaw Cycling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 vessel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cycles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Passed; no significant degradation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Photostability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Exposed/protected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Q1B Option 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with protection; no change protected</w:t>
            </w:r>
          </w:p>
        </w:tc>
      </w:tr>
    </w:tbl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Based on available stability data, the proposed DS shelf-life is 24 months at ≤-70°C. Data continue to be generated per the approved stability protocol.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2.3 Drug Product (DP)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2.3.1 Composition and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200"/>
        <w:gridCol w:w="2960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/ Quality Standard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per mL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Cervimab (API)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In-house GMP specification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pharmaceutical ingredient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 mg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L-Histidine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/ USP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(pH control)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1.55 mg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L-Histidine Hydrochloride Monohydrate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/ USP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(pH control)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 mg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Sucrose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/ USP (NF)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Cryoprotectant / Tonicity agent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80.0 mg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Polysorbate 80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/ NF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Surfactant / Stabilizer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 mg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for Injection (WFI)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Ph. Eur. / USP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Solvent / Vehicle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q.s. to 1.0 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2.3.2 Pharmaceutical Development Rationale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Formulation development was guided by accelerated stability screening of 32 candidate formulations using Design of Experiments (DoE) methodology per ICH Q8(R2). Key findings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Histidine/His-HCl buffer at 20 mM, pH 6.0 provides optimal stability with minimal chemical degradation (deamidation, oxidation) over accelerated stability timelines.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Sucrose at 8% w/v provides adequate tonicity (290 mOsm/kg) and cryoprotection; maintains monomer content ≥99% through freeze-thaw cycling.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Polysorbate 80 at 0.04% w/v prevents surface-induced aggregation during manufacturing and shipping stress.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absence of antioxidants (e.g., methionine) was evaluated and found unnecessary given low oxidation rates at pH 6.0 and ≤-70°C storage.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2.3.3 Manufacturing Process — Drug Product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Drug product manufacturing is conducted at AcmeFill Solutions GmbH under cGMP conditions per 21 CFR 211, EU Annex 1 (aseptic processing), and ICH Q7/Q10: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DS Thaw and Pool — DS vials thawed at 2-8°C (≤48 h), pooled in stainless steel vessel, integrity-tested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Formulation — Dilution of DS to 10.0 mg/mL with sterile formulation buffer; conductivity, pH, and protein concentration verified in-process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Bioburden Reduction Filtration — Sequential filtration: 0.45 µm pre-filter → 0.22 µm sterilizing-grade filter (Millipore Durapore PVDF)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Aseptic Fill/Finish — Automated filling line (Grade A under Grade B background); 10.5 mL fill volume in 20-mL Type I borosilicate vials; rubber stopper (chlorobutyl, FluroTec-coated); aluminum crimp seal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5: Visual Inspection — 100% automated + manual inspection per USP &lt;790&gt; / Ph. Eur. 2.9.20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6: Labeling, Packaging, and Release — Label reconciliation; QC release testing; Certificate of Analysis (CoA) issuance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2.3.4 Drug Product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6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Appearance (Solution)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/ Ph. Eur. 2.9.20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to slightly opalescent; colorless to pale yellow; essentially free of particles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Appearance (Container)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cracks, chips, or leakage; stopper properly seated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 &lt;791&gt; / Ph. Eur. 2.2.3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 – 6.2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 Concentration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A280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 – 10.5 mg/mL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Purity (SE-HPLC)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SEC-HPLC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Monomer ≥ 98.0%; HMW ≤ 1.5%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Potency (Binding ELISA)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binding vs. reference standard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– 125% relative potency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Subvisible Particles (MFI)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 &lt;787&gt; / &lt;788&gt;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 µm: ≤6000/container; ≥25 µm: ≤600/container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Extractable Volume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 &lt;1&gt;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 10.0 mL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Closure Integrity (CCI)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Vacuum decay method (AquaCCI)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(&lt; 6 µbar·L/s)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Endotoxin (LAL)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 &lt;85&gt;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0.5 EU/mg cervimab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Sterility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 &lt;71&gt; Membrane Filtration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growth in 14-day incubation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Moisture (if applicable)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Karl Fischer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(liquid formulation)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2.3.5 Drug Product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Points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Outcome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Long-term: -20°C ± 5°C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vial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3, 6, 12, 18, 24 months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Ongoing; proposed shelf-life: 18 months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Long-term: 2–8°C (Reference)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vial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3, 6, 12 months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Monitoring; supports in-use guidance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Accelerated: 25°C/60%RH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vial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3, 6 months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Completed; slight increase HMW at 6M 25°C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Stress: 37°C/75%RH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vial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2 weeks, 1 month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Completed; notable degradation confirms DP sensitivity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In-use: 0.9% NaCl Diluted (4 mg/mL)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bag (PVC/non-PVC)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6, 12, 24 h at 2-8°C; 0, 4, 8 h at 25°C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In-use shelf-life: 24h at 2-8°C or 8h at 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Photostability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Protected/exposed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Q1B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with light protection; label requirement confirmed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Freeze-Thaw (DP)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vial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cycles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change; single-use, no re-freeze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8A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NON-CLINICAL DATA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3.1 Pharmacology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Primary Pharmacodynamics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Cervimab binds human PD-1 with high affinity (KD = 0.32 nM; SPR, BIAcore T200), effectively blocking both PD-L1 (IC50 = 1.4 nM) and PD-L2 (IC50 = 2.1 nM) interactions in competitive binding assays. In primary human T-cell assays, cervimab restores IFN-γ secretion and T-cell proliferation in a dose-dependent manner (EC50 ≈ 0.5 nM in PBMC co-culture models).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In syngeneic tumor models using humanized PD-1 knock-in mice: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MC38 colon adenocarcinoma (MSI-H, mismatch repair deficient by MLH1 knockout): Tumor growth inhibition (TGI) = 88.4% at 10 mg/kg IP q3d × 4; 3/8 complete responses (CR)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CT26 colon carcinoma (MSS): TGI = 31.2% at 10 mg/kg; 0/8 CR — consistent with known clinical biology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Combination with FOLFOX in MC38 model: Synergistic antitumor activity; TGI = 94.1%; 5/8 CR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Secondary Pharmacodynamics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Off-target binding screening by radioligand binding panel (44 receptors, ion channels, enzymes) revealed no significant activity (&gt;50% inhibition) at 1 µM cervimab. No binding to PD-L1 or B7-H3 direct. No complement-dependent cytotoxicity (CDC) or antibody-dependent cellular cytotoxicity (ADCC) due to IgG4 isotype and S228P hinge modification.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3.1.3 Safety Pharmacology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Evaluated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/ ICH Core Battery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Cardiovascular (hERG)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GLP hERG Patch-Clamp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inhibition at ≤30 µg/mL (&gt;1000× clinical Cmax)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Irwin Battery, cynomolgus monkey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adverse CNS findings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Respiratory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Plethysmography, cynomolgus monkey IV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effect on respiratory rate, TV, or SpO2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Urinalysis in GLP toxicology studies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renal effects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 (in vivo telemetry)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GLP telemetry, cynomolgus monkey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QTc prolongation; HR, BP within normal range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3.2 Pharmacokinetics — Non-Clinical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000"/>
        <w:gridCol w:w="2560"/>
      </w:tblGrid>
      <w:tr>
        <w:trPr>
          <w:tblHeader/>
        </w:trP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Dose IV (10 mg/kg)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238 ± 18 µg/mL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Dose-proportional over 1–30 mg/kg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AUC0-inf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43,210 ± 3,100 µg·h/mL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PK confirmed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t½ (terminal)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 ± 1.8 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IgG4 FcRn-mediated recycling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 ± 0.03 mL/h/kg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clearance, typical for IgG4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 ± 8 mL/kg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tissue distribution; primarily vascular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Bioavailability (SC)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Subcutaneous formulation exploratory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Anti-Drug Antibody (ADA)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in 2/12 animals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Cynomolgus monkey (repeat dose)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titer; no impact on PK profile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3.3 Toxicology Summary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Repeat-Dose Toxicology — Cynomolgus Monkey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NOAEL / Key Finding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4-Week GLP Tox (GLP-TOX-001)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q1w × 4 doses; 0, 5, 15, 50 mg/kg; 4+2 week recovery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NOAEL: 50 mg/kg/week; No adverse findings; mild transient elevation in ALT (50 mg/kg, recovered)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13-Week GLP Tox (GLP-TOX-002)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q1w × 13 doses; 0, 5, 15, 50 mg/kg; 8-week recovery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NOAEL: 15 mg/kg/week; At 50 mg/kg: grade 1 colitis (2/6), lymphocytic pneumonitis (1/6) — consistent with mechanism-based immune-related effects; recovered with corticosteroid treatment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Embryo-Fetal Development (EFD)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q3d, gestational days 20–50; 0, 10, 30 mg/kg; cynomolgus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NOAEL (maternal): 10 mg/kg; EFD findings at 30 mg/kg: increased resorptions; immune-mediated; pregnancy warning required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Tissue Cross-Reactivity (TCR)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Immunohistochemistry; human and monkey tissue panels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Cervimab binding consistent with known PD-1 expression on T/NK cells; no unexpected off-target tissue staining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toxicology profile of cervimab is consistent with the known mechanism-based immune-related adverse events (irAEs) of PD-1 checkpoint inhibitors. No unexpected off-target toxicities were identified. A Risk Management section and proposed REMS are provided in the Clinical Sections below.</w:t>
      </w:r>
    </w:p>
    <w:p>
      <w:r>
        <w:br w:type="page"/>
      </w:r>
    </w:p>
    <w:p>
      <w:pPr>
        <w:pStyle w:val="Heading1"/>
        <w:pBdr>
          <w:bottom w:val="single" w:color="2E5F8A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CLINICAL DATA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Clinical Pharmacology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4.1.1 Pharmacokinetics — Clinical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(Geometric Mean ± CV%)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/ Dose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Cmax (Cycle 1, Day 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237 µg/mL (28%)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mg Q3W IV, mCRC patients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Non-compartmental analysis (NCA)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AUCtau (Cycle 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38,420 µg·h/mL (31%)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mg Q3W IV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t½ (terminal)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26.3 days (22%)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dose levels (50–400 mg)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2-compartment PopPK model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 (PopPK)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 L/day (inter-patient CV 35%)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(n=187)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PopPK (NONMEM)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Vss (PopPK)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L (18%)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(n=187)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Tmax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60-min infusion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IV doses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Accumulation Ratio (Rac)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2.8-fold at steady state (Cycle 4)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mg Q3W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PopPK steady-state prediction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Steady State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~Cycle 4 (Week 9)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mg Q3W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Renal Impairment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clinically meaningful effect on PK (≤30% difference in CL)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Mild-moderate renal impairment subgroup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PopPK covariate analysis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4.1.2 Pharmacodynamics — Clinical Biomarkers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PD-1 receptor occupancy: &gt;95% saturation on circulating CD8+ T cells at doses ≥100 mg Q3W, sustained throughout dosing 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Peripheral blood CD8+ T-cell activation: Significant increase in Ki-67+, granzyme B+ CD8+ T cells from baseline at Cycle 2, Day 1 (p&lt;0.001)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Serum IFN-γ and CXCL10: Dose-dependent increases; correlated with tumor response in exploratory analyses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Tumor PD-L1 CPS: Not predictive of response in dMMR/MSI-H subgroup (consistent with published literature)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Efficacy Summary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4.2.1 Phase II Efficacy — Study ACME-CERV-CRC-001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Study ACME-CERV-CRC-001 is an open-label, single-arm Phase II study evaluating cervimab monotherapy in patients with dMMR/MSI-H mCRC who have received ≥1 prior line of fluoropyrimidine-based chemotherapy. Primary endpoint: Objective Response Rate (ORR) per RECIST v1.1, independent central review.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Efficacy Endpoint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ORR (Primary; n=87)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43.7%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(33.1% – 54.7%)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confirmed PRs; 0 CRs (data at primary analysis)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Control Rate (DCR)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71.3%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(60.3% – 80.7%)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+ SD ≥ 8 weeks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Duration of Response (DOR)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 (not reached)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LB: 9.3 months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18-month median follow-up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Progression-Free Survival (PFS)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 months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(6.2 – NR)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Kaplan-Meier; 36% censored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12-Month PFS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48.3%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(37.4% – 58.5%)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Overall Survival (OS)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LB: 14.1 months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Immature; follow-up ongoing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12-Month OS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72.4%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(61.9% – 80.7%)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4.3 Safety Summary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4.3.1 Adverse Events — Integrated Safety Population (n=187)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Adverse Event 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Any Grade n (%)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≥3 n (%)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4-5 n (%)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Treatment-Emergent AE (TEAE)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 (95.2%)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(43.9%)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(11.2%)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Treatment-Related AE (TRAE)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 (82.4%)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 (21.9%)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(4.8%)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 AE (SAE)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 (33.7%)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 Leading to Discontinuation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(9.6%)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Fatalities (Treatment-Related)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(1.1%)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Immune-mediated colitis (n=1); myocarditis (n=1)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Immune-Related AE (irAE), Any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 (47.6%)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(15.0%)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(2.7%)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Colitis / Diarrhea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(20.3%)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(6.4%)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(1.1%)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Hepatitis / LFT Elevation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(13.9%)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(4.3%)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(0.5%)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Pneumonitis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(10.2%)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(3.2%)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(0.5%)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Endocrinopathies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(23.5%)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(2.1%)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Dermatitis / Rash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(16.6%)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(1.6%)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Myocarditis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(1.6%)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(1.1%)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(0.5%)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Infusion-Related Reactions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(11.8%)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(1.6%)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4.3.2 Risk Management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Mandatory irAE monitoring and management algorithm (corticosteroid protocol) provided to all investigators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Cardiac biomarker monitoring (troponin I, ECG) at baseline, Cycles 1-3, then q3 cycles — based on myocarditis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Thyroid function tests at baseline and q6 weeks for endocrinopathy surveillance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Dedicated Safety Monitoring Committee (SMC) with independent cardiologist and immunologist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Proposed REMS: Prescriber and healthcare facility certification for cervimab administration; MedGuide for patients</w:t>
      </w:r>
    </w:p>
    <w:p>
      <w:r>
        <w:br w:type="page"/>
      </w:r>
    </w:p>
    <w:p>
      <w:pPr>
        <w:pStyle w:val="Heading1"/>
        <w:pBdr>
          <w:bottom w:val="single" w:color="2E5F8A" w:sz="6" w:space="2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APPENDICES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5.1 List of Appendices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A: Cervimab Sequence Data and Structural Characterization (VH/VL amino acid sequences, disulfide bond mapping, glycan 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B: Summary of Analytical Methods and Validation Reports (DS and DP)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C: Stability Data Tables — Drug Substance (24-Month Long-Term) and Drug Product (18-Month Long-Term)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D: In-use Compatibility Study Data (IV Bags — PVC and non-PVC; IV tubing; 0.22 µm in-line filter compatibility)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E: Full Non-Clinical Study Reports (GLP Toxicology — GLP-TOX-001 and GLP-TOX-002; Safety Pharmacology)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F: Clinical Study Reports Summary — Study ACME-CERV-CRC-001 (Phase II, Interim Analysis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G: Population PK Model Report and Simulation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H: Phase III Protocol ACME-CERV-CRC-003 (Synopsis)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I: Environmental Risk Assessment (ERA) — Biological product, non-GMO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J: GMP Certificates and Site Authorizations (Manufacturing Sites)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K: Certificates of Analysis (CoA) — Representative DS and DP 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Appendix L: List of References (ICH Guidelines, FDA Guidance Documents, Published Literature)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5.2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Reg. Affairs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IND submission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Reg. Affairs / CMC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DS specifications; added 12-month stability data; expanded non-clinical section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Reg. Affairs / CMC / Clinical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 efficacy/safety data added; DS shelf-life extended to 24 months; DP in-use data added; myocarditis signal update; REMS proposal added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END OF INVESTIGATIONAL MEDICINAL PRODUCT DOSSIER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CERVIMAB IMPD v3.0 | IND 123456 | Acme Biosciences, Inc. | CONFIDENTIAL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Acme Biosciences, Inc.  |  IMPD v3.0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 w:space="1"/>
      </w:pBdr>
      <w:spacing w:after="6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INVESTIGATIONAL MEDICINAL PRODUCT DOSSIER</w:t>
    </w:r>
    <w:r>
      <w:rPr>
        <w:rFonts w:ascii="Arial" w:cs="Arial" w:eastAsia="Arial" w:hAnsi="Arial"/>
        <w:color w:val="888888"/>
        <w:sz w:val="18"/>
        <w:szCs w:val="18"/>
      </w:rPr>
      <w:t xml:space="preserve">        CERVIMAB (anti-PD-1 mAb)  |  IND No. 123456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2026-03-16T13:35:59.075Z</dcterms:created>
  <dcterms:modified xsi:type="dcterms:W3CDTF">2026-03-16T13:35:59.076Z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