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1F3864"/>
          <w:sz w:val="44"/>
          <w:szCs w:val="44"/>
        </w:rPr>
        <w:t xml:space="preserve">INVESTIGATIONAL NEW DRUG APPLICATION</w:t>
      </w:r>
    </w:p>
    <w:p>
      <w:pPr>
        <w:spacing w:before="0" w:after="80"/>
        <w:jc w:val="center"/>
      </w:pPr>
      <w:r>
        <w:rPr>
          <w:rFonts w:ascii="Arial" w:cs="Arial" w:eastAsia="Arial" w:hAnsi="Arial"/>
          <w:b/>
          <w:bCs/>
          <w:color w:val="2E5F8A"/>
          <w:sz w:val="36"/>
          <w:szCs w:val="36"/>
        </w:rPr>
        <w:t xml:space="preserve">IND AMENDMENT SUBMISSION</w:t>
      </w:r>
    </w:p>
    <w:p>
      <w:pPr>
        <w:spacing w:before="0" w:after="240"/>
        <w:jc w:val="center"/>
      </w:pPr>
      <w:r>
        <w:rPr>
          <w:rFonts w:ascii="Arial" w:cs="Arial" w:eastAsia="Arial" w:hAnsi="Arial"/>
          <w:color w:val="555555"/>
          <w:sz w:val="28"/>
          <w:szCs w:val="28"/>
        </w:rPr>
        <w:t xml:space="preserve">Amendment No. 012  —  Protocol Amendment &amp; Safety Report</w:t>
      </w:r>
    </w:p>
    <w:p>
      <w:pPr>
        <w:spacing w:before="0" w:after="240"/>
        <w:jc w:val="center"/>
      </w:pPr>
      <w:r>
        <w:rPr>
          <w:color w:val="2E5F8A"/>
          <w:sz w:val="24"/>
          <w:szCs w:val="24"/>
        </w:rPr>
        <w:t xml:space="preserve">────────────────────────────────────────</w:t>
      </w:r>
    </w:p>
    <w:p>
      <w:pPr>
        <w:spacing w:before="0" w:after="80"/>
        <w:jc w:val="center"/>
      </w:pPr>
      <w:r>
        <w:rPr>
          <w:rFonts w:ascii="Arial" w:cs="Arial" w:eastAsia="Arial" w:hAnsi="Arial"/>
          <w:b/>
          <w:bCs/>
          <w:color w:val="1F3864"/>
          <w:sz w:val="34"/>
          <w:szCs w:val="34"/>
        </w:rPr>
        <w:t xml:space="preserve">CERVIMAB (Anti-PD-1 Monoclonal Antibody)</w:t>
      </w:r>
    </w:p>
    <w:p>
      <w:pPr>
        <w:spacing w:before="0" w:after="360"/>
        <w:jc w:val="center"/>
      </w:pPr>
      <w:r>
        <w:rPr>
          <w:rFonts w:ascii="Arial" w:cs="Arial" w:eastAsia="Arial" w:hAnsi="Arial"/>
          <w:color w:val="2E5F8A"/>
          <w:sz w:val="26"/>
          <w:szCs w:val="26"/>
        </w:rPr>
        <w:t xml:space="preserve">dMMR/MSI-H Metastatic Colorectal Cancer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Acme Biosciences, Inc., 1000 Biotech Drive, Cambridge, MA 02142</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IND Number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123456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Amendment Number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012</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Amendment Type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Protocol Amendment + Safety Report (IND Safety Report)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March 14,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FDA Recipient Division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Division of Oncology Products 1 (DOP1), CDER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Regulatory Affairs Contact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 Jane Regulatory, VP Regulatory Affairs (+1 617-555-0100)</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Primary Regulatory Basis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 CFR 312.30 (Protocol Amendments); 21 CFR 312.32 (IND Safety Reports)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Amendment Summary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Phase III protocol amendment (ACME-CERV-CRC-003) with updated eligibility criteria and cardiac monitoring; 2) Urgent IND Safety Report: myocarditis signal from Phase II study; 3) Updated Investigator Brochure reference (IB v4.0 filed separately)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E0" w:val="clear"/>
            <w:tcMar>
              <w:top w:type="dxa" w:w="100"/>
              <w:left w:type="dxa" w:w="180"/>
              <w:bottom w:type="dxa" w:w="100"/>
              <w:right w:type="dxa" w:w="180"/>
            </w:tcMar>
          </w:tcPr>
          <w:p>
            <w:r>
              <w:rPr>
                <w:rFonts w:ascii="Arial" w:cs="Arial" w:eastAsia="Arial" w:hAnsi="Arial"/>
                <w:b/>
                <w:bCs/>
                <w:sz w:val="20"/>
                <w:szCs w:val="20"/>
              </w:rPr>
              <w:t xml:space="preserve">IMPORTANT: This amendment includes an IND Safety Report for unexpected serious suspected adverse reactions (SUSARs) as required per 21 CFR 312.32(c)(1)(i). FDA review and sponsor response timelines apply. See Section 4.</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1. INTRODUCTION AND PURPOSE OF AMENDMENT</w:t>
      </w:r>
    </w:p>
    <w:p>
      <w:pPr>
        <w:spacing w:before="60" w:after="60"/>
        <w:jc w:val="both"/>
      </w:pPr>
      <w:r>
        <w:rPr>
          <w:rFonts w:ascii="Arial" w:cs="Arial" w:eastAsia="Arial" w:hAnsi="Arial"/>
          <w:sz w:val="22"/>
          <w:szCs w:val="22"/>
        </w:rPr>
        <w:t xml:space="preserve">Acme Biosciences, Inc. (the Sponsor) submits this IND Amendment (Amendment No. 012) to IND 123456 for Cervimab, an investigational fully human IgG4 anti-PD-1 monoclonal antibody, in the treatment of dMMR/MSI-H metastatic colorectal cancer (mCRC). This amendment is submitted pursuant to 21 CFR 312.30 (Protocol Amendments) and 21 CFR 312.32 (IND Safety Reports).</w:t>
      </w:r>
    </w:p>
    <w:p>
      <w:pPr>
        <w:spacing w:before="60" w:after="60"/>
      </w:pPr>
      <w:r>
        <w:t xml:space="preserve"/>
      </w:r>
    </w:p>
    <w:p>
      <w:pPr>
        <w:spacing w:before="60" w:after="60"/>
        <w:jc w:val="both"/>
      </w:pPr>
      <w:r>
        <w:rPr>
          <w:rFonts w:ascii="Arial" w:cs="Arial" w:eastAsia="Arial" w:hAnsi="Arial"/>
          <w:sz w:val="22"/>
          <w:szCs w:val="22"/>
        </w:rPr>
        <w:t xml:space="preserve">The purpose of this amendment is threefold:</w:t>
      </w:r>
    </w:p>
    <w:p>
      <w:pPr>
        <w:pStyle w:val="ListParagraph"/>
        <w:numPr>
          <w:ilvl w:val="0"/>
          <w:numId w:val="2"/>
        </w:numPr>
        <w:spacing w:before="40" w:after="40"/>
      </w:pPr>
      <w:r>
        <w:rPr>
          <w:rFonts w:ascii="Arial" w:cs="Arial" w:eastAsia="Arial" w:hAnsi="Arial"/>
          <w:sz w:val="22"/>
          <w:szCs w:val="22"/>
        </w:rPr>
        <w:t xml:space="preserve">Protocol Amendment to Study ACME-CERV-CRC-003 (Phase III, randomized controlled trial): Modifications to eligibility criteria (cardiac exclusion), addition of mandatory cardiac surveillance assessments, and revision of the Dose Modification Guidelines to include a formalized immune-mediated myocarditis management algorithm.</w:t>
      </w:r>
    </w:p>
    <w:p>
      <w:pPr>
        <w:pStyle w:val="ListParagraph"/>
        <w:numPr>
          <w:ilvl w:val="0"/>
          <w:numId w:val="2"/>
        </w:numPr>
        <w:spacing w:before="40" w:after="40"/>
      </w:pPr>
      <w:r>
        <w:rPr>
          <w:rFonts w:ascii="Arial" w:cs="Arial" w:eastAsia="Arial" w:hAnsi="Arial"/>
          <w:sz w:val="22"/>
          <w:szCs w:val="22"/>
        </w:rPr>
        <w:t xml:space="preserve">IND Safety Report: Reporting of two (2) treatment-related cases of immune-mediated myocarditis, including one fatal case, identified in the Phase II Study ACME-CERV-CRC-001 since the last IND annual report submission (Amendment No. 010, September 2025).</w:t>
      </w:r>
    </w:p>
    <w:p>
      <w:pPr>
        <w:pStyle w:val="ListParagraph"/>
        <w:numPr>
          <w:ilvl w:val="0"/>
          <w:numId w:val="2"/>
        </w:numPr>
        <w:spacing w:before="40" w:after="40"/>
      </w:pPr>
      <w:r>
        <w:rPr>
          <w:rFonts w:ascii="Arial" w:cs="Arial" w:eastAsia="Arial" w:hAnsi="Arial"/>
          <w:sz w:val="22"/>
          <w:szCs w:val="22"/>
        </w:rPr>
        <w:t xml:space="preserve">Reference to Updated Investigator Brochure: IB Version 4.0 (filed as separate IND submission, Amendment No. 011) incorporates updated cardiac safety information; this amendment cross-references IB v4.0 as the authoritative safety reference for all ongoing studies under this IND.</w:t>
      </w:r>
    </w:p>
    <w:p>
      <w:pPr>
        <w:spacing w:before="60" w:after="60"/>
      </w:pPr>
      <w:r>
        <w:t xml:space="preserve"/>
      </w:r>
    </w:p>
    <w:p>
      <w:pPr>
        <w:spacing w:before="60" w:after="60"/>
        <w:jc w:val="both"/>
      </w:pPr>
      <w:r>
        <w:rPr>
          <w:rFonts w:ascii="Arial" w:cs="Arial" w:eastAsia="Arial" w:hAnsi="Arial"/>
          <w:sz w:val="22"/>
          <w:szCs w:val="22"/>
        </w:rPr>
        <w:t xml:space="preserve">This amendment does not modify the IND drug substance or drug product sections (IMPD v3.0, on file). The Sponsor has notified all active investigators per 21 CFR 312.30(b)(3) and requests FDA acknowledgment per 21 CFR 312.30(d) prior to implementing Protocol Version 3.0.</w:t>
      </w:r>
    </w:p>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2. PROTOCOL AMENDMENT — STUDY ACME-CERV-CRC-003</w:t>
      </w:r>
    </w:p>
    <w:p>
      <w:pPr>
        <w:pStyle w:val="Heading2"/>
        <w:spacing w:before="240" w:after="80"/>
      </w:pPr>
      <w:r>
        <w:rPr>
          <w:rFonts w:ascii="Arial" w:cs="Arial" w:eastAsia="Arial" w:hAnsi="Arial"/>
          <w:b/>
          <w:bCs/>
          <w:color w:val="2E5F8A"/>
          <w:sz w:val="24"/>
          <w:szCs w:val="24"/>
        </w:rPr>
        <w:t xml:space="preserve">2.1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Title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Phase III, Randomized, Open-Label, Active-Controlled Study of Cervimab Versus Investigator's Choice Chemotherapy (FOLFOX or FOLFIRI) in Patients with dMMR/MSI-H Metastatic Colorectal Cancer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Protocol Number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ACME-CERV-CRC-003</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Protocol Version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3.0 (this amendment; supersedes v2.1 dated November 2025)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Phase III</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Design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Randomized, open-label, active-controlled; 1:1 allocation (Cervimab : Chemotherapy)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Primary Endpoint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Progression-Free Survival (PFS) per RECIST v1.1, blinded independent central review (BICR)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Key Secondary Endpoints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Overall Survival (OS); ORR; DOR; Patient-Reported Outcomes (PRO)</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Sample Size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n=420 (210 per arm); 80% power; HR = 0.60; α = 0.025 one-sided (updated, see Section 2.3)</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Cervimab Dose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200 mg IV Q3W (30-60 min infusion) until disease progression or unacceptable toxicity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Sites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~55 sites globally (US, EU, Canada, Australia)</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2.2 Nature and Rationale for Protocol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80"/>
              <w:bottom w:type="dxa" w:w="100"/>
              <w:right w:type="dxa" w:w="180"/>
            </w:tcMar>
          </w:tcPr>
          <w:p>
            <w:r>
              <w:rPr>
                <w:rFonts w:ascii="Arial" w:cs="Arial" w:eastAsia="Arial" w:hAnsi="Arial"/>
                <w:b/>
                <w:bCs/>
                <w:sz w:val="20"/>
                <w:szCs w:val="20"/>
              </w:rPr>
              <w:t xml:space="preserve">All changes described below are reflected in Protocol Version 3.0 (Appendix A, attached). Changed sections are shown in tracked changes relative to Protocol v2.1.</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2.2.1 Amendment to Exclusion Criteria (Section 4.2 of Protocol)</w:t>
      </w:r>
    </w:p>
    <w:p>
      <w:pPr>
        <w:spacing w:before="60" w:after="60"/>
        <w:jc w:val="both"/>
      </w:pPr>
      <w:r>
        <w:rPr>
          <w:rFonts w:ascii="Arial" w:cs="Arial" w:eastAsia="Arial" w:hAnsi="Arial"/>
          <w:sz w:val="22"/>
          <w:szCs w:val="22"/>
        </w:rPr>
        <w:t xml:space="preserve">Rationale: Following identification of immune-mediated myocarditis cases in the Phase II study (see Section 4), the Sponsor and FDA Oncology Liaison (teleconference February 28, 2026) agreed that additional cardiac exclusion criteria are warranted to protect patients at higher baseline risk.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6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Previous Language (v2.1)</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Revised Language (v3.0)</w:t>
            </w:r>
          </w:p>
        </w:tc>
        <w:tc>
          <w:tcPr>
            <w:tcW w:type="dxa" w:w="3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Exclusion 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or prior documented autoimmune disease requiring systemic treatment within 2 years"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or prior documented autoimmune disease requiring systemic treatment within 2 years, OR any history of immune-mediated cardiac disease (myocarditis, pericarditis, endocarditis of autoimmune etiology)"</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Cardiac safety signal; irAE myocarditis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Exclusion 13 (NEW)</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"Baseline troponin I or troponin T above the upper limit of normal (ULN) per institutional reference range at screening, unless deemed clinically insignificant by cardiologist review and approved by Medical Monitor"</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Baseline cardiac biomarker monitoring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Exclusion 14 (NEW)</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or uncontrolled cardiac arrhythmia requiring antiarrhythmic therapy (rate control agents permitted); NYHA Class III or IV heart failure; myocardial infarction within 6 months of enrollment"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Cardiac risk stratification</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Exclusion 8 (Revised)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"ECOG performance status &gt; 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"ECOG performance status &gt; 2 (no change) — CLARIFICATION: Patients with PS 2 due to cardiac comorbidity must undergo Cardiology consultation prior to enrollment."</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Clarification for cardiac subgroup</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2.2.2 Amendment to Assessments Schedule (Section 7.1 — Schedule of Assessments)</w:t>
      </w:r>
    </w:p>
    <w:p>
      <w:pPr>
        <w:spacing w:before="60" w:after="60"/>
        <w:jc w:val="both"/>
      </w:pPr>
      <w:r>
        <w:rPr>
          <w:rFonts w:ascii="Arial" w:cs="Arial" w:eastAsia="Arial" w:hAnsi="Arial"/>
          <w:sz w:val="22"/>
          <w:szCs w:val="22"/>
        </w:rPr>
        <w:t xml:space="preserve">Rationale: To enable early detection of immune-mediated myocarditis, which can be rapidly progressive, the cardiac monitoring schedule is substantially enhanced.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Previous Schedule (v2.1)</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Revised Schedule (v3.0)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Troponin I (high-sensitivity)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required (not in SOA)</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(within 7 days of Cycle 1 Day 1); Cycle 1 D8 and D15; Cycle 2 D1 and D8; then q3 cycles (every 9 weeks). Unscheduled if cardiac symptoms.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NT-proBNP</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Baseline and q3 cycles (every 9 weeks); unscheduled if cardiac symptoms.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12-Lead ECG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only</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Cycle 1 D15; Cycle 2 D1; q6 cycles thereafter. Immediate ECG if troponin elevation or symptoms.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Echocardiography (ECHO)</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Baseline (within 28 days before Cycle 1) in patients with any cardiac history or baseline troponin elevation. Repeat ECHO at 6 weeks for these patients. All patients: ECHO if troponin &gt; 2×ULN or new cardiac symptoms.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Cardiology Consultation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Mandatory before enrollment for patients with PS 2 due to cardiac disease. Triggered if troponin &gt; 2×ULN at any point.</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2.2.3 New Section 9.4 — Immune-Mediated Myocarditis Management Algorithm (Added to Protocol v3.0)</w:t>
      </w:r>
    </w:p>
    <w:p>
      <w:pPr>
        <w:spacing w:before="60" w:after="60"/>
        <w:jc w:val="both"/>
      </w:pPr>
      <w:r>
        <w:rPr>
          <w:rFonts w:ascii="Arial" w:cs="Arial" w:eastAsia="Arial" w:hAnsi="Arial"/>
          <w:sz w:val="22"/>
          <w:szCs w:val="22"/>
        </w:rPr>
        <w:t xml:space="preserve">A new dedicated section (Section 9.4) has been added to Protocol v3.0 to provide a standardized, stepwise management algorithm for immune-mediated myocarditis, replacing the brief text previously included in Section 9 (Adverse Event Management). The full text of Section 9.4 is provided in Appendix B of this amendment. Key elements include:</w:t>
      </w:r>
    </w:p>
    <w:p>
      <w:pPr>
        <w:pStyle w:val="ListParagraph"/>
        <w:numPr>
          <w:ilvl w:val="0"/>
          <w:numId w:val="3"/>
        </w:numPr>
        <w:spacing w:before="40" w:after="40"/>
      </w:pPr>
      <w:r>
        <w:rPr>
          <w:rFonts w:ascii="Arial" w:cs="Arial" w:eastAsia="Arial" w:hAnsi="Arial"/>
          <w:sz w:val="22"/>
          <w:szCs w:val="22"/>
        </w:rPr>
        <w:t xml:space="preserve">Grade 1 (asymptomatic troponin elevation ≤ 2×ULN): Withhold cervimab; serial troponin q48h; cardiology consult; echocardiography. Resume if troponin returns to ≤1×ULN and no symptoms.</w:t>
      </w:r>
    </w:p>
    <w:p>
      <w:pPr>
        <w:pStyle w:val="ListParagraph"/>
        <w:numPr>
          <w:ilvl w:val="0"/>
          <w:numId w:val="3"/>
        </w:numPr>
        <w:spacing w:before="40" w:after="40"/>
      </w:pPr>
      <w:r>
        <w:rPr>
          <w:rFonts w:ascii="Arial" w:cs="Arial" w:eastAsia="Arial" w:hAnsi="Arial"/>
          <w:sz w:val="22"/>
          <w:szCs w:val="22"/>
        </w:rPr>
        <w:t xml:space="preserve">Grade 2 (symptomatic or troponin 2–10×ULN): Withhold cervimab; admit to monitored bed; methylprednisolone 1 mg/kg/day IV; cardiology co-management; cardiac MRI if available. Resume at Grade ≤1 only after multidisciplinary review.</w:t>
      </w:r>
    </w:p>
    <w:p>
      <w:pPr>
        <w:pStyle w:val="ListParagraph"/>
        <w:numPr>
          <w:ilvl w:val="0"/>
          <w:numId w:val="3"/>
        </w:numPr>
        <w:spacing w:before="40" w:after="40"/>
      </w:pPr>
      <w:r>
        <w:rPr>
          <w:rFonts w:ascii="Arial" w:cs="Arial" w:eastAsia="Arial" w:hAnsi="Arial"/>
          <w:sz w:val="22"/>
          <w:szCs w:val="22"/>
        </w:rPr>
        <w:t xml:space="preserve">Grade 3–4 (hemodynamic compromise, ventricular arrhythmia, or troponin &gt;10×ULN): PERMANENTLY DISCONTINUE cervimab; methylprednisolone 500–1000 mg/day IV; cardiology ICU-level care; consider mycophenolate mofetil or IVIG for steroid-refractory cases. Do not rechallenge.</w:t>
      </w:r>
    </w:p>
    <w:p>
      <w:pPr>
        <w:pStyle w:val="ListParagraph"/>
        <w:numPr>
          <w:ilvl w:val="0"/>
          <w:numId w:val="3"/>
        </w:numPr>
        <w:spacing w:before="40" w:after="40"/>
      </w:pPr>
      <w:r>
        <w:rPr>
          <w:rFonts w:ascii="Arial" w:cs="Arial" w:eastAsia="Arial" w:hAnsi="Arial"/>
          <w:sz w:val="22"/>
          <w:szCs w:val="22"/>
        </w:rPr>
        <w:t xml:space="preserve">Fatal / Grade 5: Autopsy strongly recommended; mandatory SAE/SUSAR reporting within 7 days; notify FDA.</w:t>
      </w:r>
    </w:p>
    <w:p>
      <w:pPr>
        <w:spacing w:before="60" w:after="60"/>
      </w:pPr>
      <w:r>
        <w:t xml:space="preserve"/>
      </w:r>
    </w:p>
    <w:p>
      <w:pPr>
        <w:pStyle w:val="Heading3"/>
        <w:spacing w:before="180" w:after="60"/>
      </w:pPr>
      <w:r>
        <w:rPr>
          <w:rFonts w:ascii="Arial" w:cs="Arial" w:eastAsia="Arial" w:hAnsi="Arial"/>
          <w:b/>
          <w:bCs/>
          <w:color w:val="444444"/>
          <w:sz w:val="22"/>
          <w:szCs w:val="22"/>
        </w:rPr>
        <w:t xml:space="preserve">2.2.4 Statistical Section Update (Section 10) — Sample Size Re-estimation</w:t>
      </w:r>
    </w:p>
    <w:p>
      <w:pPr>
        <w:spacing w:before="60" w:after="60"/>
        <w:jc w:val="both"/>
      </w:pPr>
      <w:r>
        <w:rPr>
          <w:rFonts w:ascii="Arial" w:cs="Arial" w:eastAsia="Arial" w:hAnsi="Arial"/>
          <w:sz w:val="22"/>
          <w:szCs w:val="22"/>
        </w:rPr>
        <w:t xml:space="preserve">Based on updated maturity of Phase II PFS data (median PFS 8.7 months, Arm A in ACME-CERV-CRC-001), a pre-planned sensitivity analysis of sample size assumptions was performed by the independent statistician (blinded to treatment arm allocation in Phase III). The revised assumptions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Previous (v2.1)</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Revised (v3.0)</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Control arm median PFS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months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 months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Updated based on interim Phase III DSMC report; median PFS in chemotherapy arm</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Experimental arm median PFS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9.2 months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9.7 months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Updated from Phase II data maturity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Hazard Ratio (HR)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0.60 (unchanged)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assumption maintained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Number of PFS Events Required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290 events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298 events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Adjusted for updated assumptions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Sample Size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n=390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n=420</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Adjusted; additional 30 patients to be enrolled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Power</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80% (maintained)</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At α = 0.025 one-sided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Planned Enrollment Duration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 months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 months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Extended by 2 months to reach revised sample size</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3. IND AMENDMENT HISTORY — KEY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500"/>
        <w:gridCol w:w="42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Amendment #</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Amendment Type</w:t>
            </w:r>
          </w:p>
        </w:tc>
        <w:tc>
          <w:tcPr>
            <w:tcW w:type="dxa" w:w="4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2022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Original IND Submission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IND; Phase I FIH protocol ACME-CERV-001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January 2023</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Protocol Amendment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 dose escalation update; DLT criteria revised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August 2023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Annual Report + Protocol Amend.</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I complete; Phase II protocol ACME-CERV-CRC-001 submitted; IB v2.0</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March 2024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Safety Report + CMC Update</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 Safety Report: Grade 4 colitis (2 cases); DS shelf-life update (24 mo)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009</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October 2024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Protocol Amendment + Annual Report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III protocol ACME-CERV-CRC-003 v1.0; Phase II IA1 efficacy data summary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September 2025</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Annual Report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II IA2 efficacy data; updated non-clinical (EFD study); IB v3.0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IB Update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IB v4.0: Updated cardiac safety section; new myocarditis cases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012 (THIS)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Protocol Amendment + Safety Report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III Protocol v3.0 (cardiac); Urgent SUSAR Report (myocarditis); IB v4.0 cross-reference</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4. IND SAFETY REPORT — IMMUNE-MEDIATED MYOCARDITIS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E0" w:val="clear"/>
            <w:tcMar>
              <w:top w:type="dxa" w:w="100"/>
              <w:left w:type="dxa" w:w="180"/>
              <w:bottom w:type="dxa" w:w="100"/>
              <w:right w:type="dxa" w:w="180"/>
            </w:tcMar>
          </w:tcPr>
          <w:p>
            <w:r>
              <w:rPr>
                <w:rFonts w:ascii="Arial" w:cs="Arial" w:eastAsia="Arial" w:hAnsi="Arial"/>
                <w:b/>
                <w:bCs/>
                <w:sz w:val="20"/>
                <w:szCs w:val="20"/>
              </w:rPr>
              <w:t xml:space="preserve">URGENT IND SAFETY REPORT — Submitted per 21 CFR 312.32(c)(1)(i): Unexpected serious suspected adverse reaction (SUSAR) with fatal outcome. Initial FDA notification provided by telephone on March 7, 2026. This written report submitted within 15 calendar days of initial notification.</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4.1 Regulatory Basis and Reporting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Reporting Obligation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 CFR 312.32(c)(1)(i): Fatal or life-threatening unexpected serious suspected adverse reactions — written report within 15 calendar days of initial identification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Initial Telephone Notification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March 7, 2026, 2:00 PM EST — Notified FDA DOP1 Oncology Division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FDA Contact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 [FDA Reviewer Name], DOP1, CDER (per IND correspondence file)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Written Report Due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March 22,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Written Report Submission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March 14, 2026 (submitted 8 days early)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Prior IB Version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 v3.0 (September 2025) — described myocarditis as rare possible risk</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Updated IB Version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IB v4.0 (February 2026, Amendment 011) — upgraded myocarditis to identified important risk; updated monitoring guidance</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4.2 Case Narratives</w:t>
      </w:r>
    </w:p>
    <w:p>
      <w:pPr>
        <w:pStyle w:val="Heading3"/>
        <w:spacing w:before="180" w:after="60"/>
      </w:pPr>
      <w:r>
        <w:rPr>
          <w:rFonts w:ascii="Arial" w:cs="Arial" w:eastAsia="Arial" w:hAnsi="Arial"/>
          <w:b/>
          <w:bCs/>
          <w:color w:val="444444"/>
          <w:sz w:val="22"/>
          <w:szCs w:val="22"/>
        </w:rPr>
        <w:t xml:space="preserve">Case 1 (Fatal) — Patient ID: CERV-001-042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Site / Patient ID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Site US-007 (Boston, MA) / CERV-001-042</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Age / Sex / ECOG PS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58 years / Male / PS 1</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Relevant Medical History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dMMR mCRC (MLH1 deficient by IHC); prior FOLFOX × 6 cycles; no prior cardiac disease; non-smoker; BMI 24</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Baseline Troponin I</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 ng/mL (ULN 0.04 ng/mL) — within normal limits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Baseline ECG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Normal sinus rhythm; no ST/T wave abnormalities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Cervimab Exposure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Cervimab 200 mg Q3W; Cycle 4 Day 1 administered without incident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Onset of Event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Day 17 post-Cycle 4 Day 1 (cumulative duration on study: ~10 months)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Initial Presentation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Acute onset dyspnea, chest pressure, diaphoresis; presented to Emergency Department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Initial Diagnostics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ECG: diffuse ST elevations; Troponin I: 8.7 ng/mL (&gt;200×ULN); ECHO: LVEF 25%, diffuse hypokinesis; Cardiac MRI: extensive myocardial edema and late gadolinium enhancement consistent with acute myocarditis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Diagnosis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Immune-mediated myocarditis, Grade 4 (hemodynamic compromise requiring vasopressors)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Cervimab permanently discontinued; methylprednisolone 1000 mg/day IV × 3 days, then oral prednisone taper; IVIG (2 g/kg over 2 days); mechanical circulatory support (IABP); cardiology and critical care co-management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FATAL — Patient expired on Day 22 post-Cycle 4 due to cardiogenic shock refractory to maximal support. Autopsy confirmed immune-mediated myocarditis with diffuse lymphocytic infiltration; no evidence of tumor infiltration of myocardium.</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Causality Assessment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Sponsor assessment: Definitely related to cervimab (consistent with known PD-1 inhibitor mechanism-based irAE)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Expectedness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Unexpected per IB v3.0 (fatal outcome not described); Expected per IB v4.0 (filed February 2026 prior to this event)</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Case 2 (Recovered) — Patient ID: CERV-001-071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Site / Patient ID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Site EU-012 (Amsterdam, Netherlands) / CERV-001-071</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Age / Sex / ECOG PS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64 years / Female / PS 1</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Relevant Medical History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dMMR mCRC (MSH2/MSH6 loss by IHC); prior FOLFIRI × 8 cycles; hypothyroidism (levothyroxine); no cardiac history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Cervimab Exposure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Cervimab 200 mg Q3W; Cycle 6 Day 1</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Onset of Event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Day 11 post-Cycle 6 Day 1 (cumulative: ~16 months on study)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Initial Presentation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Exertional fatigue, palpitations; troponin I at scheduled Cycle 7 Day 1 assessment: 1.8 ng/mL (45×ULN)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Diagnosis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Immune-mediated myocarditis, Grade 2 (asymptomatic at rest; elevated biomarkers)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Cervimab withheld; methylprednisolone 1 mg/kg/day IV × 7 days, then oral taper; cardiology co-management; serial troponin monitoring</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RECOVERED — Troponin normalized to 0.03 ng/mL (below ULN) by Day 28; LVEF remained 60% throughout; cervimab NOT restarted per investigator discretion and sponsor recommendation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Causality Assessment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Sponsor assessment: Probably related to cervimab</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Expectedness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Expected per IB v4.0 (filed prior to this event)</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4.3 Risk Characterization and Clinical Context</w:t>
      </w:r>
    </w:p>
    <w:p>
      <w:pPr>
        <w:spacing w:before="60" w:after="60"/>
        <w:jc w:val="both"/>
      </w:pPr>
      <w:r>
        <w:rPr>
          <w:rFonts w:ascii="Arial" w:cs="Arial" w:eastAsia="Arial" w:hAnsi="Arial"/>
          <w:sz w:val="22"/>
          <w:szCs w:val="22"/>
        </w:rPr>
        <w:t xml:space="preserve">In the integrated safety population of the cervimab clinical program (n=187), immune-mediated myocarditis has been observed in 3 patients (1.6%), of which 2 were Grade 3-4 (1.1%) and 1 was fatal (0.5%). For context, published rates of myocarditis with approved PD-1/PD-L1 inhibitors range from 0.04% to 1.4% (any grade), with Grade 3-4 rates of 0.3-1.1% and case fatality rates of approximately 40-50% for Grade 3-4 cases.</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Myocarditis has occurred as early as Cycle 2 and as late as Cycle 11 in the cervimab program; there is no clear dose-response relationship.</w:t>
      </w:r>
    </w:p>
    <w:p>
      <w:pPr>
        <w:pStyle w:val="ListParagraph"/>
        <w:numPr>
          <w:ilvl w:val="0"/>
          <w:numId w:val="3"/>
        </w:numPr>
        <w:spacing w:before="40" w:after="40"/>
      </w:pPr>
      <w:r>
        <w:rPr>
          <w:rFonts w:ascii="Arial" w:cs="Arial" w:eastAsia="Arial" w:hAnsi="Arial"/>
          <w:sz w:val="22"/>
          <w:szCs w:val="22"/>
        </w:rPr>
        <w:t xml:space="preserve">Risk factors identified in cervimab program cases: Male sex (2/3 cases), prior anthracycline exposure (0/3 — no prior anthracyclines in identified cases), absence of baseline cardiac disease in all 3 cases (highlighting that baseline screening does not eliminate risk).</w:t>
      </w:r>
    </w:p>
    <w:p>
      <w:pPr>
        <w:pStyle w:val="ListParagraph"/>
        <w:numPr>
          <w:ilvl w:val="0"/>
          <w:numId w:val="3"/>
        </w:numPr>
        <w:spacing w:before="40" w:after="40"/>
      </w:pPr>
      <w:r>
        <w:rPr>
          <w:rFonts w:ascii="Arial" w:cs="Arial" w:eastAsia="Arial" w:hAnsi="Arial"/>
          <w:sz w:val="22"/>
          <w:szCs w:val="22"/>
        </w:rPr>
        <w:t xml:space="preserve">Comprehensive review of all cardiac AEs across the cervimab program by an independent Cardiac Safety Committee (CSC) is underway and a full CSC report will be provided to FDA as a follow-up submission within 60 days.</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4.4 Sponsor Actions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Completion / Target Date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Updated Investigator Brochure (IB v4.0)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February 2026 (Amendment No. 011)</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Urgent Safety Notification to All Investigators (CIOMS III-format)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Completed</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March 8, 2026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Institutional Review Board (IRB/IEC) Notification per 21 CFR 312.32(c)(2)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9, 2026</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Protocol Amendment v3.0 (cardiac exclusion, enhanced monitoring, myocarditis algorithm)</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Submitted in this amendment</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March 14, 2026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Independent Cardiac Safety Committee Review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Report expected June 2026</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III Study Enrollment Pause (pending FDA feedback)</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Voluntary enrollment pause at 187 patients since March 7, 2026</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Awaiting FDA response to resume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Pharmacovigilance Expedited Report (eMDR / CIOMS I) — Regulatory Agencies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Submitted to EMA, Health Canada, TGA within required timelines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PubMed/FAERS Literature Review — Cervimab-Associated Myocarditis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Completed</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Background review in Appendix C</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5. CMC INFORMATION (NO CHANGES THIS AMENDMENT)</w:t>
      </w:r>
    </w:p>
    <w:p>
      <w:pPr>
        <w:spacing w:before="60" w:after="60"/>
        <w:jc w:val="both"/>
      </w:pPr>
      <w:r>
        <w:rPr>
          <w:rFonts w:ascii="Arial" w:cs="Arial" w:eastAsia="Arial" w:hAnsi="Arial"/>
          <w:sz w:val="22"/>
          <w:szCs w:val="22"/>
        </w:rPr>
        <w:t xml:space="preserve">No changes to the drug substance (DS) or drug product (DP) sections are submitted with this amendment. The current approved CMC sections on file with FDA (IMPD v3.0, Amendment No. 010) remain in effect. The Sponsor confirms that cervimab drug product lots used in all ongoing studies continue to meet all in-date specifications per the approved release testing program.</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5.1 Active IND Lots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000"/>
        <w:gridCol w:w="29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Lot Number</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Manufacture Date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Expiry Date</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Assigned Study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CERV-DP-0031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Drug Product (100 mg/10 mL)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January 2025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ACME-CERV-CRC-001 Phase II</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CERV-DP-0034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Drug Product (100 mg/10 mL)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June 2025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December 2026</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ACME-CERV-CRC-003 Phase III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CERV-DP-0035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Drug Product (100 mg/10 mL)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September 2025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2027</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ACME-CERV-CRC-003 Phase III</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CERV-DS-0018</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Drug Substance (50 mg/mL bulk)</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October 2025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October 2027</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Reserve / future DP manufacturing</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6. REGULATORY REQUESTS AND PROPOSED NEXT STEPS</w:t>
      </w:r>
    </w:p>
    <w:p>
      <w:pPr>
        <w:pStyle w:val="Heading2"/>
        <w:spacing w:before="240" w:after="80"/>
      </w:pPr>
      <w:r>
        <w:rPr>
          <w:rFonts w:ascii="Arial" w:cs="Arial" w:eastAsia="Arial" w:hAnsi="Arial"/>
          <w:b/>
          <w:bCs/>
          <w:color w:val="2E5F8A"/>
          <w:sz w:val="24"/>
          <w:szCs w:val="24"/>
        </w:rPr>
        <w:t xml:space="preserve">6.1 Sponsor Requests to FDA</w:t>
      </w:r>
    </w:p>
    <w:p>
      <w:pPr>
        <w:pStyle w:val="ListParagraph"/>
        <w:numPr>
          <w:ilvl w:val="0"/>
          <w:numId w:val="2"/>
        </w:numPr>
        <w:spacing w:before="40" w:after="40"/>
      </w:pPr>
      <w:r>
        <w:rPr>
          <w:rFonts w:ascii="Arial" w:cs="Arial" w:eastAsia="Arial" w:hAnsi="Arial"/>
          <w:sz w:val="22"/>
          <w:szCs w:val="22"/>
        </w:rPr>
        <w:t xml:space="preserve">Protocol Amendment Acknowledgment: Per 21 CFR 312.30(d), the Sponsor requests FDA written acknowledgment that Protocol Version 3.0 for Study ACME-CERV-CRC-003 may proceed. The Sponsor voluntarily placed Phase III enrollment on hold pending FDA response and requests FDA review within 30 days.</w:t>
      </w:r>
    </w:p>
    <w:p>
      <w:pPr>
        <w:pStyle w:val="ListParagraph"/>
        <w:numPr>
          <w:ilvl w:val="0"/>
          <w:numId w:val="2"/>
        </w:numPr>
        <w:spacing w:before="40" w:after="40"/>
      </w:pPr>
      <w:r>
        <w:rPr>
          <w:rFonts w:ascii="Arial" w:cs="Arial" w:eastAsia="Arial" w:hAnsi="Arial"/>
          <w:sz w:val="22"/>
          <w:szCs w:val="22"/>
        </w:rPr>
        <w:t xml:space="preserve">Enrollment Hold Clarification: If FDA determines a Clinical Hold is warranted under 21 CFR 312.42(b), the Sponsor requests expedited notification and a Type A meeting to discuss criteria for lifting such a hold.</w:t>
      </w:r>
    </w:p>
    <w:p>
      <w:pPr>
        <w:pStyle w:val="ListParagraph"/>
        <w:numPr>
          <w:ilvl w:val="0"/>
          <w:numId w:val="2"/>
        </w:numPr>
        <w:spacing w:before="40" w:after="40"/>
      </w:pPr>
      <w:r>
        <w:rPr>
          <w:rFonts w:ascii="Arial" w:cs="Arial" w:eastAsia="Arial" w:hAnsi="Arial"/>
          <w:sz w:val="22"/>
          <w:szCs w:val="22"/>
        </w:rPr>
        <w:t xml:space="preserve">Statistical Analysis Plan (SAP) — Pre-submission: The Sponsor proposes a pre-submission meeting with FDA to discuss updates to the Phase III SAP reflecting the revised sample size (n=420) before database lock.</w:t>
      </w:r>
    </w:p>
    <w:p>
      <w:pPr>
        <w:pStyle w:val="ListParagraph"/>
        <w:numPr>
          <w:ilvl w:val="0"/>
          <w:numId w:val="2"/>
        </w:numPr>
        <w:spacing w:before="40" w:after="40"/>
      </w:pPr>
      <w:r>
        <w:rPr>
          <w:rFonts w:ascii="Arial" w:cs="Arial" w:eastAsia="Arial" w:hAnsi="Arial"/>
          <w:sz w:val="22"/>
          <w:szCs w:val="22"/>
        </w:rPr>
        <w:t xml:space="preserve">Phase II Data Readout and BLA Pre-submission Meeting: Given the maturity of Phase II efficacy data (ORR 43.7%; DOR not reached at 18 months), the Sponsor requests guidance on the potential for accelerated approval or filing of a BLA based on Phase II data concurrent with Phase III completion.</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6.2 Timeline for Upcoming IND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Submission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Date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Amendment No. 013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Cardiac Safety Committee Full Report; Phase II 24-month follow-up data update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Amendment No. 014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September 2026</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III Annual IND Report; Updated IMPD (12-month DS stability extension)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BLA Pre-submission Package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II CSR (final); proposed BLA filing strategy for accelerated approval</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6.3 Contact for Questions</w:t>
      </w:r>
    </w:p>
    <w:p>
      <w:pPr>
        <w:spacing w:before="60" w:after="60"/>
        <w:jc w:val="both"/>
      </w:pPr>
      <w:r>
        <w:rPr>
          <w:rFonts w:ascii="Arial" w:cs="Arial" w:eastAsia="Arial" w:hAnsi="Arial"/>
          <w:sz w:val="22"/>
          <w:szCs w:val="22"/>
        </w:rPr>
        <w:t xml:space="preserve">All regulatory correspondence and questions regarding this amendment should be directed 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Primary Regulatory Contact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 Jane Regulatory, VP Regulatory Affairs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regulatory@acmebiosciences.com</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(617) 555-0100</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IND Correspondence Address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Acme Biosciences, Inc., 1000 Biotech Drive, Cambridge, MA 02142</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IND Submission Portal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FDA Electronic Submissions Gateway (ESG), submission ID pending</w:t>
            </w:r>
          </w:p>
        </w:tc>
      </w:tr>
    </w:tbl>
    <w:p>
      <w:pPr>
        <w:spacing w:before="60" w:after="60"/>
      </w:pPr>
      <w:r>
        <w:t xml:space="preserve"/>
      </w:r>
    </w:p>
    <w:p>
      <w:pPr>
        <w:pStyle w:val="Heading1"/>
        <w:pBdr>
          <w:bottom w:val="single" w:color="2E5F8A" w:sz="6" w:space="2"/>
        </w:pBdr>
        <w:spacing w:before="360" w:after="120"/>
      </w:pPr>
      <w:r>
        <w:rPr>
          <w:rFonts w:ascii="Arial" w:cs="Arial" w:eastAsia="Arial" w:hAnsi="Arial"/>
          <w:b/>
          <w:bCs/>
          <w:color w:val="1F3864"/>
          <w:sz w:val="28"/>
          <w:szCs w:val="28"/>
        </w:rPr>
        <w:t xml:space="preserve">7. LIST OF APPENDICES</w:t>
      </w:r>
    </w:p>
    <w:p>
      <w:pPr>
        <w:pStyle w:val="ListParagraph"/>
        <w:numPr>
          <w:ilvl w:val="0"/>
          <w:numId w:val="3"/>
        </w:numPr>
        <w:spacing w:before="40" w:after="40"/>
      </w:pPr>
      <w:r>
        <w:rPr>
          <w:rFonts w:ascii="Arial" w:cs="Arial" w:eastAsia="Arial" w:hAnsi="Arial"/>
          <w:sz w:val="22"/>
          <w:szCs w:val="22"/>
        </w:rPr>
        <w:t xml:space="preserve">Appendix A: Protocol ACME-CERV-CRC-003, Version 3.0 — Full Text (with tracked changes vs. v2.1)</w:t>
      </w:r>
    </w:p>
    <w:p>
      <w:pPr>
        <w:pStyle w:val="ListParagraph"/>
        <w:numPr>
          <w:ilvl w:val="0"/>
          <w:numId w:val="3"/>
        </w:numPr>
        <w:spacing w:before="40" w:after="40"/>
      </w:pPr>
      <w:r>
        <w:rPr>
          <w:rFonts w:ascii="Arial" w:cs="Arial" w:eastAsia="Arial" w:hAnsi="Arial"/>
          <w:sz w:val="22"/>
          <w:szCs w:val="22"/>
        </w:rPr>
        <w:t xml:space="preserve">Appendix B: Protocol Section 9.4 — Immune-Mediated Myocarditis Management Algorithm (New Section, Clean Text)</w:t>
      </w:r>
    </w:p>
    <w:p>
      <w:pPr>
        <w:pStyle w:val="ListParagraph"/>
        <w:numPr>
          <w:ilvl w:val="0"/>
          <w:numId w:val="3"/>
        </w:numPr>
        <w:spacing w:before="40" w:after="40"/>
      </w:pPr>
      <w:r>
        <w:rPr>
          <w:rFonts w:ascii="Arial" w:cs="Arial" w:eastAsia="Arial" w:hAnsi="Arial"/>
          <w:sz w:val="22"/>
          <w:szCs w:val="22"/>
        </w:rPr>
        <w:t xml:space="preserve">Appendix C: Systematic Literature Review — PD-1 Inhibitor-Associated Myocarditis: Incidence, Risk Factors, and Outcomes</w:t>
      </w:r>
    </w:p>
    <w:p>
      <w:pPr>
        <w:pStyle w:val="ListParagraph"/>
        <w:numPr>
          <w:ilvl w:val="0"/>
          <w:numId w:val="3"/>
        </w:numPr>
        <w:spacing w:before="40" w:after="40"/>
      </w:pPr>
      <w:r>
        <w:rPr>
          <w:rFonts w:ascii="Arial" w:cs="Arial" w:eastAsia="Arial" w:hAnsi="Arial"/>
          <w:sz w:val="22"/>
          <w:szCs w:val="22"/>
        </w:rPr>
        <w:t xml:space="preserve">Appendix D: Case Report Forms — Case 1 (CERV-001-042) and Case 2 (CERV-001-071) Source Data Summaries</w:t>
      </w:r>
    </w:p>
    <w:p>
      <w:pPr>
        <w:pStyle w:val="ListParagraph"/>
        <w:numPr>
          <w:ilvl w:val="0"/>
          <w:numId w:val="3"/>
        </w:numPr>
        <w:spacing w:before="40" w:after="40"/>
      </w:pPr>
      <w:r>
        <w:rPr>
          <w:rFonts w:ascii="Arial" w:cs="Arial" w:eastAsia="Arial" w:hAnsi="Arial"/>
          <w:sz w:val="22"/>
          <w:szCs w:val="22"/>
        </w:rPr>
        <w:t xml:space="preserve">Appendix E: Investigator Safety Notification Letter (March 8, 2026)</w:t>
      </w:r>
    </w:p>
    <w:p>
      <w:pPr>
        <w:pStyle w:val="ListParagraph"/>
        <w:numPr>
          <w:ilvl w:val="0"/>
          <w:numId w:val="3"/>
        </w:numPr>
        <w:spacing w:before="40" w:after="40"/>
      </w:pPr>
      <w:r>
        <w:rPr>
          <w:rFonts w:ascii="Arial" w:cs="Arial" w:eastAsia="Arial" w:hAnsi="Arial"/>
          <w:sz w:val="22"/>
          <w:szCs w:val="22"/>
        </w:rPr>
        <w:t xml:space="preserve">Appendix F: Revised Informed Consent Form Template — Study ACME-CERV-CRC-003 (Version 3.0, March 2026)</w:t>
      </w:r>
    </w:p>
    <w:p>
      <w:pPr>
        <w:pStyle w:val="ListParagraph"/>
        <w:numPr>
          <w:ilvl w:val="0"/>
          <w:numId w:val="3"/>
        </w:numPr>
        <w:spacing w:before="40" w:after="40"/>
      </w:pPr>
      <w:r>
        <w:rPr>
          <w:rFonts w:ascii="Arial" w:cs="Arial" w:eastAsia="Arial" w:hAnsi="Arial"/>
          <w:sz w:val="22"/>
          <w:szCs w:val="22"/>
        </w:rPr>
        <w:t xml:space="preserve">Appendix G: Statistical Analysis Plan Update — Sample Size Re-estimation Memorandum</w:t>
      </w:r>
    </w:p>
    <w:p>
      <w:pPr>
        <w:spacing w:before="60" w:after="60"/>
      </w:pPr>
      <w:r>
        <w:t xml:space="preserve"/>
      </w:r>
    </w:p>
    <w:p>
      <w:pPr>
        <w:spacing w:before="60" w:after="60"/>
      </w:pPr>
      <w:r>
        <w:t xml:space="preserve"/>
      </w:r>
    </w:p>
    <w:p>
      <w:pPr>
        <w:spacing w:before="240" w:after="120"/>
        <w:jc w:val="center"/>
      </w:pPr>
      <w:r>
        <w:rPr>
          <w:rFonts w:ascii="Arial" w:cs="Arial" w:eastAsia="Arial" w:hAnsi="Arial"/>
          <w:b/>
          <w:bCs/>
          <w:color w:val="1F3864"/>
          <w:sz w:val="22"/>
          <w:szCs w:val="22"/>
        </w:rPr>
        <w:t xml:space="preserve">— END OF IND AMENDMENT NO. 012 —</w:t>
      </w:r>
    </w:p>
    <w:p>
      <w:pPr>
        <w:jc w:val="center"/>
      </w:pPr>
      <w:r>
        <w:rPr>
          <w:rFonts w:ascii="Arial" w:cs="Arial" w:eastAsia="Arial" w:hAnsi="Arial"/>
          <w:i/>
          <w:iCs/>
          <w:color w:val="888888"/>
          <w:sz w:val="18"/>
          <w:szCs w:val="18"/>
        </w:rPr>
        <w:t xml:space="preserve">CERVIMAB IND 123456  |  Amendment No. 012  |  Acme Biosciences, Inc.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jc w:val="center"/>
    </w:pPr>
    <w:r>
      <w:rPr>
        <w:rFonts w:ascii="Arial" w:cs="Arial" w:eastAsia="Arial" w:hAnsi="Arial"/>
        <w:color w:val="888888"/>
        <w:sz w:val="18"/>
        <w:szCs w:val="18"/>
      </w:rPr>
      <w:t xml:space="preserve">Acme Biosciences, Inc.  |  IND Amendment No. 012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after="60"/>
    </w:pPr>
    <w:r>
      <w:rPr>
        <w:rFonts w:ascii="Arial" w:cs="Arial" w:eastAsia="Arial" w:hAnsi="Arial"/>
        <w:i/>
        <w:iCs/>
        <w:color w:val="888888"/>
        <w:sz w:val="18"/>
        <w:szCs w:val="18"/>
      </w:rPr>
      <w:t xml:space="preserve">CONFIDENTIAL — IND AMENDMENT SUBMISSION  |  CERVIMAB  |  IND No. 123456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8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2026-03-16T13:38:51.681Z</dcterms:created>
  <dcterms:modified xsi:type="dcterms:W3CDTF">2026-03-16T13:38:51.682Z</dcterms:modified>
</cp:coreProperties>
</file>

<file path=docProps/custom.xml><?xml version="1.0" encoding="utf-8"?>
<Properties xmlns="http://schemas.openxmlformats.org/officeDocument/2006/custom-properties" xmlns:vt="http://schemas.openxmlformats.org/officeDocument/2006/docPropsVTypes"/>
</file>