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1F3864"/>
          <w:sz w:val="56"/>
          <w:szCs w:val="56"/>
        </w:rPr>
        <w:t xml:space="preserve">DOSE ESCALATION PLAN</w:t>
      </w:r>
    </w:p>
    <w:p>
      <w:pPr>
        <w:pBdr>
          <w:bottom w:val="single" w:color="2E75B6" w:sz="8" w:space="6"/>
        </w:pBdr>
        <w:spacing w:before="0" w:after="40"/>
        <w:jc w:val="center"/>
      </w:pPr>
      <w:r>
        <w:rPr>
          <w:rFonts w:ascii="Arial" w:cs="Arial" w:eastAsia="Arial" w:hAnsi="Arial"/>
          <w:b/>
          <w:bCs/>
          <w:color w:val="2E75B6"/>
          <w:sz w:val="28"/>
          <w:szCs w:val="28"/>
        </w:rPr>
        <w:t xml:space="preserve">Cervimab (Anti-PD-1 mAb) — Phase 1 SAD/MAD FIH Study</w:t>
      </w:r>
    </w:p>
    <w:p>
      <w:pPr>
        <w:spacing w:before="60" w:after="60"/>
      </w:pPr>
      <w:r>
        <w:t xml:space="preserve"/>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Document ID</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CERV-001-DEP-001</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Study Protocol</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CERV-001-SAD/MAD v1.0</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IND Number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[XXXXX]</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Version / Date</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1.0 — [DATE]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Sponsor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[SPONSOR NAME]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Prepared By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Sponsor Clinical Development Team / DSMB</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Review Status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DSMB-Approved Prior to FIH Enrollment</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888888"/>
          <w:sz w:val="16"/>
          <w:szCs w:val="16"/>
        </w:rPr>
        <w:t xml:space="preserve">CONFIDENTIAL — FOR REGULATORY AND INTERNAL SPONSOR USE ONLY</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1. PURPOSE AND SCOPE</w:t>
      </w:r>
    </w:p>
    <w:p>
      <w:pPr>
        <w:spacing w:before="80" w:after="80"/>
      </w:pPr>
      <w:r>
        <w:rPr>
          <w:rFonts w:ascii="Arial" w:cs="Arial" w:eastAsia="Arial" w:hAnsi="Arial"/>
          <w:sz w:val="20"/>
          <w:szCs w:val="20"/>
        </w:rPr>
        <w:t xml:space="preserve">This Dose Escalation Plan (DEP) provides a systematic framework governing the escalation, de-escalation, and selection of doses of Cervimab (anti-PD-1 IgG4 monoclonal antibody) in the Phase 1 first-in-human (FIH) SAD/MAD study (Protocol CERV-001-SAD/MAD). This document must be read in conjunction with the Clinical Study Protocol, the Investigator's Brochure (IB), and the Data and Safety Monitoring Board (DSMB) Charter.</w:t>
      </w:r>
    </w:p>
    <w:p>
      <w:pPr>
        <w:spacing w:before="60" w:after="60"/>
      </w:pPr>
      <w:r>
        <w:t xml:space="preserve"/>
      </w:r>
    </w:p>
    <w:p>
      <w:pPr>
        <w:spacing w:before="80" w:after="80"/>
      </w:pPr>
      <w:r>
        <w:rPr>
          <w:rFonts w:ascii="Arial" w:cs="Arial" w:eastAsia="Arial" w:hAnsi="Arial"/>
          <w:sz w:val="20"/>
          <w:szCs w:val="20"/>
        </w:rPr>
        <w:t xml:space="preserve">The DEP defines: (1) dose levels and escalation increments; (2) starting dose rationale per FDA FIH guidance; (3) escalation decision rules; (4) DLT criteria and DLT assessment windows; (5) stopping rules and MTD/RP2D determination criteria; and (6) mandatory DSMB data review processes.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20"/>
              <w:left w:type="dxa" w:w="200"/>
              <w:bottom w:type="dxa" w:w="120"/>
              <w:right w:type="dxa" w:w="200"/>
            </w:tcMar>
          </w:tcPr>
          <w:p>
            <w:pPr>
              <w:spacing w:before="40" w:after="40"/>
            </w:pPr>
            <w:r>
              <w:rPr>
                <w:rFonts w:ascii="Arial" w:cs="Arial" w:eastAsia="Arial" w:hAnsi="Arial"/>
                <w:b/>
                <w:bCs/>
                <w:color w:val="1D6037"/>
                <w:sz w:val="22"/>
                <w:szCs w:val="22"/>
              </w:rPr>
              <w:t xml:space="preserve">REGULATORY BASIS</w:t>
            </w:r>
          </w:p>
          <w:p>
            <w:pPr>
              <w:spacing w:before="40" w:after="40"/>
            </w:pPr>
            <w:r>
              <w:rPr>
                <w:rFonts w:ascii="Arial" w:cs="Arial" w:eastAsia="Arial" w:hAnsi="Arial"/>
                <w:sz w:val="19"/>
                <w:szCs w:val="19"/>
              </w:rPr>
              <w:t xml:space="preserve">This Dose Escalation Plan is prepared in conformance with: FDA Guidance for Industry — First-in-Human Studies for Investigational Oncology Drugs and Biologics (2025); FDA Guidance — Expedited Programs for Serious Conditions (2014/2023); ICH E8(R1) — General Considerations for Clinical Studies; 21 CFR Part 312 (IND Regulations). The 3+3 dose-escalation design, DLT definitions, and escalation rules herein are aligned with FDA expectations for immunostimulatory biologic agents.</w:t>
            </w:r>
          </w:p>
        </w:tc>
      </w:tr>
    </w:tbl>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2. STARTING DOSE RATIONALE</w:t>
      </w:r>
    </w:p>
    <w:p>
      <w:pPr>
        <w:pStyle w:val="Heading2"/>
        <w:spacing w:before="220" w:after="100"/>
      </w:pPr>
      <w:r>
        <w:rPr>
          <w:rFonts w:ascii="Arial" w:cs="Arial" w:eastAsia="Arial" w:hAnsi="Arial"/>
          <w:b/>
          <w:bCs/>
          <w:color w:val="2E75B6"/>
          <w:sz w:val="24"/>
          <w:szCs w:val="24"/>
        </w:rPr>
        <w:t xml:space="preserve">2.1 Preclinical Basis</w:t>
      </w:r>
    </w:p>
    <w:p>
      <w:pPr>
        <w:spacing w:before="80" w:after="80"/>
      </w:pPr>
      <w:r>
        <w:rPr>
          <w:rFonts w:ascii="Arial" w:cs="Arial" w:eastAsia="Arial" w:hAnsi="Arial"/>
          <w:sz w:val="20"/>
          <w:szCs w:val="20"/>
        </w:rPr>
        <w:t xml:space="preserve">The selection of the starting dose follows FDA guidance for first-in-human dose determination for immunostimulatory biologics, emphasizing selection based on the minimum anticipated biological effect level (MABEL) and the no observed adverse effect level (NOAEL) in the most sensitive relevant species.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Parameter</w:t>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NHP (Cynomolgus Monkey)</w:t>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Human Prediction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NOAEL</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10 mg/kg Q2W IV (26-week GLP study)</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HNSTD</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30 mg/kg (highest non-severely toxic dose)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PD-1 Receptor Occupancy EC50</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~0.3 mg/kg (in vitro NHP PBMC assay)</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~0.3–0.5 mg/kg (cross-species)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MABEL (&gt;20% RO)</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~0.1 mg/kg</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~0.1 mg/kg (estimated)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Starting Dose (1/10 NOAEL)</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 mg/kg</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 mg/kg IV (SELECTED)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Safety Margin at Starting Dose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10x below NOAEL</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Margin deemed adequate per FDA guidance</w:t>
            </w:r>
          </w:p>
        </w:tc>
      </w:tr>
    </w:tbl>
    <w:p>
      <w:pPr>
        <w:spacing w:before="60" w:after="60"/>
      </w:pPr>
      <w:r>
        <w:t xml:space="preserve"/>
      </w:r>
    </w:p>
    <w:p>
      <w:pPr>
        <w:spacing w:before="80" w:after="80"/>
      </w:pPr>
      <w:r>
        <w:rPr>
          <w:rFonts w:ascii="Arial" w:cs="Arial" w:eastAsia="Arial" w:hAnsi="Arial"/>
          <w:sz w:val="20"/>
          <w:szCs w:val="20"/>
        </w:rPr>
        <w:t xml:space="preserve">The 1 mg/kg IV starting dose is 10-fold below the NHP NOAEL (10 mg/kg), is above the estimated MABEL (0.1 mg/kg), and is expected to yield measurable pharmacodynamic activity (PD-1 receptor occupancy) while providing an adequate safety margin. This starting dose is consistent with the approach used for approved PD-1 inhibitors during development.</w:t>
      </w:r>
    </w:p>
    <w:p>
      <w:pPr>
        <w:pStyle w:val="Heading2"/>
        <w:spacing w:before="220" w:after="100"/>
      </w:pPr>
      <w:r>
        <w:rPr>
          <w:rFonts w:ascii="Arial" w:cs="Arial" w:eastAsia="Arial" w:hAnsi="Arial"/>
          <w:b/>
          <w:bCs/>
          <w:color w:val="2E75B6"/>
          <w:sz w:val="24"/>
          <w:szCs w:val="24"/>
        </w:rPr>
        <w:t xml:space="preserve">2.2 Concentration-Response Modeling Summary</w:t>
      </w:r>
    </w:p>
    <w:p>
      <w:pPr>
        <w:spacing w:before="80" w:after="80"/>
      </w:pPr>
      <w:r>
        <w:rPr>
          <w:rFonts w:ascii="Arial" w:cs="Arial" w:eastAsia="Arial" w:hAnsi="Arial"/>
          <w:sz w:val="20"/>
          <w:szCs w:val="20"/>
        </w:rPr>
        <w:t xml:space="preserve">Population PK/PD modeling using cross-species allometric scaling (NHP to human, exponent 0.85 for CL; Vd = 50 mL/kg)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Dose Level</w:t>
            </w:r>
          </w:p>
        </w:tc>
        <w:tc>
          <w:tcPr>
            <w:tcW w:type="dxa" w:w="2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Predicted Cmax (µg/mL)</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Predicted AUC0-21d (µg·day/mL)</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Predicted PD-1 RO (%)</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1 mg/kg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20–30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150–200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~25–40%</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3 mg/kg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60–90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450–600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~60–75%</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10 mg/kg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200–250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1,500–2,000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~85–92%</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30 mg/kg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600–750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4,000–5,000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~95–98%</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100 mg/kg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2,000–2,500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13,000–17,000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&gt;99% (plateau)</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300 mg/kg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6,000–7,500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38,000–50,000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&gt;99% (plateau)</w:t>
            </w:r>
          </w:p>
        </w:tc>
      </w:tr>
    </w:tbl>
    <w:p>
      <w:pPr>
        <w:spacing w:before="80" w:after="80"/>
      </w:pPr>
      <w:r>
        <w:rPr>
          <w:rFonts w:ascii="Arial" w:cs="Arial" w:eastAsia="Arial" w:hAnsi="Arial"/>
          <w:sz w:val="20"/>
          <w:szCs w:val="20"/>
        </w:rPr>
        <w:t xml:space="preserve">Note: All values are model-predicted estimates with high uncertainty at FIH; actual observations will be used to update the PK/PD model and inform subsequent escalation decisions.</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3. DOSE LEVELS AND ESCALATION INCREMENTS</w:t>
      </w:r>
    </w:p>
    <w:p>
      <w:pPr>
        <w:pStyle w:val="Heading2"/>
        <w:spacing w:before="220" w:after="100"/>
      </w:pPr>
      <w:r>
        <w:rPr>
          <w:rFonts w:ascii="Arial" w:cs="Arial" w:eastAsia="Arial" w:hAnsi="Arial"/>
          <w:b/>
          <w:bCs/>
          <w:color w:val="2E75B6"/>
          <w:sz w:val="24"/>
          <w:szCs w:val="24"/>
        </w:rPr>
        <w:t xml:space="preserve">3.1 Part A — Single Ascending Dose (SAD)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600"/>
        <w:gridCol w:w="1600"/>
        <w:gridCol w:w="2160"/>
      </w:tblGrid>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Cohort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Dose (mg/kg)</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Dose Step (fold increase)</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Route</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Infusion Duration</w:t>
            </w:r>
          </w:p>
        </w:tc>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n (planned)</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(starting)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1–3 (accelerated titration possible)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1–3 (accelerated titration possible)</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3.3x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100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3.3x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3x</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60 min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bl>
    <w:p>
      <w:pPr>
        <w:spacing w:before="60" w:after="60"/>
      </w:pPr>
      <w:r>
        <w:t xml:space="preserve"/>
      </w:r>
    </w:p>
    <w:p>
      <w:pPr>
        <w:spacing w:before="80" w:after="80"/>
      </w:pPr>
      <w:r>
        <w:rPr>
          <w:rFonts w:ascii="Arial" w:cs="Arial" w:eastAsia="Arial" w:hAnsi="Arial"/>
          <w:b/>
          <w:bCs/>
          <w:color w:val="2E75B6"/>
          <w:sz w:val="20"/>
          <w:szCs w:val="20"/>
        </w:rPr>
        <w:t xml:space="preserve">Dose Escalation Increment Rule: </w:t>
      </w:r>
      <w:r>
        <w:rPr>
          <w:rFonts w:ascii="Arial" w:cs="Arial" w:eastAsia="Arial" w:hAnsi="Arial"/>
          <w:sz w:val="20"/>
          <w:szCs w:val="20"/>
        </w:rPr>
        <w:t xml:space="preserve">Dose escalation increments are limited to no greater than 3-fold between consecutive cohorts in the standard 3+3 phase. Smaller increments (e.g., intermediate doses) may be inserted at the discretion of the DSMB based on emerging safety or PK/PD data.</w:t>
      </w:r>
    </w:p>
    <w:p>
      <w:pPr>
        <w:spacing w:before="80" w:after="80"/>
      </w:pPr>
      <w:r>
        <w:rPr>
          <w:rFonts w:ascii="Arial" w:cs="Arial" w:eastAsia="Arial" w:hAnsi="Arial"/>
          <w:b/>
          <w:bCs/>
          <w:color w:val="2E75B6"/>
          <w:sz w:val="20"/>
          <w:szCs w:val="20"/>
        </w:rPr>
        <w:t xml:space="preserve">Maximum Planned Dose: </w:t>
      </w:r>
      <w:r>
        <w:rPr>
          <w:rFonts w:ascii="Arial" w:cs="Arial" w:eastAsia="Arial" w:hAnsi="Arial"/>
          <w:sz w:val="20"/>
          <w:szCs w:val="20"/>
        </w:rPr>
        <w:t xml:space="preserve">300 mg/kg IV x1 (Cohort A6). This dose is 30x above the NHP NOAEL and represents an extreme pharmacological saturation scenario. Escalation to A6 is contingent on the absence of DLTs and favorable safety profile through A5.</w:t>
      </w:r>
    </w:p>
    <w:p>
      <w:pPr>
        <w:pStyle w:val="Heading2"/>
        <w:spacing w:before="220" w:after="100"/>
      </w:pPr>
      <w:r>
        <w:rPr>
          <w:rFonts w:ascii="Arial" w:cs="Arial" w:eastAsia="Arial" w:hAnsi="Arial"/>
          <w:b/>
          <w:bCs/>
          <w:color w:val="2E75B6"/>
          <w:sz w:val="24"/>
          <w:szCs w:val="24"/>
        </w:rPr>
        <w:t xml:space="preserve">3.2 Part B — Multiple Ascending Dose (MAD) Cohorts</w:t>
      </w:r>
    </w:p>
    <w:p>
      <w:pPr>
        <w:spacing w:before="80" w:after="80"/>
      </w:pPr>
      <w:r>
        <w:rPr>
          <w:rFonts w:ascii="Arial" w:cs="Arial" w:eastAsia="Arial" w:hAnsi="Arial"/>
          <w:sz w:val="20"/>
          <w:szCs w:val="20"/>
        </w:rPr>
        <w:t xml:space="preserve">Part B dose levels will be determined following DSMB review of completed Part A data. At minimum, 3 dose levels from Part A (low, mid, and high — below or at the SAD MTD) will be selected for Q3W repeat dosing. The following table reflects a representative example pending Part A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1760"/>
        <w:gridCol w:w="2800"/>
      </w:tblGrid>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Cohort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Dose (mg/kg)</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Schedule</w:t>
            </w:r>
          </w:p>
        </w:tc>
        <w:tc>
          <w:tcPr>
            <w:tcW w:type="dxa" w:w="1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Route</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n (planned per cohort)</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TBD (below MTD — low)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Q3W x 4 cycles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B2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TBD (below MTD — mid)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Q3W x 4 cycles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B3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TBD (MTD or below — high)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Q3W x 4 cycles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IV</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3–6</w:t>
            </w:r>
          </w:p>
        </w:tc>
      </w:tr>
    </w:tbl>
    <w:p>
      <w:pPr>
        <w:spacing w:before="60" w:after="60"/>
      </w:pPr>
      <w:r>
        <w:t xml:space="preserve"/>
      </w:r>
    </w:p>
    <w:p>
      <w:pPr>
        <w:spacing w:before="80" w:after="80"/>
      </w:pPr>
      <w:r>
        <w:rPr>
          <w:rFonts w:ascii="Arial" w:cs="Arial" w:eastAsia="Arial" w:hAnsi="Arial"/>
          <w:b/>
          <w:bCs/>
          <w:color w:val="2E75B6"/>
          <w:sz w:val="20"/>
          <w:szCs w:val="20"/>
        </w:rPr>
        <w:t xml:space="preserve">DLT Window (Part B): </w:t>
      </w:r>
      <w:r>
        <w:rPr>
          <w:rFonts w:ascii="Arial" w:cs="Arial" w:eastAsia="Arial" w:hAnsi="Arial"/>
          <w:sz w:val="20"/>
          <w:szCs w:val="20"/>
        </w:rPr>
        <w:t xml:space="preserve">Cycle 1 (Days 1–21). DLT assessment for escalation decisions uses Cycle 1 toxicity only. Toxicities emerging in subsequent cycles are captured as AEs/SAEs but do not factor into formal cohort escalation decisions.</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4. DOSE ESCALATION DECISION RULES</w:t>
      </w:r>
    </w:p>
    <w:p>
      <w:pPr>
        <w:pStyle w:val="Heading2"/>
        <w:spacing w:before="220" w:after="100"/>
      </w:pPr>
      <w:r>
        <w:rPr>
          <w:rFonts w:ascii="Arial" w:cs="Arial" w:eastAsia="Arial" w:hAnsi="Arial"/>
          <w:b/>
          <w:bCs/>
          <w:color w:val="2E75B6"/>
          <w:sz w:val="24"/>
          <w:szCs w:val="24"/>
        </w:rPr>
        <w:t xml:space="preserve">4.1 Standard 3+3 Escalation Algorithm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20"/>
              <w:left w:type="dxa" w:w="200"/>
              <w:bottom w:type="dxa" w:w="120"/>
              <w:right w:type="dxa" w:w="200"/>
            </w:tcMar>
          </w:tcPr>
          <w:p>
            <w:pPr>
              <w:spacing w:before="40" w:after="40"/>
            </w:pPr>
            <w:r>
              <w:rPr>
                <w:rFonts w:ascii="Arial" w:cs="Arial" w:eastAsia="Arial" w:hAnsi="Arial"/>
                <w:b/>
                <w:bCs/>
                <w:color w:val="1D6037"/>
                <w:sz w:val="22"/>
                <w:szCs w:val="22"/>
              </w:rPr>
              <w:t xml:space="preserve">3+3 ESCALATION DECISION TREE</w:t>
            </w:r>
          </w:p>
          <w:p>
            <w:pPr>
              <w:spacing w:before="40" w:after="40"/>
            </w:pPr>
            <w:r>
              <w:rPr>
                <w:rFonts w:ascii="Arial" w:cs="Arial" w:eastAsia="Arial" w:hAnsi="Arial"/>
                <w:sz w:val="19"/>
                <w:szCs w:val="19"/>
              </w:rPr>
              <w:t xml:space="preserve">COHORT of 3 patients: 0/3 DLTs → ESCALATE | 1/3 DLTs → EXPAND to 6 | ≥2/3 DLTs → STOP (MTD exceeded at this dose)
EXPANDED COHORT of 6: 0-1/6 DLTs → ESCALATE | ≥2/6 DLTs → STOP (MTD = prior dose level)
MTD CONFIRMATION: If MTD identified, expand prior dose to 6 patients to confirm; if 0-1/6 DLTs confirmed → MTD declared.</w:t>
            </w:r>
          </w:p>
        </w:tc>
      </w:tr>
    </w:tbl>
    <w:p>
      <w:pPr>
        <w:spacing w:before="60" w:after="60"/>
      </w:pPr>
      <w:r>
        <w:t xml:space="preserve"/>
      </w:r>
    </w:p>
    <w:p>
      <w:pPr>
        <w:pStyle w:val="Heading2"/>
        <w:spacing w:before="220" w:after="100"/>
      </w:pPr>
      <w:r>
        <w:rPr>
          <w:rFonts w:ascii="Arial" w:cs="Arial" w:eastAsia="Arial" w:hAnsi="Arial"/>
          <w:b/>
          <w:bCs/>
          <w:color w:val="2E75B6"/>
          <w:sz w:val="24"/>
          <w:szCs w:val="24"/>
        </w:rPr>
        <w:t xml:space="preserve">4.2 Accelerated Titration (Cohorts A1 and A2 Only)</w:t>
      </w:r>
    </w:p>
    <w:p>
      <w:pPr>
        <w:spacing w:before="80" w:after="80"/>
      </w:pPr>
      <w:r>
        <w:rPr>
          <w:rFonts w:ascii="Arial" w:cs="Arial" w:eastAsia="Arial" w:hAnsi="Arial"/>
          <w:sz w:val="20"/>
          <w:szCs w:val="20"/>
        </w:rPr>
        <w:t xml:space="preserve">For Cohorts A1 and A2, accelerated titration may be employed:</w:t>
      </w:r>
    </w:p>
    <w:p>
      <w:pPr>
        <w:pStyle w:val="ListParagraph"/>
        <w:numPr>
          <w:ilvl w:val="0"/>
          <w:numId w:val="2"/>
        </w:numPr>
        <w:spacing w:before="60" w:after="60"/>
      </w:pPr>
      <w:r>
        <w:rPr>
          <w:rFonts w:ascii="Arial" w:cs="Arial" w:eastAsia="Arial" w:hAnsi="Arial"/>
          <w:sz w:val="20"/>
          <w:szCs w:val="20"/>
        </w:rPr>
        <w:t xml:space="preserve">Enroll 1 patient per cohort initially (if institutional SOP and DSMB agree at study initiation).</w:t>
      </w:r>
    </w:p>
    <w:p>
      <w:pPr>
        <w:pStyle w:val="ListParagraph"/>
        <w:numPr>
          <w:ilvl w:val="0"/>
          <w:numId w:val="2"/>
        </w:numPr>
        <w:spacing w:before="60" w:after="60"/>
      </w:pPr>
      <w:r>
        <w:rPr>
          <w:rFonts w:ascii="Arial" w:cs="Arial" w:eastAsia="Arial" w:hAnsi="Arial"/>
          <w:sz w:val="20"/>
          <w:szCs w:val="20"/>
        </w:rPr>
        <w:t xml:space="preserve">If no drug-related Grade ≥2 toxicity observed within 14 days: escalate to next dose with 1 patient.</w:t>
      </w:r>
    </w:p>
    <w:p>
      <w:pPr>
        <w:pStyle w:val="ListParagraph"/>
        <w:numPr>
          <w:ilvl w:val="0"/>
          <w:numId w:val="2"/>
        </w:numPr>
        <w:spacing w:before="60" w:after="60"/>
      </w:pPr>
      <w:r>
        <w:rPr>
          <w:rFonts w:ascii="Arial" w:cs="Arial" w:eastAsia="Arial" w:hAnsi="Arial"/>
          <w:sz w:val="20"/>
          <w:szCs w:val="20"/>
        </w:rPr>
        <w:t xml:space="preserve">If drug-related Grade 2 toxicity occurs: expand current cohort to 3 patients (standard 3+3 resumes).</w:t>
      </w:r>
    </w:p>
    <w:p>
      <w:pPr>
        <w:pStyle w:val="ListParagraph"/>
        <w:numPr>
          <w:ilvl w:val="0"/>
          <w:numId w:val="2"/>
        </w:numPr>
        <w:spacing w:before="60" w:after="60"/>
      </w:pPr>
      <w:r>
        <w:rPr>
          <w:rFonts w:ascii="Arial" w:cs="Arial" w:eastAsia="Arial" w:hAnsi="Arial"/>
          <w:sz w:val="20"/>
          <w:szCs w:val="20"/>
        </w:rPr>
        <w:t xml:space="preserve">If drug-related Grade ≥3 toxicity occurs in any patient: expand cohort to 6 patients (standard 3+3 rules apply).</w:t>
      </w:r>
    </w:p>
    <w:p>
      <w:pPr>
        <w:pStyle w:val="Heading2"/>
        <w:spacing w:before="220" w:after="100"/>
      </w:pPr>
      <w:r>
        <w:rPr>
          <w:rFonts w:ascii="Arial" w:cs="Arial" w:eastAsia="Arial" w:hAnsi="Arial"/>
          <w:b/>
          <w:bCs/>
          <w:color w:val="2E75B6"/>
          <w:sz w:val="24"/>
          <w:szCs w:val="24"/>
        </w:rPr>
        <w:t xml:space="preserve">4.3 Intra-Patient Dose Escalation</w:t>
      </w:r>
    </w:p>
    <w:p>
      <w:pPr>
        <w:spacing w:before="80" w:after="80"/>
      </w:pPr>
      <w:r>
        <w:rPr>
          <w:rFonts w:ascii="Arial" w:cs="Arial" w:eastAsia="Arial" w:hAnsi="Arial"/>
          <w:sz w:val="20"/>
          <w:szCs w:val="20"/>
        </w:rPr>
        <w:t xml:space="preserve">Intra-patient dose escalation is NOT permitted in Part A (SAD). In Part B (MAD), intra-patient dose escalation is NOT permitted within a cohort cycle. After completing all 4 cycles at the assigned dose level, patients demonstrating clinical benefit and no drug-related toxicity &gt;Grade 1 may optionally receive continued treatment at the same dose level in an extension phase pending amendment.</w:t>
      </w:r>
    </w:p>
    <w:p>
      <w:pPr>
        <w:pStyle w:val="Heading2"/>
        <w:spacing w:before="220" w:after="100"/>
      </w:pPr>
      <w:r>
        <w:rPr>
          <w:rFonts w:ascii="Arial" w:cs="Arial" w:eastAsia="Arial" w:hAnsi="Arial"/>
          <w:b/>
          <w:bCs/>
          <w:color w:val="2E75B6"/>
          <w:sz w:val="24"/>
          <w:szCs w:val="24"/>
        </w:rPr>
        <w:t xml:space="preserve">4.4 DSMB Review Process Before Each Escalation</w:t>
      </w:r>
    </w:p>
    <w:p>
      <w:pPr>
        <w:spacing w:before="80" w:after="80"/>
      </w:pPr>
      <w:r>
        <w:rPr>
          <w:rFonts w:ascii="Arial" w:cs="Arial" w:eastAsia="Arial" w:hAnsi="Arial"/>
          <w:sz w:val="20"/>
          <w:szCs w:val="20"/>
        </w:rPr>
        <w:t xml:space="preserve">Before enrollment of any new dose cohort (Part A or B), the DSMB must convene a formal safety review meeting (in person or by teleconference) within 7 business days of completion of the DLT assessment window for the current cohort. The DSMB review package includes:</w:t>
      </w:r>
    </w:p>
    <w:p>
      <w:pPr>
        <w:pStyle w:val="ListParagraph"/>
        <w:numPr>
          <w:ilvl w:val="0"/>
          <w:numId w:val="2"/>
        </w:numPr>
        <w:spacing w:before="60" w:after="60"/>
      </w:pPr>
      <w:r>
        <w:rPr>
          <w:rFonts w:ascii="Arial" w:cs="Arial" w:eastAsia="Arial" w:hAnsi="Arial"/>
          <w:sz w:val="20"/>
          <w:szCs w:val="20"/>
        </w:rPr>
        <w:t xml:space="preserve">Individual patient DLT listings with narrative descriptions and causality assessments.</w:t>
      </w:r>
    </w:p>
    <w:p>
      <w:pPr>
        <w:pStyle w:val="ListParagraph"/>
        <w:numPr>
          <w:ilvl w:val="0"/>
          <w:numId w:val="2"/>
        </w:numPr>
        <w:spacing w:before="60" w:after="60"/>
      </w:pPr>
      <w:r>
        <w:rPr>
          <w:rFonts w:ascii="Arial" w:cs="Arial" w:eastAsia="Arial" w:hAnsi="Arial"/>
          <w:sz w:val="20"/>
          <w:szCs w:val="20"/>
        </w:rPr>
        <w:t xml:space="preserve">AE summaries by system organ class and grade (all patients enrolled to date).</w:t>
      </w:r>
    </w:p>
    <w:p>
      <w:pPr>
        <w:pStyle w:val="ListParagraph"/>
        <w:numPr>
          <w:ilvl w:val="0"/>
          <w:numId w:val="2"/>
        </w:numPr>
        <w:spacing w:before="60" w:after="60"/>
      </w:pPr>
      <w:r>
        <w:rPr>
          <w:rFonts w:ascii="Arial" w:cs="Arial" w:eastAsia="Arial" w:hAnsi="Arial"/>
          <w:sz w:val="20"/>
          <w:szCs w:val="20"/>
        </w:rPr>
        <w:t xml:space="preserve">Preliminary PK parameters (Cmax, AUC, t1/2) for current and all prior cohorts.</w:t>
      </w:r>
    </w:p>
    <w:p>
      <w:pPr>
        <w:pStyle w:val="ListParagraph"/>
        <w:numPr>
          <w:ilvl w:val="0"/>
          <w:numId w:val="2"/>
        </w:numPr>
        <w:spacing w:before="60" w:after="60"/>
      </w:pPr>
      <w:r>
        <w:rPr>
          <w:rFonts w:ascii="Arial" w:cs="Arial" w:eastAsia="Arial" w:hAnsi="Arial"/>
          <w:sz w:val="20"/>
          <w:szCs w:val="20"/>
        </w:rPr>
        <w:t xml:space="preserve">PD-1 receptor occupancy data by dose level.</w:t>
      </w:r>
    </w:p>
    <w:p>
      <w:pPr>
        <w:pStyle w:val="ListParagraph"/>
        <w:numPr>
          <w:ilvl w:val="0"/>
          <w:numId w:val="2"/>
        </w:numPr>
        <w:spacing w:before="60" w:after="60"/>
      </w:pPr>
      <w:r>
        <w:rPr>
          <w:rFonts w:ascii="Arial" w:cs="Arial" w:eastAsia="Arial" w:hAnsi="Arial"/>
          <w:sz w:val="20"/>
          <w:szCs w:val="20"/>
        </w:rPr>
        <w:t xml:space="preserve">Infusion reaction, cytokine, and clinical laboratory summaries.</w:t>
      </w:r>
    </w:p>
    <w:p>
      <w:pPr>
        <w:pStyle w:val="ListParagraph"/>
        <w:numPr>
          <w:ilvl w:val="0"/>
          <w:numId w:val="2"/>
        </w:numPr>
        <w:spacing w:before="60" w:after="60"/>
      </w:pPr>
      <w:r>
        <w:rPr>
          <w:rFonts w:ascii="Arial" w:cs="Arial" w:eastAsia="Arial" w:hAnsi="Arial"/>
          <w:sz w:val="20"/>
          <w:szCs w:val="20"/>
        </w:rPr>
        <w:t xml:space="preserve">Proposed dose for next cohort and justification.</w:t>
      </w:r>
    </w:p>
    <w:p>
      <w:pPr>
        <w:spacing w:before="80" w:after="80"/>
      </w:pPr>
      <w:r>
        <w:rPr>
          <w:rFonts w:ascii="Arial" w:cs="Arial" w:eastAsia="Arial" w:hAnsi="Arial"/>
          <w:sz w:val="20"/>
          <w:szCs w:val="20"/>
        </w:rPr>
        <w:t xml:space="preserve">The DSMB renders a written recommendation within 3 business days of the review meeting: Escalate / Hold pending additional data / De-escalate / Stop. Escalation cannot proceed without documented DSMB written approval.</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5. DOSE-LIMITING TOXICITY (DLT) CRITERIA</w:t>
      </w:r>
    </w:p>
    <w:p>
      <w:pPr>
        <w:pStyle w:val="Heading2"/>
        <w:spacing w:before="220" w:after="100"/>
      </w:pPr>
      <w:r>
        <w:rPr>
          <w:rFonts w:ascii="Arial" w:cs="Arial" w:eastAsia="Arial" w:hAnsi="Arial"/>
          <w:b/>
          <w:bCs/>
          <w:color w:val="2E75B6"/>
          <w:sz w:val="24"/>
          <w:szCs w:val="24"/>
        </w:rPr>
        <w:t xml:space="preserve">5.1 DLT Assessment Windows</w:t>
      </w:r>
    </w:p>
    <w:p>
      <w:pPr>
        <w:spacing w:before="80" w:after="80"/>
      </w:pPr>
      <w:r>
        <w:rPr>
          <w:rFonts w:ascii="Arial" w:cs="Arial" w:eastAsia="Arial" w:hAnsi="Arial"/>
          <w:b/>
          <w:bCs/>
          <w:color w:val="2E75B6"/>
          <w:sz w:val="20"/>
          <w:szCs w:val="20"/>
        </w:rPr>
        <w:t xml:space="preserve">Part A (SAD): </w:t>
      </w:r>
      <w:r>
        <w:rPr>
          <w:rFonts w:ascii="Arial" w:cs="Arial" w:eastAsia="Arial" w:hAnsi="Arial"/>
          <w:sz w:val="20"/>
          <w:szCs w:val="20"/>
        </w:rPr>
        <w:t xml:space="preserve">28 calendar days following single dose administration (Day 1 through Day 29)</w:t>
      </w:r>
    </w:p>
    <w:p>
      <w:pPr>
        <w:spacing w:before="80" w:after="80"/>
      </w:pPr>
      <w:r>
        <w:rPr>
          <w:rFonts w:ascii="Arial" w:cs="Arial" w:eastAsia="Arial" w:hAnsi="Arial"/>
          <w:b/>
          <w:bCs/>
          <w:color w:val="2E75B6"/>
          <w:sz w:val="20"/>
          <w:szCs w:val="20"/>
        </w:rPr>
        <w:t xml:space="preserve">Part B (MAD): </w:t>
      </w:r>
      <w:r>
        <w:rPr>
          <w:rFonts w:ascii="Arial" w:cs="Arial" w:eastAsia="Arial" w:hAnsi="Arial"/>
          <w:sz w:val="20"/>
          <w:szCs w:val="20"/>
        </w:rPr>
        <w:t xml:space="preserve">Cycle 1: Day 1 through Day 21 (21-day cycle)</w:t>
      </w:r>
    </w:p>
    <w:p>
      <w:pPr>
        <w:pStyle w:val="Heading2"/>
        <w:spacing w:before="220" w:after="100"/>
      </w:pPr>
      <w:r>
        <w:rPr>
          <w:rFonts w:ascii="Arial" w:cs="Arial" w:eastAsia="Arial" w:hAnsi="Arial"/>
          <w:b/>
          <w:bCs/>
          <w:color w:val="2E75B6"/>
          <w:sz w:val="24"/>
          <w:szCs w:val="24"/>
        </w:rPr>
        <w:t xml:space="preserve">5.2 DLT Definitions — 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Toxicity</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Grade / Threshold</w:t>
            </w:r>
          </w:p>
        </w:tc>
        <w:tc>
          <w:tcPr>
            <w:tcW w:type="dxa" w:w="3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Classification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Febrile Neutropenia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Any Grade (≥38.5°C with ANC &lt;1.0)</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Neutropenia (ANC &lt;0.5 x10^9/L)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4, lasting &gt;7 days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Thrombocytopenia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4 (Plt &lt;25 x10^9/L)</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Thrombocytopenia with bleeding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3–4</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Anemia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4</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Lymphopenia (isolated)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Any grade without clinical consequence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NOT a DLT</w:t>
            </w:r>
          </w:p>
        </w:tc>
      </w:tr>
    </w:tbl>
    <w:p>
      <w:pPr>
        <w:pStyle w:val="Heading2"/>
        <w:spacing w:before="220" w:after="100"/>
      </w:pPr>
      <w:r>
        <w:rPr>
          <w:rFonts w:ascii="Arial" w:cs="Arial" w:eastAsia="Arial" w:hAnsi="Arial"/>
          <w:b/>
          <w:bCs/>
          <w:color w:val="2E75B6"/>
          <w:sz w:val="24"/>
          <w:szCs w:val="24"/>
        </w:rPr>
        <w:t xml:space="preserve">5.3 DLT Definitions — Non-Hematologic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Toxicity</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Grade / Threshold</w:t>
            </w:r>
          </w:p>
        </w:tc>
        <w:tc>
          <w:tcPr>
            <w:tcW w:type="dxa" w:w="3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Classification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Non-hematologic toxicity (general)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lasting &gt;72 hours despite optimal supportive care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Nausea / Vomiting / Diarrhea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controlled to ≤Grade 2 within 72h with antiemetic/antidiarrheal therapy</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NOT a 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Immune-mediated hepatitis (AST/ALT)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(&gt;5 x ULN)</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Hyperbilirubinemia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(&gt;3 x ULN) not attributed to Gilbert syndrome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Immune-mediated colitis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not resolving to ≤Grade 1 within 14 days of high-dose corticosteroids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Immune-mediated pneumonitis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2 with radiographic findings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Infusion-related reaction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Cytokine Release Syndrome (CRS)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(ASTCT criteria)</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Any other drug-related toxicity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≥Grade 3 (investigator and medical monitor agreement)</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Dose delay &gt;21 days for toxicity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Any reason (Part B only)</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DLT (Part 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200"/>
              <w:bottom w:type="dxa" w:w="120"/>
              <w:right w:type="dxa" w:w="200"/>
            </w:tcMar>
          </w:tcPr>
          <w:p>
            <w:pPr>
              <w:spacing w:before="40" w:after="40"/>
            </w:pPr>
            <w:r>
              <w:rPr>
                <w:rFonts w:ascii="Arial" w:cs="Arial" w:eastAsia="Arial" w:hAnsi="Arial"/>
                <w:b/>
                <w:bCs/>
                <w:color w:val="C55A11"/>
                <w:sz w:val="22"/>
                <w:szCs w:val="22"/>
              </w:rPr>
              <w:t xml:space="preserve">IMPORTANT NOTE ON DLT ATTRIBUTION</w:t>
            </w:r>
          </w:p>
          <w:p>
            <w:pPr>
              <w:spacing w:before="40" w:after="40"/>
            </w:pPr>
            <w:r>
              <w:rPr>
                <w:rFonts w:ascii="Arial" w:cs="Arial" w:eastAsia="Arial" w:hAnsi="Arial"/>
                <w:sz w:val="19"/>
                <w:szCs w:val="19"/>
              </w:rPr>
              <w:t xml:space="preserve">Only drug-related AEs count as DLTs. Toxicities clearly attributable to disease progression, intercurrent illness, or protocol-required procedures are NOT counted as DLTs. Attribution is determined by the investigator in consultation with the Sponsor medical monitor. Discordant assessments are adjudicated by the DSMB.</w:t>
            </w:r>
          </w:p>
        </w:tc>
      </w:tr>
    </w:tbl>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6. MTD, RP2D, AND STOPPING RULES</w:t>
      </w:r>
    </w:p>
    <w:p>
      <w:pPr>
        <w:pStyle w:val="Heading2"/>
        <w:spacing w:before="220" w:after="100"/>
      </w:pPr>
      <w:r>
        <w:rPr>
          <w:rFonts w:ascii="Arial" w:cs="Arial" w:eastAsia="Arial" w:hAnsi="Arial"/>
          <w:b/>
          <w:bCs/>
          <w:color w:val="2E75B6"/>
          <w:sz w:val="24"/>
          <w:szCs w:val="24"/>
        </w:rPr>
        <w:t xml:space="preserve">6.1 Maximum Tolerated Dose (MTD) Definition</w:t>
      </w:r>
    </w:p>
    <w:p>
      <w:pPr>
        <w:spacing w:before="80" w:after="80"/>
      </w:pPr>
      <w:r>
        <w:rPr>
          <w:rFonts w:ascii="Arial" w:cs="Arial" w:eastAsia="Arial" w:hAnsi="Arial"/>
          <w:sz w:val="20"/>
          <w:szCs w:val="20"/>
        </w:rPr>
        <w:t xml:space="preserve">The MTD is defined as the highest dose level at which ≤1/6 evaluable patients experiences a DLT within the DLT assessment window, immediately below the dose level at which ≥2/6 patients experience DLTs. The MTD must be confirmed in ≥6 evaluable patients.</w:t>
      </w:r>
    </w:p>
    <w:p>
      <w:pPr>
        <w:pStyle w:val="Heading2"/>
        <w:spacing w:before="220" w:after="100"/>
      </w:pPr>
      <w:r>
        <w:rPr>
          <w:rFonts w:ascii="Arial" w:cs="Arial" w:eastAsia="Arial" w:hAnsi="Arial"/>
          <w:b/>
          <w:bCs/>
          <w:color w:val="2E75B6"/>
          <w:sz w:val="24"/>
          <w:szCs w:val="24"/>
        </w:rPr>
        <w:t xml:space="preserve">6.2 Recommended Phase 2 Dose (RP2D)</w:t>
      </w:r>
    </w:p>
    <w:p>
      <w:pPr>
        <w:spacing w:before="80" w:after="80"/>
      </w:pPr>
      <w:r>
        <w:rPr>
          <w:rFonts w:ascii="Arial" w:cs="Arial" w:eastAsia="Arial" w:hAnsi="Arial"/>
          <w:sz w:val="20"/>
          <w:szCs w:val="20"/>
        </w:rPr>
        <w:t xml:space="preserve">The RP2D will be determined by the DSMB and Sponsor in a formal RP2D selection meeting following completion of all dose escalation cohorts. The RP2D will integrate the following data:</w:t>
      </w:r>
    </w:p>
    <w:p>
      <w:pPr>
        <w:pStyle w:val="ListParagraph"/>
        <w:numPr>
          <w:ilvl w:val="0"/>
          <w:numId w:val="2"/>
        </w:numPr>
        <w:spacing w:before="60" w:after="60"/>
      </w:pPr>
      <w:r>
        <w:rPr>
          <w:rFonts w:ascii="Arial" w:cs="Arial" w:eastAsia="Arial" w:hAnsi="Arial"/>
          <w:sz w:val="20"/>
          <w:szCs w:val="20"/>
        </w:rPr>
        <w:t xml:space="preserve">Safety: DLT incidence and severity across all cohorts; cumulative Grade ≥2 AEs in repeat-dose cohorts.</w:t>
      </w:r>
    </w:p>
    <w:p>
      <w:pPr>
        <w:pStyle w:val="ListParagraph"/>
        <w:numPr>
          <w:ilvl w:val="0"/>
          <w:numId w:val="2"/>
        </w:numPr>
        <w:spacing w:before="60" w:after="60"/>
      </w:pPr>
      <w:r>
        <w:rPr>
          <w:rFonts w:ascii="Arial" w:cs="Arial" w:eastAsia="Arial" w:hAnsi="Arial"/>
          <w:sz w:val="20"/>
          <w:szCs w:val="20"/>
        </w:rPr>
        <w:t xml:space="preserve">PK: Dose proportionality assessment; predicted Css at Q3W dosing; target therapeutic exposure range.</w:t>
      </w:r>
    </w:p>
    <w:p>
      <w:pPr>
        <w:pStyle w:val="ListParagraph"/>
        <w:numPr>
          <w:ilvl w:val="0"/>
          <w:numId w:val="2"/>
        </w:numPr>
        <w:spacing w:before="60" w:after="60"/>
      </w:pPr>
      <w:r>
        <w:rPr>
          <w:rFonts w:ascii="Arial" w:cs="Arial" w:eastAsia="Arial" w:hAnsi="Arial"/>
          <w:sz w:val="20"/>
          <w:szCs w:val="20"/>
        </w:rPr>
        <w:t xml:space="preserve">PD: PD-1 receptor occupancy (target: ≥80% persistent RO); tumor biomarker changes on treatment biopsies.</w:t>
      </w:r>
    </w:p>
    <w:p>
      <w:pPr>
        <w:pStyle w:val="ListParagraph"/>
        <w:numPr>
          <w:ilvl w:val="0"/>
          <w:numId w:val="2"/>
        </w:numPr>
        <w:spacing w:before="60" w:after="60"/>
      </w:pPr>
      <w:r>
        <w:rPr>
          <w:rFonts w:ascii="Arial" w:cs="Arial" w:eastAsia="Arial" w:hAnsi="Arial"/>
          <w:sz w:val="20"/>
          <w:szCs w:val="20"/>
        </w:rPr>
        <w:t xml:space="preserve">Preliminary Efficacy: Any objective responses or stable disease observed in Part B cohorts (per RECIST 1.1).</w:t>
      </w:r>
    </w:p>
    <w:p>
      <w:pPr>
        <w:pStyle w:val="ListParagraph"/>
        <w:numPr>
          <w:ilvl w:val="0"/>
          <w:numId w:val="2"/>
        </w:numPr>
        <w:spacing w:before="60" w:after="60"/>
      </w:pPr>
      <w:r>
        <w:rPr>
          <w:rFonts w:ascii="Arial" w:cs="Arial" w:eastAsia="Arial" w:hAnsi="Arial"/>
          <w:sz w:val="20"/>
          <w:szCs w:val="20"/>
        </w:rPr>
        <w:t xml:space="preserve">Precedent: Approved PD-1 inhibitor dose levels (typically 200 mg flat dose or 2 mg/kg Q3W) considered as external benchmark.</w:t>
      </w:r>
    </w:p>
    <w:p>
      <w:pPr>
        <w:spacing w:before="80" w:after="80"/>
      </w:pPr>
      <w:r>
        <w:rPr>
          <w:rFonts w:ascii="Arial" w:cs="Arial" w:eastAsia="Arial" w:hAnsi="Arial"/>
          <w:sz w:val="20"/>
          <w:szCs w:val="20"/>
        </w:rPr>
        <w:t xml:space="preserve">The RP2D may be lower than the MTD if pharmacodynamic plateau (PD-1 receptor saturation) is reached at a dose below MTD, consistent with FDA guidance that biological activity, not toxicity, should drive dose selection for immunomodulatory agents.</w:t>
      </w:r>
    </w:p>
    <w:p>
      <w:pPr>
        <w:pStyle w:val="Heading2"/>
        <w:spacing w:before="220" w:after="100"/>
      </w:pPr>
      <w:r>
        <w:rPr>
          <w:rFonts w:ascii="Arial" w:cs="Arial" w:eastAsia="Arial" w:hAnsi="Arial"/>
          <w:b/>
          <w:bCs/>
          <w:color w:val="2E75B6"/>
          <w:sz w:val="24"/>
          <w:szCs w:val="24"/>
        </w:rPr>
        <w:t xml:space="preserve">6.3 Mandatory Study Stopping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CCCC" w:val="clear"/>
            <w:tcMar>
              <w:top w:type="dxa" w:w="120"/>
              <w:left w:type="dxa" w:w="200"/>
              <w:bottom w:type="dxa" w:w="120"/>
              <w:right w:type="dxa" w:w="200"/>
            </w:tcMar>
          </w:tcPr>
          <w:p>
            <w:pPr>
              <w:spacing w:before="40" w:after="40"/>
            </w:pPr>
            <w:r>
              <w:rPr>
                <w:rFonts w:ascii="Arial" w:cs="Arial" w:eastAsia="Arial" w:hAnsi="Arial"/>
                <w:b/>
                <w:bCs/>
                <w:color w:val="C00000"/>
                <w:sz w:val="22"/>
                <w:szCs w:val="22"/>
              </w:rPr>
              <w:t xml:space="preserve">IMMEDIATE STUDY HOLD — MANDATORY</w:t>
            </w:r>
          </w:p>
          <w:p>
            <w:pPr>
              <w:spacing w:before="40" w:after="40"/>
            </w:pPr>
            <w:r>
              <w:rPr>
                <w:rFonts w:ascii="Arial" w:cs="Arial" w:eastAsia="Arial" w:hAnsi="Arial"/>
                <w:sz w:val="19"/>
                <w:szCs w:val="19"/>
              </w:rPr>
              <w:t xml:space="preserve">The study must be immediately placed on clinical hold (all enrollment and dosing suspended) and the FDA notified within 24 hours if ANY of the following events occur:
1. Any patient death possibly related to Cervimab.
2. ≥2 patients in any cohort experiencing Grade 4 immune-mediated AEs (colitis, hepatitis, pneumonitis, or neurotoxicity) simultaneously.
3. Any Grade 5 (fatal) AE suspected to be related to study treatment.
4. Any unexpected serious safety signal not covered by the protocol that, in the Sponsor medical monitor's opinion, requires immediate cessation of dosing.
5. Cytokine Release Syndrome ≥Grade 4 in any patient.</w:t>
            </w:r>
          </w:p>
        </w:tc>
      </w:tr>
    </w:tbl>
    <w:p>
      <w:pPr>
        <w:spacing w:before="60" w:after="60"/>
      </w:pPr>
      <w:r>
        <w:t xml:space="preserve"/>
      </w:r>
    </w:p>
    <w:p>
      <w:pPr>
        <w:spacing w:before="80" w:after="80"/>
      </w:pPr>
      <w:r>
        <w:rPr>
          <w:rFonts w:ascii="Arial" w:cs="Arial" w:eastAsia="Arial" w:hAnsi="Arial"/>
          <w:sz w:val="20"/>
          <w:szCs w:val="20"/>
        </w:rPr>
        <w:t xml:space="preserve">For events not meeting mandatory hold criteria, the DSMB may recommend a voluntary hold pending safety review at any time. The DSMB has unilateral authority to recommend study termination per its Charter.</w:t>
      </w:r>
    </w:p>
    <w:p>
      <w:pPr>
        <w:pStyle w:val="Heading2"/>
        <w:spacing w:before="220" w:after="100"/>
      </w:pPr>
      <w:r>
        <w:rPr>
          <w:rFonts w:ascii="Arial" w:cs="Arial" w:eastAsia="Arial" w:hAnsi="Arial"/>
          <w:b/>
          <w:bCs/>
          <w:color w:val="2E75B6"/>
          <w:sz w:val="24"/>
          <w:szCs w:val="24"/>
        </w:rPr>
        <w:t xml:space="preserve">6.4 Dose De-escalation</w:t>
      </w:r>
    </w:p>
    <w:p>
      <w:pPr>
        <w:spacing w:before="80" w:after="80"/>
      </w:pPr>
      <w:r>
        <w:rPr>
          <w:rFonts w:ascii="Arial" w:cs="Arial" w:eastAsia="Arial" w:hAnsi="Arial"/>
          <w:sz w:val="20"/>
          <w:szCs w:val="20"/>
        </w:rPr>
        <w:t xml:space="preserve">If a dose level is declared to have exceeded the MTD, the Sponsor and DSMB will review all available data and may: (a) re-enroll at the prior dose level to expand the cohort to 6 patients for MTD confirmation; (b) propose an intermediate dose between the exceeded level and the prior level if PK data suggest a potentially safer sub-therapeutic increment; (c) declare the prior dose level as the MTD without further escalation.</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7. EVALUABILITY FOR DLT ASSESSMENT</w:t>
      </w:r>
    </w:p>
    <w:p>
      <w:pPr>
        <w:spacing w:before="80" w:after="80"/>
      </w:pPr>
      <w:r>
        <w:rPr>
          <w:rFonts w:ascii="Arial" w:cs="Arial" w:eastAsia="Arial" w:hAnsi="Arial"/>
          <w:sz w:val="20"/>
          <w:szCs w:val="20"/>
        </w:rPr>
        <w:t xml:space="preserve">A patient is considered DLT-evaluable if:</w:t>
      </w:r>
    </w:p>
    <w:p>
      <w:pPr>
        <w:pStyle w:val="ListParagraph"/>
        <w:numPr>
          <w:ilvl w:val="0"/>
          <w:numId w:val="2"/>
        </w:numPr>
        <w:spacing w:before="60" w:after="60"/>
      </w:pPr>
      <w:r>
        <w:rPr>
          <w:rFonts w:ascii="Arial" w:cs="Arial" w:eastAsia="Arial" w:hAnsi="Arial"/>
          <w:sz w:val="20"/>
          <w:szCs w:val="20"/>
        </w:rPr>
        <w:t xml:space="preserve">Part A: Received the full planned single dose of Cervimab AND completed the full 28-day DLT observation period without major protocol deviations preventing safety assessment, OR experienced a DLT at any time during the window.</w:t>
      </w:r>
    </w:p>
    <w:p>
      <w:pPr>
        <w:pStyle w:val="ListParagraph"/>
        <w:numPr>
          <w:ilvl w:val="0"/>
          <w:numId w:val="2"/>
        </w:numPr>
        <w:spacing w:before="60" w:after="60"/>
      </w:pPr>
      <w:r>
        <w:rPr>
          <w:rFonts w:ascii="Arial" w:cs="Arial" w:eastAsia="Arial" w:hAnsi="Arial"/>
          <w:sz w:val="20"/>
          <w:szCs w:val="20"/>
        </w:rPr>
        <w:t xml:space="preserve">Part B: Received ≥80% of the planned Cycle 1 dose (i.e., completed infusion) AND completed at least 18 of the 21-day observation window, OR experienced a DLT.</w:t>
      </w:r>
    </w:p>
    <w:p>
      <w:pPr>
        <w:spacing w:before="60" w:after="60"/>
      </w:pPr>
      <w:r>
        <w:t xml:space="preserve"/>
      </w:r>
    </w:p>
    <w:p>
      <w:pPr>
        <w:spacing w:before="80" w:after="80"/>
      </w:pPr>
      <w:r>
        <w:rPr>
          <w:rFonts w:ascii="Arial" w:cs="Arial" w:eastAsia="Arial" w:hAnsi="Arial"/>
          <w:sz w:val="20"/>
          <w:szCs w:val="20"/>
        </w:rPr>
        <w:t xml:space="preserve">Patients who are not DLT-evaluable due to early withdrawal for reasons unrelated to drug toxicity (e.g., disease progression, withdrawal of consent, non-drug-related SAE) must be replaced to ensure ≥3 evaluable patients per cohort before escalation decisions are made.</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8. PHARMACOKINETIC CRITERIA FOR ESCALATION</w:t>
      </w:r>
    </w:p>
    <w:p>
      <w:pPr>
        <w:spacing w:before="80" w:after="80"/>
      </w:pPr>
      <w:r>
        <w:rPr>
          <w:rFonts w:ascii="Arial" w:cs="Arial" w:eastAsia="Arial" w:hAnsi="Arial"/>
          <w:sz w:val="20"/>
          <w:szCs w:val="20"/>
        </w:rPr>
        <w:t xml:space="preserve">In addition to safety criteria, the following PK criteria must be reviewed by the DSMB prior to each escalation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PK Criterion</w:t>
            </w:r>
          </w:p>
        </w:tc>
        <w:tc>
          <w:tcPr>
            <w:tcW w:type="dxa" w:w="6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Action if Criterion Met</w:t>
            </w:r>
          </w:p>
        </w:tc>
      </w:tr>
      <w:tr>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Cmax exceeds model-predicted Cmax by &gt;3-fold at any dose level</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DSMB required to convene emergency review; escalation held pending review; dose reduction may be required before escalation</w:t>
            </w:r>
          </w:p>
        </w:tc>
      </w:tr>
      <w:tr>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AUC dose proportionality ratio outside 50–200% of expected range</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DSMB to assess for nonlinear PK (saturation, target-mediated disposition); escalation held pending additional PK data</w:t>
            </w:r>
          </w:p>
        </w:tc>
      </w:tr>
      <w:tr>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t1/2 substantially longer than predicted (&gt;3x predicted in ≥2 patients)</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DSMB to reassess DLT observation window and potential need for extended observation before escalation</w:t>
            </w:r>
          </w:p>
        </w:tc>
      </w:tr>
      <w:tr>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PD-1 receptor occupancy &gt;99% at a dose level below proposed MTD</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DSMB may recommend capping dose escalation at biologically saturating dose; RP2D declared without further escalation</w:t>
            </w:r>
          </w:p>
        </w:tc>
      </w:tr>
    </w:tbl>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9. SPECIAL ESCALATION CONSIDERATIONS</w:t>
      </w:r>
    </w:p>
    <w:p>
      <w:pPr>
        <w:pStyle w:val="Heading2"/>
        <w:spacing w:before="220" w:after="100"/>
      </w:pPr>
      <w:r>
        <w:rPr>
          <w:rFonts w:ascii="Arial" w:cs="Arial" w:eastAsia="Arial" w:hAnsi="Arial"/>
          <w:b/>
          <w:bCs/>
          <w:color w:val="2E75B6"/>
          <w:sz w:val="24"/>
          <w:szCs w:val="24"/>
        </w:rPr>
        <w:t xml:space="preserve">9.1 Cytokine Release Syndrome (CRS)</w:t>
      </w:r>
    </w:p>
    <w:p>
      <w:pPr>
        <w:spacing w:before="80" w:after="80"/>
      </w:pPr>
      <w:r>
        <w:rPr>
          <w:rFonts w:ascii="Arial" w:cs="Arial" w:eastAsia="Arial" w:hAnsi="Arial"/>
          <w:sz w:val="20"/>
          <w:szCs w:val="20"/>
        </w:rPr>
        <w:t xml:space="preserve">Given the mechanism of action of Cervimab as a T-cell activator, CRS is an anticipated risk, particularly at higher dose levels or in patients with high tumor burden. CRS will be graded using the ASTCT Consensus Criteria (Lee et al., 2019). Grade 1–2 CRS is NOT a DLT and is managed with supportive care per site protocols. Grade 3 CRS IS a DLT. Grade 4 CRS triggers an immediate study hold.</w:t>
      </w:r>
    </w:p>
    <w:p>
      <w:pPr>
        <w:pStyle w:val="Heading2"/>
        <w:spacing w:before="220" w:after="100"/>
      </w:pPr>
      <w:r>
        <w:rPr>
          <w:rFonts w:ascii="Arial" w:cs="Arial" w:eastAsia="Arial" w:hAnsi="Arial"/>
          <w:b/>
          <w:bCs/>
          <w:color w:val="2E75B6"/>
          <w:sz w:val="24"/>
          <w:szCs w:val="24"/>
        </w:rPr>
        <w:t xml:space="preserve">9.2 Immune-Related AEs (irAEs) — Escalation Watchpoint</w:t>
      </w:r>
    </w:p>
    <w:p>
      <w:pPr>
        <w:spacing w:before="80" w:after="80"/>
      </w:pPr>
      <w:r>
        <w:rPr>
          <w:rFonts w:ascii="Arial" w:cs="Arial" w:eastAsia="Arial" w:hAnsi="Arial"/>
          <w:sz w:val="20"/>
          <w:szCs w:val="20"/>
        </w:rPr>
        <w:t xml:space="preserve">Given that irAEs may develop after the formal DLT window closes (particularly thyroiditis, adrenal insufficiency, and Type 1 diabetes mellitus), emerging irAEs in patients from prior cohorts will be reviewed at each DSMB meeting regardless of DLT window status. A pattern of late-onset Grade 3–4 irAEs across cohorts may prompt DSMB to recommend a halt to escalation even without formal DLTs.</w:t>
      </w:r>
    </w:p>
    <w:p>
      <w:pPr>
        <w:pStyle w:val="Heading2"/>
        <w:spacing w:before="220" w:after="100"/>
      </w:pPr>
      <w:r>
        <w:rPr>
          <w:rFonts w:ascii="Arial" w:cs="Arial" w:eastAsia="Arial" w:hAnsi="Arial"/>
          <w:b/>
          <w:bCs/>
          <w:color w:val="2E75B6"/>
          <w:sz w:val="24"/>
          <w:szCs w:val="24"/>
        </w:rPr>
        <w:t xml:space="preserve">9.3 Sentinel Dosing Strategy</w:t>
      </w:r>
    </w:p>
    <w:p>
      <w:pPr>
        <w:spacing w:before="80" w:after="80"/>
      </w:pPr>
      <w:r>
        <w:rPr>
          <w:rFonts w:ascii="Arial" w:cs="Arial" w:eastAsia="Arial" w:hAnsi="Arial"/>
          <w:sz w:val="20"/>
          <w:szCs w:val="20"/>
        </w:rPr>
        <w:t xml:space="preserve">For Cohorts A3–A6 (≥10 mg/kg), a sentinel dosing strategy will be employed: the first patient in each cohort will be dosed and observed for a minimum of 7 days before the second patient is dosed, and the second patient observed for 7 days before the third patient is dosed. This staggered approach allows early safety signals to be detected before the full cohort is enrolled.</w:t>
      </w:r>
    </w:p>
    <w:p>
      <w:r>
        <w:br w:type="page"/>
      </w:r>
    </w:p>
    <w:p>
      <w:pPr>
        <w:pStyle w:val="Heading1"/>
        <w:pBdr>
          <w:bottom w:val="single" w:color="2E75B6" w:sz="6" w:space="4"/>
        </w:pBdr>
        <w:spacing w:before="300" w:after="140"/>
      </w:pPr>
      <w:r>
        <w:rPr>
          <w:rFonts w:ascii="Arial" w:cs="Arial" w:eastAsia="Arial" w:hAnsi="Arial"/>
          <w:b/>
          <w:bCs/>
          <w:color w:val="1F3864"/>
          <w:sz w:val="30"/>
          <w:szCs w:val="30"/>
        </w:rPr>
        <w:t xml:space="preserve">10.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4060"/>
      </w:tblGrid>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Author</w:t>
            </w:r>
          </w:p>
        </w:tc>
        <w:tc>
          <w:tcPr>
            <w:tcW w:type="dxa" w:w="40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9"/>
                <w:szCs w:val="19"/>
              </w:rPr>
              <w:t xml:space="preserve">Summary of Changes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19"/>
                <w:szCs w:val="19"/>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Clinical Dev Team</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Initial version — DSMB approved prior to FIH</w:t>
            </w:r>
          </w:p>
        </w:tc>
      </w:tr>
    </w:tbl>
    <w:p>
      <w:pPr>
        <w:spacing w:before="60" w:after="60"/>
      </w:pPr>
      <w:r>
        <w:t xml:space="preserve"/>
      </w:r>
    </w:p>
    <w:p>
      <w:pPr>
        <w:pStyle w:val="Heading1"/>
        <w:pBdr>
          <w:bottom w:val="single" w:color="2E75B6" w:sz="6" w:space="4"/>
        </w:pBdr>
        <w:spacing w:before="300" w:after="140"/>
      </w:pPr>
      <w:r>
        <w:rPr>
          <w:rFonts w:ascii="Arial" w:cs="Arial" w:eastAsia="Arial" w:hAnsi="Arial"/>
          <w:b/>
          <w:bCs/>
          <w:color w:val="1F3864"/>
          <w:sz w:val="30"/>
          <w:szCs w:val="30"/>
        </w:rPr>
        <w:t xml:space="preserve">11. APPROVALS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8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Chief Medical Officer / Sponsor Medical Monitor</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w:t>
            </w:r>
          </w:p>
        </w:tc>
        <w:tc>
          <w:tcPr>
            <w:tcW w:type="dxa" w:w="3120"/>
            <w:tcBorders>
              <w:top w:val="none"/>
              <w:left w:val="none"/>
              <w:bottom w:val="none"/>
              <w:right w:val="none"/>
            </w:tcBorders>
            <w:tcMar>
              <w:top w:type="dxa" w:w="80"/>
              <w:left w:type="dxa" w:w="8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DSMB Chairperson</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w:t>
            </w:r>
          </w:p>
        </w:tc>
        <w:tc>
          <w:tcPr>
            <w:tcW w:type="dxa" w:w="3120"/>
            <w:tcBorders>
              <w:top w:val="none"/>
              <w:left w:val="none"/>
              <w:bottom w:val="none"/>
              <w:right w:val="none"/>
            </w:tcBorders>
            <w:tcMar>
              <w:top w:type="dxa" w:w="80"/>
              <w:left w:type="dxa" w:w="80"/>
              <w:bottom w:type="dxa" w:w="80"/>
              <w:right w:type="dxa" w:w="80"/>
            </w:tcMar>
          </w:tcPr>
          <w:p>
            <w:pPr>
              <w:pBdr>
                <w:bottom w:val="single" w:color="000000" w:sz="4"/>
              </w:pBdr>
            </w:pPr>
            <w:r>
              <w:rPr>
                <w:sz w:val="40"/>
                <w:szCs w:val="40"/>
              </w:rPr>
              <w:t xml:space="preserve"> </w:t>
            </w:r>
          </w:p>
          <w:p>
            <w:r>
              <w:rPr>
                <w:rFonts w:ascii="Arial" w:cs="Arial" w:eastAsia="Arial" w:hAnsi="Arial"/>
                <w:sz w:val="18"/>
                <w:szCs w:val="18"/>
              </w:rPr>
              <w:t xml:space="preserve">Head, Clinical Pharmacology (Sponsor)</w:t>
            </w:r>
          </w:p>
          <w:p>
            <w:pPr>
              <w:spacing w:before="60" w:after="6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FOR REGULATORY USE ONLY</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6"/>
        <w:szCs w:val="16"/>
      </w:rPr>
      <w:t xml:space="preserve">CERVIMAB (Anti-PD-1) — Dose Escalation Plan  |  Protocol CERV-001-SAD/MAD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2026-03-16T13:25:07.809Z</dcterms:created>
  <dcterms:modified xsi:type="dcterms:W3CDTF">2026-03-16T13:25:07.810Z</dcterms:modified>
</cp:coreProperties>
</file>

<file path=docProps/custom.xml><?xml version="1.0" encoding="utf-8"?>
<Properties xmlns="http://schemas.openxmlformats.org/officeDocument/2006/custom-properties" xmlns:vt="http://schemas.openxmlformats.org/officeDocument/2006/docPropsVTypes"/>
</file>