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rPr>
          <w:sz w:val="20"/>
          <w:szCs w:val="20"/>
        </w:rPr>
        <w:t xml:space="preserve"/>
      </w:r>
    </w:p>
    <w:p>
      <w:pPr>
        <w:spacing w:before="60" w:after="60"/>
      </w:pPr>
      <w:r>
        <w:rPr>
          <w:sz w:val="20"/>
          <w:szCs w:val="20"/>
        </w:rPr>
        <w:t xml:space="preserve"/>
      </w:r>
    </w:p>
    <w:p>
      <w:pPr>
        <w:spacing w:before="480" w:after="80"/>
        <w:jc w:val="center"/>
      </w:pPr>
      <w:r>
        <w:rPr>
          <w:rFonts w:ascii="Arial" w:cs="Arial" w:eastAsia="Arial" w:hAnsi="Arial"/>
          <w:b/>
          <w:bCs/>
          <w:color w:val="1F3864"/>
          <w:sz w:val="32"/>
          <w:szCs w:val="32"/>
        </w:rPr>
        <w:t xml:space="preserve">INVESTIGATIONAL NEW DRUG APPLICATION</w:t>
      </w:r>
    </w:p>
    <w:p>
      <w:pPr>
        <w:spacing w:before="0" w:after="80"/>
        <w:jc w:val="center"/>
      </w:pPr>
      <w:r>
        <w:rPr>
          <w:rFonts w:ascii="Arial" w:cs="Arial" w:eastAsia="Arial" w:hAnsi="Arial"/>
          <w:color w:val="444444"/>
          <w:sz w:val="24"/>
          <w:szCs w:val="24"/>
        </w:rPr>
        <w:t xml:space="preserve">IND No. [XXXX-XXXX]  |  Module 3 — Quality</w:t>
      </w:r>
    </w:p>
    <w:p>
      <w:pPr>
        <w:pBdr>
          <w:bottom w:val="single" w:color="2E6DA4" w:sz="6"/>
        </w:pBdr>
        <w:spacing w:before="120" w:after="120"/>
      </w:pPr>
    </w:p>
    <w:p>
      <w:pPr>
        <w:spacing w:before="60" w:after="60"/>
      </w:pPr>
      <w:r>
        <w:rPr>
          <w:sz w:val="20"/>
          <w:szCs w:val="20"/>
        </w:rPr>
        <w:t xml:space="preserve"/>
      </w:r>
    </w:p>
    <w:p>
      <w:pPr>
        <w:spacing w:before="200" w:after="80"/>
        <w:jc w:val="center"/>
      </w:pPr>
      <w:r>
        <w:rPr>
          <w:rFonts w:ascii="Arial" w:cs="Arial" w:eastAsia="Arial" w:hAnsi="Arial"/>
          <w:b/>
          <w:bCs/>
          <w:color w:val="2E6DA4"/>
          <w:sz w:val="36"/>
          <w:szCs w:val="36"/>
        </w:rPr>
        <w:t xml:space="preserve">3.2.P.2</w:t>
      </w:r>
    </w:p>
    <w:p>
      <w:pPr>
        <w:spacing w:before="0" w:after="80"/>
        <w:jc w:val="center"/>
      </w:pPr>
      <w:r>
        <w:rPr>
          <w:rFonts w:ascii="Arial" w:cs="Arial" w:eastAsia="Arial" w:hAnsi="Arial"/>
          <w:b/>
          <w:bCs/>
          <w:color w:val="1F3864"/>
          <w:sz w:val="26"/>
          <w:szCs w:val="26"/>
        </w:rPr>
        <w:t xml:space="preserve">PHARMACEUTICAL DEVELOPMENT — FORMULATION DEVELOPMENT REPORT</w:t>
      </w:r>
    </w:p>
    <w:p>
      <w:pPr>
        <w:spacing w:before="80" w:after="80"/>
        <w:jc w:val="center"/>
      </w:pPr>
      <w:r>
        <w:rPr>
          <w:rFonts w:ascii="Arial" w:cs="Arial" w:eastAsia="Arial" w:hAnsi="Arial"/>
          <w:b/>
          <w:bCs/>
          <w:color w:val="2E6DA4"/>
          <w:sz w:val="32"/>
          <w:szCs w:val="32"/>
        </w:rPr>
        <w:t xml:space="preserve">CERVIMAB</w:t>
      </w:r>
    </w:p>
    <w:p>
      <w:pPr>
        <w:spacing w:before="0" w:after="200"/>
        <w:jc w:val="center"/>
      </w:pPr>
      <w:r>
        <w:rPr>
          <w:rFonts w:ascii="Arial" w:cs="Arial" w:eastAsia="Arial" w:hAnsi="Arial"/>
          <w:color w:val="444444"/>
          <w:sz w:val="22"/>
          <w:szCs w:val="22"/>
        </w:rPr>
        <w:t xml:space="preserve">25 mg/mL Solution for Injection / Infusion  |  Vial Presentation</w:t>
      </w:r>
    </w:p>
    <w:p>
      <w:pPr>
        <w:spacing w:before="6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Sponsor</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Example BioPharma, Inc.</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IND Number</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[XXXX-XXXX]</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Drug Product Name</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Cervimab Injection</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Drug Product Description</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25 mg/mL Sterile Concentrate Solution for IV Infusion</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Document Type</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Pharmaceutical Development — Formulation Development Report</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CTD Section</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3.2.P.2</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Document Number</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RPT-DP-FORM-001</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Version</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1.0</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Date</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March 2026</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Prepared By</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Formulation Development Group</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Reviewed By</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Head of Drug Product Development</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Approved By</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VP, Pharmaceutical Sciences</w:t>
            </w:r>
          </w:p>
        </w:tc>
      </w:tr>
    </w:tbl>
    <w:p>
      <w:pPr>
        <w:spacing w:before="60" w:after="60"/>
      </w:pPr>
      <w:r>
        <w:rPr>
          <w:sz w:val="20"/>
          <w:szCs w:val="20"/>
        </w:rPr>
        <w:t xml:space="preserve"/>
      </w:r>
    </w:p>
    <w:p>
      <w:r>
        <w:br w:type="page"/>
      </w:r>
    </w:p>
    <w:p>
      <w:pPr>
        <w:pStyle w:val="Heading1"/>
        <w:spacing w:before="320" w:after="160"/>
      </w:pPr>
      <w:r>
        <w:rPr>
          <w:rFonts w:ascii="Arial" w:cs="Arial" w:eastAsia="Arial" w:hAnsi="Arial"/>
          <w:b/>
          <w:bCs/>
          <w:color w:val="1F3864"/>
          <w:sz w:val="28"/>
          <w:szCs w:val="28"/>
        </w:rPr>
        <w:t xml:space="preserve">1. INTRODUCTION AND BACKGROUND</w:t>
      </w:r>
    </w:p>
    <w:p>
      <w:pPr>
        <w:spacing w:before="60" w:after="80"/>
        <w:jc w:val="left"/>
      </w:pPr>
      <w:r>
        <w:rPr>
          <w:rFonts w:ascii="Arial" w:cs="Arial" w:eastAsia="Arial" w:hAnsi="Arial"/>
          <w:b w:val="false"/>
          <w:bCs w:val="false"/>
          <w:i w:val="false"/>
          <w:iCs w:val="false"/>
          <w:color w:val="000000"/>
          <w:sz w:val="20"/>
          <w:szCs w:val="20"/>
        </w:rPr>
        <w:t xml:space="preserve">This Formulation Development Report (FDR) describes the pharmaceutical development activities conducted to support the clinical formulation of Cervimab, a recombinant humanized anti-PD-1 IgG4 monoclonal antibody, in the drug product presentation of 25 mg/mL sterile concentrate solution for intravenous (IV) infusion, supplied in Type I borosilicate glass vials with bromobutyl rubber stoppers. This document is prepared in accordance with ICH Q8(R2) (Pharmaceutical Development), ICH Q9 (Quality Risk Management), and ICH Q10 (Pharmaceutical Quality System) to fulfill CTD Module 3.2.P.2 requirements of the IND application.</w:t>
      </w:r>
    </w:p>
    <w:p>
      <w:pPr>
        <w:spacing w:before="60" w:after="60"/>
      </w:pPr>
      <w:r>
        <w:rPr>
          <w:sz w:val="20"/>
          <w:szCs w:val="20"/>
        </w:rPr>
        <w:t xml:space="preserve"/>
      </w:r>
    </w:p>
    <w:p>
      <w:pPr>
        <w:spacing w:before="60" w:after="80"/>
        <w:jc w:val="left"/>
      </w:pPr>
      <w:r>
        <w:rPr>
          <w:rFonts w:ascii="Arial" w:cs="Arial" w:eastAsia="Arial" w:hAnsi="Arial"/>
          <w:b w:val="false"/>
          <w:bCs w:val="false"/>
          <w:i w:val="false"/>
          <w:iCs w:val="false"/>
          <w:color w:val="000000"/>
          <w:sz w:val="20"/>
          <w:szCs w:val="20"/>
        </w:rPr>
        <w:t xml:space="preserve">Cervimab is indicated for the treatment of adult patients with dMMR/MSI-H metastatic colorectal cancer (mCRC) as a monotherapy. The proposed clinical dose range for Phase I/II is 1–10 mg/kg IV administered every 3 weeks (Q3W), with the recommended Phase II dose to be determined from the dose-escalation study.</w:t>
      </w:r>
    </w:p>
    <w:p>
      <w:pPr>
        <w:spacing w:before="60" w:after="60"/>
      </w:pPr>
      <w:r>
        <w:rPr>
          <w:sz w:val="20"/>
          <w:szCs w:val="20"/>
        </w:rPr>
        <w:t xml:space="preserve"/>
      </w:r>
    </w:p>
    <w:p>
      <w:pPr>
        <w:spacing w:before="60" w:after="80"/>
        <w:jc w:val="left"/>
      </w:pPr>
      <w:r>
        <w:rPr>
          <w:rFonts w:ascii="Arial" w:cs="Arial" w:eastAsia="Arial" w:hAnsi="Arial"/>
          <w:b w:val="false"/>
          <w:bCs w:val="false"/>
          <w:i w:val="false"/>
          <w:iCs w:val="false"/>
          <w:color w:val="000000"/>
          <w:sz w:val="20"/>
          <w:szCs w:val="20"/>
        </w:rPr>
        <w:t xml:space="preserve">The formulation development strategy was guided by the following objectives:</w:t>
      </w:r>
    </w:p>
    <w:p>
      <w:pPr>
        <w:pStyle w:val="ListParagraph"/>
        <w:numPr>
          <w:ilvl w:val="0"/>
          <w:numId w:val="2"/>
        </w:numPr>
        <w:spacing w:before="40" w:after="40"/>
      </w:pPr>
      <w:r>
        <w:rPr>
          <w:rFonts w:ascii="Arial" w:cs="Arial" w:eastAsia="Arial" w:hAnsi="Arial"/>
          <w:b w:val="false"/>
          <w:bCs w:val="false"/>
          <w:sz w:val="20"/>
          <w:szCs w:val="20"/>
        </w:rPr>
        <w:t xml:space="preserve">Maximize protein conformational and colloidal stability over the intended shelf life</w:t>
      </w:r>
    </w:p>
    <w:p>
      <w:pPr>
        <w:pStyle w:val="ListParagraph"/>
        <w:numPr>
          <w:ilvl w:val="0"/>
          <w:numId w:val="2"/>
        </w:numPr>
        <w:spacing w:before="40" w:after="40"/>
      </w:pPr>
      <w:r>
        <w:rPr>
          <w:rFonts w:ascii="Arial" w:cs="Arial" w:eastAsia="Arial" w:hAnsi="Arial"/>
          <w:b w:val="false"/>
          <w:bCs w:val="false"/>
          <w:sz w:val="20"/>
          <w:szCs w:val="20"/>
        </w:rPr>
        <w:t xml:space="preserve">Prevent aggregation, fragmentation, deamidation, and oxidative degradation</w:t>
      </w:r>
    </w:p>
    <w:p>
      <w:pPr>
        <w:pStyle w:val="ListParagraph"/>
        <w:numPr>
          <w:ilvl w:val="0"/>
          <w:numId w:val="2"/>
        </w:numPr>
        <w:spacing w:before="40" w:after="40"/>
      </w:pPr>
      <w:r>
        <w:rPr>
          <w:rFonts w:ascii="Arial" w:cs="Arial" w:eastAsia="Arial" w:hAnsi="Arial"/>
          <w:b w:val="false"/>
          <w:bCs w:val="false"/>
          <w:sz w:val="20"/>
          <w:szCs w:val="20"/>
        </w:rPr>
        <w:t xml:space="preserve">Achieve compatibility with IV infusion bags (0.9% NaCl, D5W) and administration sets</w:t>
      </w:r>
    </w:p>
    <w:p>
      <w:pPr>
        <w:pStyle w:val="ListParagraph"/>
        <w:numPr>
          <w:ilvl w:val="0"/>
          <w:numId w:val="2"/>
        </w:numPr>
        <w:spacing w:before="40" w:after="40"/>
      </w:pPr>
      <w:r>
        <w:rPr>
          <w:rFonts w:ascii="Arial" w:cs="Arial" w:eastAsia="Arial" w:hAnsi="Arial"/>
          <w:b w:val="false"/>
          <w:bCs w:val="false"/>
          <w:sz w:val="20"/>
          <w:szCs w:val="20"/>
        </w:rPr>
        <w:t xml:space="preserve">Support clinical-scale manufacturing via aseptic filtration and fill-finish</w:t>
      </w:r>
    </w:p>
    <w:p>
      <w:pPr>
        <w:pStyle w:val="ListParagraph"/>
        <w:numPr>
          <w:ilvl w:val="0"/>
          <w:numId w:val="2"/>
        </w:numPr>
        <w:spacing w:before="40" w:after="40"/>
      </w:pPr>
      <w:r>
        <w:rPr>
          <w:rFonts w:ascii="Arial" w:cs="Arial" w:eastAsia="Arial" w:hAnsi="Arial"/>
          <w:b w:val="false"/>
          <w:bCs w:val="false"/>
          <w:sz w:val="20"/>
          <w:szCs w:val="20"/>
        </w:rPr>
        <w:t xml:space="preserve">Minimize patient risk by selecting excipients with well-established safety profiles</w:t>
      </w:r>
    </w:p>
    <w:p>
      <w:pPr>
        <w:pStyle w:val="Heading2"/>
        <w:spacing w:before="240" w:after="120"/>
      </w:pPr>
      <w:r>
        <w:rPr>
          <w:rFonts w:ascii="Arial" w:cs="Arial" w:eastAsia="Arial" w:hAnsi="Arial"/>
          <w:b/>
          <w:bCs/>
          <w:color w:val="2E6DA4"/>
          <w:sz w:val="24"/>
          <w:szCs w:val="24"/>
        </w:rPr>
        <w:t xml:space="preserve">1.1 Summary of Formulation Development History</w:t>
      </w:r>
    </w:p>
    <w:p>
      <w:pPr>
        <w:spacing w:before="60" w:after="80"/>
        <w:jc w:val="left"/>
      </w:pPr>
      <w:r>
        <w:rPr>
          <w:rFonts w:ascii="Arial" w:cs="Arial" w:eastAsia="Arial" w:hAnsi="Arial"/>
          <w:b w:val="false"/>
          <w:bCs w:val="false"/>
          <w:i w:val="false"/>
          <w:iCs w:val="false"/>
          <w:color w:val="000000"/>
          <w:sz w:val="20"/>
          <w:szCs w:val="20"/>
        </w:rPr>
        <w:t xml:space="preserve">Formulation development proceeded in three sequential phases: (1) preformulation biophysical characterization of the drug substance to map instability risk; (2) Design of Experiment (DoE)-based screening of buffer, pH, and stabilizer space; and (3) confirmatory stability evaluation of the selected formulation under accelerated and long-term conditions. The resulting Phase I formulation is summarized in Table 1 of Section 2.</w:t>
      </w:r>
    </w:p>
    <w:p>
      <w:r>
        <w:br w:type="page"/>
      </w:r>
    </w:p>
    <w:p>
      <w:pPr>
        <w:pStyle w:val="Heading1"/>
        <w:spacing w:before="320" w:after="160"/>
      </w:pPr>
      <w:r>
        <w:rPr>
          <w:rFonts w:ascii="Arial" w:cs="Arial" w:eastAsia="Arial" w:hAnsi="Arial"/>
          <w:b/>
          <w:bCs/>
          <w:color w:val="1F3864"/>
          <w:sz w:val="28"/>
          <w:szCs w:val="28"/>
        </w:rPr>
        <w:t xml:space="preserve">2. DRUG PRODUCT COMPOSITION AND FORMULATION DESIGN</w:t>
      </w:r>
    </w:p>
    <w:p>
      <w:pPr>
        <w:pStyle w:val="Heading2"/>
        <w:spacing w:before="240" w:after="120"/>
      </w:pPr>
      <w:r>
        <w:rPr>
          <w:rFonts w:ascii="Arial" w:cs="Arial" w:eastAsia="Arial" w:hAnsi="Arial"/>
          <w:b/>
          <w:bCs/>
          <w:color w:val="2E6DA4"/>
          <w:sz w:val="24"/>
          <w:szCs w:val="24"/>
        </w:rPr>
        <w:t xml:space="preserve">2.1 Final Clinical Formulation — Phase I</w:t>
      </w:r>
    </w:p>
    <w:p>
      <w:pPr>
        <w:spacing w:before="60" w:after="80"/>
        <w:jc w:val="left"/>
      </w:pPr>
      <w:r>
        <w:rPr>
          <w:rFonts w:ascii="Arial" w:cs="Arial" w:eastAsia="Arial" w:hAnsi="Arial"/>
          <w:b w:val="false"/>
          <w:bCs w:val="false"/>
          <w:i w:val="false"/>
          <w:iCs w:val="false"/>
          <w:color w:val="000000"/>
          <w:sz w:val="20"/>
          <w:szCs w:val="20"/>
        </w:rPr>
        <w:t xml:space="preserve">Based on the formulation development studies summarized in this report, the Phase I clinical formulation for Cervimab drug product has been established as follows:</w:t>
      </w:r>
    </w:p>
    <w:p>
      <w:pPr>
        <w:spacing w:before="6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200"/>
        <w:gridCol w:w="1760"/>
      </w:tblGrid>
      <w:tr>
        <w:tc>
          <w:tcPr>
            <w:tcW w:type="dxa" w:w="28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26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Function</w:t>
            </w:r>
          </w:p>
        </w:tc>
        <w:tc>
          <w:tcPr>
            <w:tcW w:type="dxa" w:w="22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Quantity (per mL)</w:t>
            </w:r>
          </w:p>
        </w:tc>
        <w:tc>
          <w:tcPr>
            <w:tcW w:type="dxa" w:w="176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Compendial Grade</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Cervimab (drug substance)</w:t>
            </w:r>
          </w:p>
        </w:tc>
        <w:tc>
          <w:tcPr>
            <w:tcW w:type="dxa" w:w="2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Active pharmaceutical ingredient</w:t>
            </w:r>
          </w:p>
        </w:tc>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25.0 mg</w:t>
            </w:r>
          </w:p>
        </w:tc>
        <w:tc>
          <w:tcPr>
            <w:tcW w:type="dxa" w:w="17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L-Histidine</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Buffer / pH control</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2.33 mg (15 mM)</w:t>
            </w:r>
          </w:p>
        </w:tc>
        <w:tc>
          <w:tcPr>
            <w:tcW w:type="dxa" w:w="1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USP/NF, Ph. Eur.</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L-Histidine Hydrochloride Monohydrate</w:t>
            </w:r>
          </w:p>
        </w:tc>
        <w:tc>
          <w:tcPr>
            <w:tcW w:type="dxa" w:w="2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Buffer / pH control</w:t>
            </w:r>
          </w:p>
        </w:tc>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4.79 mg (20 mM)</w:t>
            </w:r>
          </w:p>
        </w:tc>
        <w:tc>
          <w:tcPr>
            <w:tcW w:type="dxa" w:w="17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USP/NF, Ph. Eur.</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Sucrose</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Lyoprotectant / tonicity agent</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85.0 mg (8.5% w/v)</w:t>
            </w:r>
          </w:p>
        </w:tc>
        <w:tc>
          <w:tcPr>
            <w:tcW w:type="dxa" w:w="1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USP/NF, Ph. Eur.</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Polysorbate 80 (PS80)</w:t>
            </w:r>
          </w:p>
        </w:tc>
        <w:tc>
          <w:tcPr>
            <w:tcW w:type="dxa" w:w="2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Surfactant / anti-agitation stabilizer</w:t>
            </w:r>
          </w:p>
        </w:tc>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0.40 mg (0.04% w/v)</w:t>
            </w:r>
          </w:p>
        </w:tc>
        <w:tc>
          <w:tcPr>
            <w:tcW w:type="dxa" w:w="17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USP/NF, Ph. Eur.</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Water for Injection (WFI)</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Solvent / vehicle</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q.s. to 1.0 mL</w:t>
            </w:r>
          </w:p>
        </w:tc>
        <w:tc>
          <w:tcPr>
            <w:tcW w:type="dxa" w:w="1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USP, Ph. Eur.</w:t>
            </w:r>
          </w:p>
        </w:tc>
      </w:tr>
    </w:tbl>
    <w:p>
      <w:pPr>
        <w:spacing w:before="60" w:after="80"/>
        <w:jc w:val="left"/>
      </w:pPr>
      <w:r>
        <w:rPr>
          <w:rFonts w:ascii="Arial" w:cs="Arial" w:eastAsia="Arial" w:hAnsi="Arial"/>
          <w:b w:val="false"/>
          <w:bCs w:val="false"/>
          <w:i/>
          <w:iCs/>
          <w:color w:val="000000"/>
          <w:sz w:val="18"/>
          <w:szCs w:val="18"/>
        </w:rPr>
        <w:t xml:space="preserve">Table 1. Cervimab drug product composition — Phase I clinical formulation. Target pH = 5.8 ± 0.2. Osmolality ≈ 340–360 mOsmol/kg. Fill volume: 10 mL (250 mg Cervimab) in 15 mL Type I borosilicate glass vials.</w:t>
      </w:r>
    </w:p>
    <w:p>
      <w:pPr>
        <w:spacing w:before="6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Target pH</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5.8 ± 0.2</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Target Osmolality</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340 – 360 mOsmol/kg</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Protein Concentration</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25 mg/mL</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Fill Volume</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10.0 mL (nominal)</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Container</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15 mL Type I borosilicate glass vial (Schott Fiolax® or equivalent)</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Closure</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20 mm FluroTec®-coated bromobutyl rubber stopper (West Pharmaceutical Services or equiv.)</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Seal</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20 mm aluminum crimp seal with flip-off cap</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Intended Route</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Intravenous infusion (diluted in 0.9% NaCl or D5W prior to administration)</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Storage Condition</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2°C – 8°C (refrigerated), protected from light</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In-Use Stability (diluted product)</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24 hours at 2°C – 8°C or 6 hours at room temperature (15–25°C)</w:t>
            </w:r>
          </w:p>
        </w:tc>
      </w:tr>
    </w:tbl>
    <w:p>
      <w:pPr>
        <w:pStyle w:val="Heading2"/>
        <w:spacing w:before="240" w:after="120"/>
      </w:pPr>
      <w:r>
        <w:rPr>
          <w:rFonts w:ascii="Arial" w:cs="Arial" w:eastAsia="Arial" w:hAnsi="Arial"/>
          <w:b/>
          <w:bCs/>
          <w:color w:val="2E6DA4"/>
          <w:sz w:val="24"/>
          <w:szCs w:val="24"/>
        </w:rPr>
        <w:t xml:space="preserve">2.2 Excipient Rationale</w:t>
      </w:r>
    </w:p>
    <w:p>
      <w:pPr>
        <w:pStyle w:val="Heading3"/>
        <w:spacing w:before="180" w:after="80"/>
      </w:pPr>
      <w:r>
        <w:rPr>
          <w:rFonts w:ascii="Arial" w:cs="Arial" w:eastAsia="Arial" w:hAnsi="Arial"/>
          <w:b/>
          <w:bCs/>
          <w:color w:val="000000"/>
          <w:sz w:val="22"/>
          <w:szCs w:val="22"/>
        </w:rPr>
        <w:t xml:space="preserve">2.2.1 Histidine Buffer System (pH 5.8)</w:t>
      </w:r>
    </w:p>
    <w:p>
      <w:pPr>
        <w:spacing w:before="60" w:after="80"/>
        <w:jc w:val="left"/>
      </w:pPr>
      <w:r>
        <w:rPr>
          <w:rFonts w:ascii="Arial" w:cs="Arial" w:eastAsia="Arial" w:hAnsi="Arial"/>
          <w:b w:val="false"/>
          <w:bCs w:val="false"/>
          <w:i w:val="false"/>
          <w:iCs w:val="false"/>
          <w:color w:val="000000"/>
          <w:sz w:val="20"/>
          <w:szCs w:val="20"/>
        </w:rPr>
        <w:t xml:space="preserve">Histidine was selected as the primary buffer based on preformulation screening data demonstrating superior protein conformational stability (lower Tagg by DLS, higher Tm1 by DSF) at pH 5.5–6.0 compared to acetate, citrate, and phosphate buffer systems evaluated at equivalent ionic strength (5 mM – 25 mM). Histidine additionally provides antioxidant activity that may protect methionine residues (Met252, Met428) from oxidation during the protein's shelf life. The dual-histidine/histidine-HCl system provides a well-buffered pH 5.8 formulation using a combination of free base and hydrochloride salt to achieve target pH without the addition of mineral acids.</w:t>
      </w:r>
    </w:p>
    <w:p>
      <w:pPr>
        <w:pStyle w:val="Heading3"/>
        <w:spacing w:before="180" w:after="80"/>
      </w:pPr>
      <w:r>
        <w:rPr>
          <w:rFonts w:ascii="Arial" w:cs="Arial" w:eastAsia="Arial" w:hAnsi="Arial"/>
          <w:b/>
          <w:bCs/>
          <w:color w:val="000000"/>
          <w:sz w:val="22"/>
          <w:szCs w:val="22"/>
        </w:rPr>
        <w:t xml:space="preserve">2.2.2 Sucrose (8.5% w/v)</w:t>
      </w:r>
    </w:p>
    <w:p>
      <w:pPr>
        <w:spacing w:before="60" w:after="80"/>
        <w:jc w:val="left"/>
      </w:pPr>
      <w:r>
        <w:rPr>
          <w:rFonts w:ascii="Arial" w:cs="Arial" w:eastAsia="Arial" w:hAnsi="Arial"/>
          <w:b w:val="false"/>
          <w:bCs w:val="false"/>
          <w:i w:val="false"/>
          <w:iCs w:val="false"/>
          <w:color w:val="000000"/>
          <w:sz w:val="20"/>
          <w:szCs w:val="20"/>
        </w:rPr>
        <w:t xml:space="preserve">Sucrose was selected as the primary stabilizer and isotonicity agent. Its inclusion at 8.5% (w/v) provides: (1) preferential exclusion from the protein surface (Timasheff mechanism), contributing to conformational stabilization; (2) sufficient tonicity (~340–360 mOsm/kg) compatible with IV administration without additional tonicity adjusters; and (3) cryoprotection if the protein concentration or long-term stability data later necessitate a lyophilized backup formulation. Trehalose was evaluated as an alternative but offered no statistically significant stability advantage in 6-month accelerated stress studies and presents greater viscosity at higher concentrations.</w:t>
      </w:r>
    </w:p>
    <w:p>
      <w:pPr>
        <w:pStyle w:val="Heading3"/>
        <w:spacing w:before="180" w:after="80"/>
      </w:pPr>
      <w:r>
        <w:rPr>
          <w:rFonts w:ascii="Arial" w:cs="Arial" w:eastAsia="Arial" w:hAnsi="Arial"/>
          <w:b/>
          <w:bCs/>
          <w:color w:val="000000"/>
          <w:sz w:val="22"/>
          <w:szCs w:val="22"/>
        </w:rPr>
        <w:t xml:space="preserve">2.2.3 Polysorbate 80 (0.04% w/v)</w:t>
      </w:r>
    </w:p>
    <w:p>
      <w:pPr>
        <w:spacing w:before="60" w:after="80"/>
        <w:jc w:val="left"/>
      </w:pPr>
      <w:r>
        <w:rPr>
          <w:rFonts w:ascii="Arial" w:cs="Arial" w:eastAsia="Arial" w:hAnsi="Arial"/>
          <w:b w:val="false"/>
          <w:bCs w:val="false"/>
          <w:i w:val="false"/>
          <w:iCs w:val="false"/>
          <w:color w:val="000000"/>
          <w:sz w:val="20"/>
          <w:szCs w:val="20"/>
        </w:rPr>
        <w:t xml:space="preserve">PS80 is included at 0.04% (w/v) to prevent interfacial stress-induced aggregation during formulation, filling, shipping, and IV administration. The surfactant concentration was optimized to provide maximum agitation protection (sub-visible particle formation on stirring/shaking) without excess PS80 that could lead to peroxide-mediated methionine or tryptophan oxidation on storage. The peroxide specification for the PS80 excipient lot is set at ≤ 0.03 mEq/g to mitigate oxidation risk.</w:t>
      </w:r>
    </w:p>
    <w:p>
      <w:r>
        <w:br w:type="page"/>
      </w:r>
    </w:p>
    <w:p>
      <w:pPr>
        <w:pStyle w:val="Heading1"/>
        <w:spacing w:before="320" w:after="160"/>
      </w:pPr>
      <w:r>
        <w:rPr>
          <w:rFonts w:ascii="Arial" w:cs="Arial" w:eastAsia="Arial" w:hAnsi="Arial"/>
          <w:b/>
          <w:bCs/>
          <w:color w:val="1F3864"/>
          <w:sz w:val="28"/>
          <w:szCs w:val="28"/>
        </w:rPr>
        <w:t xml:space="preserve">3. PREFORMULATION CHARACTERIZATION</w:t>
      </w:r>
    </w:p>
    <w:p>
      <w:pPr>
        <w:pStyle w:val="Heading2"/>
        <w:spacing w:before="240" w:after="120"/>
      </w:pPr>
      <w:r>
        <w:rPr>
          <w:rFonts w:ascii="Arial" w:cs="Arial" w:eastAsia="Arial" w:hAnsi="Arial"/>
          <w:b/>
          <w:bCs/>
          <w:color w:val="2E6DA4"/>
          <w:sz w:val="24"/>
          <w:szCs w:val="24"/>
        </w:rPr>
        <w:t xml:space="preserve">3.1 pH Stability Screen</w:t>
      </w:r>
    </w:p>
    <w:p>
      <w:pPr>
        <w:spacing w:before="60" w:after="80"/>
        <w:jc w:val="left"/>
      </w:pPr>
      <w:r>
        <w:rPr>
          <w:rFonts w:ascii="Arial" w:cs="Arial" w:eastAsia="Arial" w:hAnsi="Arial"/>
          <w:b w:val="false"/>
          <w:bCs w:val="false"/>
          <w:i w:val="false"/>
          <w:iCs w:val="false"/>
          <w:color w:val="000000"/>
          <w:sz w:val="20"/>
          <w:szCs w:val="20"/>
        </w:rPr>
        <w:t xml:space="preserve">Cervimab was buffer-exchanged into nine buffer conditions (pH 4.5, 5.0, 5.5, 5.8, 6.0, 6.5, 7.0, 7.4) at 5 mM buffer concentration and 5 mg/mL protein concentration using Amicon Ultra centrifugal concentrators. Samples were incubated at 40°C for 4 weeks. Stability was assessed by SEC-HPLC (% monomer), icIEF (charge variants), and turbidity (OD400).</w:t>
      </w:r>
    </w:p>
    <w:p>
      <w:pPr>
        <w:spacing w:before="6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1960"/>
        <w:gridCol w:w="1600"/>
      </w:tblGrid>
      <w:tr>
        <w:tc>
          <w:tcPr>
            <w:tcW w:type="dxa" w:w="12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w:t>
            </w:r>
          </w:p>
        </w:tc>
        <w:tc>
          <w:tcPr>
            <w:tcW w:type="dxa" w:w="22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Buffer</w:t>
            </w:r>
          </w:p>
        </w:tc>
        <w:tc>
          <w:tcPr>
            <w:tcW w:type="dxa" w:w="24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Monomer (4-wk, 40°C)</w:t>
            </w:r>
          </w:p>
        </w:tc>
        <w:tc>
          <w:tcPr>
            <w:tcW w:type="dxa" w:w="196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ΔAcidic Species (%)</w:t>
            </w:r>
          </w:p>
        </w:tc>
        <w:tc>
          <w:tcPr>
            <w:tcW w:type="dxa" w:w="16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Turbidity ΔOD400</w:t>
            </w:r>
          </w:p>
        </w:tc>
      </w:tr>
      <w:tr>
        <w:tc>
          <w:tcPr>
            <w:tcW w:type="dxa" w:w="1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4.5</w:t>
            </w:r>
          </w:p>
        </w:tc>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Acetate</w:t>
            </w:r>
          </w:p>
        </w:tc>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87.2</w:t>
            </w:r>
          </w:p>
        </w:tc>
        <w:tc>
          <w:tcPr>
            <w:tcW w:type="dxa" w:w="19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+8.4</w:t>
            </w:r>
          </w:p>
        </w:tc>
        <w:tc>
          <w:tcPr>
            <w:tcW w:type="dxa" w:w="1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0.142</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5.0</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Acetate</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94.1</w:t>
            </w:r>
          </w:p>
        </w:tc>
        <w:tc>
          <w:tcPr>
            <w:tcW w:type="dxa" w:w="1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+5.1</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0.062</w:t>
            </w:r>
          </w:p>
        </w:tc>
      </w:tr>
      <w:tr>
        <w:tc>
          <w:tcPr>
            <w:tcW w:type="dxa" w:w="1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5.5</w:t>
            </w:r>
          </w:p>
        </w:tc>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Histidine</w:t>
            </w:r>
          </w:p>
        </w:tc>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97.8</w:t>
            </w:r>
          </w:p>
        </w:tc>
        <w:tc>
          <w:tcPr>
            <w:tcW w:type="dxa" w:w="19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+2.6</w:t>
            </w:r>
          </w:p>
        </w:tc>
        <w:tc>
          <w:tcPr>
            <w:tcW w:type="dxa" w:w="1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0.018</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5.8</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Histidine</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98.3</w:t>
            </w:r>
          </w:p>
        </w:tc>
        <w:tc>
          <w:tcPr>
            <w:tcW w:type="dxa" w:w="1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+2.1</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0.012</w:t>
            </w:r>
          </w:p>
        </w:tc>
      </w:tr>
      <w:tr>
        <w:tc>
          <w:tcPr>
            <w:tcW w:type="dxa" w:w="1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6.0</w:t>
            </w:r>
          </w:p>
        </w:tc>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Histidine</w:t>
            </w:r>
          </w:p>
        </w:tc>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98.1</w:t>
            </w:r>
          </w:p>
        </w:tc>
        <w:tc>
          <w:tcPr>
            <w:tcW w:type="dxa" w:w="19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+2.3</w:t>
            </w:r>
          </w:p>
        </w:tc>
        <w:tc>
          <w:tcPr>
            <w:tcW w:type="dxa" w:w="1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0.014</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6.5</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Citrate</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97.6</w:t>
            </w:r>
          </w:p>
        </w:tc>
        <w:tc>
          <w:tcPr>
            <w:tcW w:type="dxa" w:w="1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+3.8</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0.021</w:t>
            </w:r>
          </w:p>
        </w:tc>
      </w:tr>
      <w:tr>
        <w:tc>
          <w:tcPr>
            <w:tcW w:type="dxa" w:w="1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7.0</w:t>
            </w:r>
          </w:p>
        </w:tc>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Phosphate</w:t>
            </w:r>
          </w:p>
        </w:tc>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94.9</w:t>
            </w:r>
          </w:p>
        </w:tc>
        <w:tc>
          <w:tcPr>
            <w:tcW w:type="dxa" w:w="19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+5.6</w:t>
            </w:r>
          </w:p>
        </w:tc>
        <w:tc>
          <w:tcPr>
            <w:tcW w:type="dxa" w:w="1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0.055</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7.4</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Phosphate</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91.8</w:t>
            </w:r>
          </w:p>
        </w:tc>
        <w:tc>
          <w:tcPr>
            <w:tcW w:type="dxa" w:w="1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+7.2</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0.094</w:t>
            </w:r>
          </w:p>
        </w:tc>
      </w:tr>
    </w:tbl>
    <w:p>
      <w:pPr>
        <w:spacing w:before="60" w:after="80"/>
        <w:jc w:val="left"/>
      </w:pPr>
      <w:r>
        <w:rPr>
          <w:rFonts w:ascii="Arial" w:cs="Arial" w:eastAsia="Arial" w:hAnsi="Arial"/>
          <w:b w:val="false"/>
          <w:bCs w:val="false"/>
          <w:i/>
          <w:iCs/>
          <w:color w:val="000000"/>
          <w:sz w:val="18"/>
          <w:szCs w:val="18"/>
        </w:rPr>
        <w:t xml:space="preserve">pH 5.5–6.0 in histidine buffer demonstrated the optimal stability window. pH 5.8 was selected as the formulation target, providing a safety margin from both the acidic-instability region and the higher-pH aggregation/deamidation-prone region.</w:t>
      </w:r>
    </w:p>
    <w:p>
      <w:pPr>
        <w:pStyle w:val="Heading2"/>
        <w:spacing w:before="240" w:after="120"/>
      </w:pPr>
      <w:r>
        <w:rPr>
          <w:rFonts w:ascii="Arial" w:cs="Arial" w:eastAsia="Arial" w:hAnsi="Arial"/>
          <w:b/>
          <w:bCs/>
          <w:color w:val="2E6DA4"/>
          <w:sz w:val="24"/>
          <w:szCs w:val="24"/>
        </w:rPr>
        <w:t xml:space="preserve">3.2 Buffer Type and Concentration Screen</w:t>
      </w:r>
    </w:p>
    <w:p>
      <w:pPr>
        <w:spacing w:before="60" w:after="80"/>
        <w:jc w:val="left"/>
      </w:pPr>
      <w:r>
        <w:rPr>
          <w:rFonts w:ascii="Arial" w:cs="Arial" w:eastAsia="Arial" w:hAnsi="Arial"/>
          <w:b w:val="false"/>
          <w:bCs w:val="false"/>
          <w:i w:val="false"/>
          <w:iCs w:val="false"/>
          <w:color w:val="000000"/>
          <w:sz w:val="20"/>
          <w:szCs w:val="20"/>
        </w:rPr>
        <w:t xml:space="preserve">At the selected pH 5.8, five buffer systems were compared: histidine (10, 20, 35 mM), acetate (10, 20, 35 mM), citrate (5, 10, 20 mM), succinate (5, 10, 20 mM), and phosphate (10, 20, 35 mM) using 4-week 40°C accelerated stress. Histidine at 20–35 mM provided the best combination of monomer retention, turbidity suppression, and deamidation inhibition. A concentration of 35 mM (combining histidine free base + HCl salt) was selected for buffer capacity at the target pH 5.8.</w:t>
      </w:r>
    </w:p>
    <w:p>
      <w:pPr>
        <w:pStyle w:val="Heading2"/>
        <w:spacing w:before="240" w:after="120"/>
      </w:pPr>
      <w:r>
        <w:rPr>
          <w:rFonts w:ascii="Arial" w:cs="Arial" w:eastAsia="Arial" w:hAnsi="Arial"/>
          <w:b/>
          <w:bCs/>
          <w:color w:val="2E6DA4"/>
          <w:sz w:val="24"/>
          <w:szCs w:val="24"/>
        </w:rPr>
        <w:t xml:space="preserve">3.3 Stabilizer Screening (DoE)</w:t>
      </w:r>
    </w:p>
    <w:p>
      <w:pPr>
        <w:spacing w:before="60" w:after="80"/>
        <w:jc w:val="left"/>
      </w:pPr>
      <w:r>
        <w:rPr>
          <w:rFonts w:ascii="Arial" w:cs="Arial" w:eastAsia="Arial" w:hAnsi="Arial"/>
          <w:b w:val="false"/>
          <w:bCs w:val="false"/>
          <w:i w:val="false"/>
          <w:iCs w:val="false"/>
          <w:color w:val="000000"/>
          <w:sz w:val="20"/>
          <w:szCs w:val="20"/>
        </w:rPr>
        <w:t xml:space="preserve">A 2-factor, 3-level central composite face-centered Design of Experiment was executed evaluating sucrose (0 – 10% w/v), trehalose (0 – 10% w/v), NaCl (0 – 150 mM), arginine-HCl (0 – 100 mM), and combinations thereof at 4-week 40°C stress. Responses included: % monomer (SEC), % main peak (icIEF), Tm1/Tm2 by nanoDSF (Prometheus NT.48, NanoTemper), Tagg by DLS (Zetasizer), and viscosity at 25 mg/mL.</w:t>
      </w:r>
    </w:p>
    <w:p>
      <w:pPr>
        <w:spacing w:before="60" w:after="60"/>
      </w:pPr>
      <w:r>
        <w:rPr>
          <w:sz w:val="20"/>
          <w:szCs w:val="20"/>
        </w:rPr>
        <w:t xml:space="preserve"/>
      </w:r>
    </w:p>
    <w:p>
      <w:pPr>
        <w:spacing w:before="60" w:after="80"/>
        <w:jc w:val="left"/>
      </w:pPr>
      <w:r>
        <w:rPr>
          <w:rFonts w:ascii="Arial" w:cs="Arial" w:eastAsia="Arial" w:hAnsi="Arial"/>
          <w:b w:val="false"/>
          <w:bCs w:val="false"/>
          <w:i w:val="false"/>
          <w:iCs w:val="false"/>
          <w:color w:val="000000"/>
          <w:sz w:val="20"/>
          <w:szCs w:val="20"/>
        </w:rPr>
        <w:t xml:space="preserve">Key DoE findings:</w:t>
      </w:r>
    </w:p>
    <w:p>
      <w:pPr>
        <w:pStyle w:val="ListParagraph"/>
        <w:numPr>
          <w:ilvl w:val="0"/>
          <w:numId w:val="2"/>
        </w:numPr>
        <w:spacing w:before="40" w:after="40"/>
      </w:pPr>
      <w:r>
        <w:rPr>
          <w:rFonts w:ascii="Arial" w:cs="Arial" w:eastAsia="Arial" w:hAnsi="Arial"/>
          <w:b w:val="false"/>
          <w:bCs w:val="false"/>
          <w:sz w:val="20"/>
          <w:szCs w:val="20"/>
        </w:rPr>
        <w:t xml:space="preserve">Sucrose ≥ 6% w/v provided significant stabilization vs. NaCl; 8.5% sucrose was identified as the optimal concentration balancing stability, viscosity (&lt;5 cP at 25°C), and osmolality</w:t>
      </w:r>
    </w:p>
    <w:p>
      <w:pPr>
        <w:pStyle w:val="ListParagraph"/>
        <w:numPr>
          <w:ilvl w:val="0"/>
          <w:numId w:val="2"/>
        </w:numPr>
        <w:spacing w:before="40" w:after="40"/>
      </w:pPr>
      <w:r>
        <w:rPr>
          <w:rFonts w:ascii="Arial" w:cs="Arial" w:eastAsia="Arial" w:hAnsi="Arial"/>
          <w:b w:val="false"/>
          <w:bCs w:val="false"/>
          <w:sz w:val="20"/>
          <w:szCs w:val="20"/>
        </w:rPr>
        <w:t xml:space="preserve">NaCl ≥ 75 mM decreased colloidal stability (lower kD by DLS) without conferring conformational benefit</w:t>
      </w:r>
    </w:p>
    <w:p>
      <w:pPr>
        <w:pStyle w:val="ListParagraph"/>
        <w:numPr>
          <w:ilvl w:val="0"/>
          <w:numId w:val="2"/>
        </w:numPr>
        <w:spacing w:before="40" w:after="40"/>
      </w:pPr>
      <w:r>
        <w:rPr>
          <w:rFonts w:ascii="Arial" w:cs="Arial" w:eastAsia="Arial" w:hAnsi="Arial"/>
          <w:b w:val="false"/>
          <w:bCs w:val="false"/>
          <w:sz w:val="20"/>
          <w:szCs w:val="20"/>
        </w:rPr>
        <w:t xml:space="preserve">Arginine-HCl at 25–50 mM provided marginal additional benefit over sucrose alone and was dropped to minimize formulation complexity</w:t>
      </w:r>
    </w:p>
    <w:p>
      <w:pPr>
        <w:pStyle w:val="ListParagraph"/>
        <w:numPr>
          <w:ilvl w:val="0"/>
          <w:numId w:val="2"/>
        </w:numPr>
        <w:spacing w:before="40" w:after="40"/>
      </w:pPr>
      <w:r>
        <w:rPr>
          <w:rFonts w:ascii="Arial" w:cs="Arial" w:eastAsia="Arial" w:hAnsi="Arial"/>
          <w:b w:val="false"/>
          <w:bCs w:val="false"/>
          <w:sz w:val="20"/>
          <w:szCs w:val="20"/>
        </w:rPr>
        <w:t xml:space="preserve">Trehalose and sucrose were statistically equivalent in stabilizing Cervimab under all conditions tested</w:t>
      </w:r>
    </w:p>
    <w:p>
      <w:pPr>
        <w:pStyle w:val="ListParagraph"/>
        <w:numPr>
          <w:ilvl w:val="0"/>
          <w:numId w:val="2"/>
        </w:numPr>
        <w:spacing w:before="40" w:after="40"/>
      </w:pPr>
      <w:r>
        <w:rPr>
          <w:rFonts w:ascii="Arial" w:cs="Arial" w:eastAsia="Arial" w:hAnsi="Arial"/>
          <w:b w:val="false"/>
          <w:bCs w:val="false"/>
          <w:sz w:val="20"/>
          <w:szCs w:val="20"/>
        </w:rPr>
        <w:t xml:space="preserve">PS80 (0.02–0.08%) demonstrated dose-dependent protection from agitation-induced aggregation with no stability benefit differences between 0.04% and 0.08%</w:t>
      </w:r>
    </w:p>
    <w:p>
      <w:pPr>
        <w:pStyle w:val="Heading2"/>
        <w:spacing w:before="240" w:after="120"/>
      </w:pPr>
      <w:r>
        <w:rPr>
          <w:rFonts w:ascii="Arial" w:cs="Arial" w:eastAsia="Arial" w:hAnsi="Arial"/>
          <w:b/>
          <w:bCs/>
          <w:color w:val="2E6DA4"/>
          <w:sz w:val="24"/>
          <w:szCs w:val="24"/>
        </w:rPr>
        <w:t xml:space="preserve">3.4 Protein Concentration Feasibility</w:t>
      </w:r>
    </w:p>
    <w:p>
      <w:pPr>
        <w:spacing w:before="60" w:after="80"/>
        <w:jc w:val="left"/>
      </w:pPr>
      <w:r>
        <w:rPr>
          <w:rFonts w:ascii="Arial" w:cs="Arial" w:eastAsia="Arial" w:hAnsi="Arial"/>
          <w:b w:val="false"/>
          <w:bCs w:val="false"/>
          <w:i w:val="false"/>
          <w:iCs w:val="false"/>
          <w:color w:val="000000"/>
          <w:sz w:val="20"/>
          <w:szCs w:val="20"/>
        </w:rPr>
        <w:t xml:space="preserve">Viscosity was assessed across protein concentrations of 5–50 mg/mL in the selected formulation buffer. At 25 mg/mL, viscosity measured 3.8 ± 0.2 cP (cone-and-plate rheometry at 25°C, shear rate 100 s⁻¹), well below the 10 cP threshold for IV administration. At 50 mg/mL, viscosity reached 12.4 ± 0.6 cP, approaching limits of acceptable syringe injectability. The 25 mg/mL Phase I target dose supports the full clinical dose range (1–10 mg/kg for a 70-kg patient ≈ 70–700 mg) within a 10 mL vial with dilution into a 50–250 mL infusion bag.</w:t>
      </w:r>
    </w:p>
    <w:p>
      <w:r>
        <w:br w:type="page"/>
      </w:r>
    </w:p>
    <w:p>
      <w:pPr>
        <w:pStyle w:val="Heading1"/>
        <w:spacing w:before="320" w:after="160"/>
      </w:pPr>
      <w:r>
        <w:rPr>
          <w:rFonts w:ascii="Arial" w:cs="Arial" w:eastAsia="Arial" w:hAnsi="Arial"/>
          <w:b/>
          <w:bCs/>
          <w:color w:val="1F3864"/>
          <w:sz w:val="28"/>
          <w:szCs w:val="28"/>
        </w:rPr>
        <w:t xml:space="preserve">4. CONTAINER CLOSURE SYSTEM</w:t>
      </w:r>
    </w:p>
    <w:p>
      <w:pPr>
        <w:pStyle w:val="Heading2"/>
        <w:spacing w:before="240" w:after="120"/>
      </w:pPr>
      <w:r>
        <w:rPr>
          <w:rFonts w:ascii="Arial" w:cs="Arial" w:eastAsia="Arial" w:hAnsi="Arial"/>
          <w:b/>
          <w:bCs/>
          <w:color w:val="2E6DA4"/>
          <w:sz w:val="24"/>
          <w:szCs w:val="24"/>
        </w:rPr>
        <w:t xml:space="preserve">4.1 Vial Selection and Compatibility</w:t>
      </w:r>
    </w:p>
    <w:p>
      <w:pPr>
        <w:spacing w:before="60" w:after="80"/>
        <w:jc w:val="left"/>
      </w:pPr>
      <w:r>
        <w:rPr>
          <w:rFonts w:ascii="Arial" w:cs="Arial" w:eastAsia="Arial" w:hAnsi="Arial"/>
          <w:b w:val="false"/>
          <w:bCs w:val="false"/>
          <w:i w:val="false"/>
          <w:iCs w:val="false"/>
          <w:color w:val="000000"/>
          <w:sz w:val="20"/>
          <w:szCs w:val="20"/>
        </w:rPr>
        <w:t xml:space="preserve">Type I borosilicate glass vials (15 mL capacity, 20 mm neck) were selected based on regulatory guidance (USP &lt;660&gt; Containers — Glass, FDA Guidance on Container Closure Systems for Packaging Human Drugs and Biologics). Chemical resistance testing following USP &lt;660&gt; and ISO 4802 confirmed no significant leachable metals (including barium, boron, silicon, sodium, zinc) above safety concern thresholds after 30-day contact at 2–8°C and 25°C.</w:t>
      </w:r>
    </w:p>
    <w:p>
      <w:pPr>
        <w:pStyle w:val="Heading2"/>
        <w:spacing w:before="240" w:after="120"/>
      </w:pPr>
      <w:r>
        <w:rPr>
          <w:rFonts w:ascii="Arial" w:cs="Arial" w:eastAsia="Arial" w:hAnsi="Arial"/>
          <w:b/>
          <w:bCs/>
          <w:color w:val="2E6DA4"/>
          <w:sz w:val="24"/>
          <w:szCs w:val="24"/>
        </w:rPr>
        <w:t xml:space="preserve">4.2 Stopper Selection and Extractables/Leachables</w:t>
      </w:r>
    </w:p>
    <w:p>
      <w:pPr>
        <w:spacing w:before="60" w:after="80"/>
        <w:jc w:val="left"/>
      </w:pPr>
      <w:r>
        <w:rPr>
          <w:rFonts w:ascii="Arial" w:cs="Arial" w:eastAsia="Arial" w:hAnsi="Arial"/>
          <w:b w:val="false"/>
          <w:bCs w:val="false"/>
          <w:i w:val="false"/>
          <w:iCs w:val="false"/>
          <w:color w:val="000000"/>
          <w:sz w:val="20"/>
          <w:szCs w:val="20"/>
        </w:rPr>
        <w:t xml:space="preserve">West FluroTec®-coated bromobutyl rubber stoppers were selected to minimize extractables relative to uncoated rubber formulations. Extractables/leachables assessment was conducted by high-resolution GC-MS and LC-HRMS following USP &lt;661&gt; and BPOG recommended extraction conditions. No leachables were detected above the analytical evaluation threshold (AET) of 0.15 µg/day based on proposed patient dose and daily exposure calculations per PQRI guidelines. Certification of compliance with EU REACH regulation is confirmed by the supplier.</w:t>
      </w:r>
    </w:p>
    <w:p>
      <w:pPr>
        <w:pStyle w:val="Heading2"/>
        <w:spacing w:before="240" w:after="120"/>
      </w:pPr>
      <w:r>
        <w:rPr>
          <w:rFonts w:ascii="Arial" w:cs="Arial" w:eastAsia="Arial" w:hAnsi="Arial"/>
          <w:b/>
          <w:bCs/>
          <w:color w:val="2E6DA4"/>
          <w:sz w:val="24"/>
          <w:szCs w:val="24"/>
        </w:rPr>
        <w:t xml:space="preserve">4.3 In-Use Compatibility Studies</w:t>
      </w:r>
    </w:p>
    <w:p>
      <w:pPr>
        <w:spacing w:before="60" w:after="80"/>
        <w:jc w:val="left"/>
      </w:pPr>
      <w:r>
        <w:rPr>
          <w:rFonts w:ascii="Arial" w:cs="Arial" w:eastAsia="Arial" w:hAnsi="Arial"/>
          <w:b w:val="false"/>
          <w:bCs w:val="false"/>
          <w:i w:val="false"/>
          <w:iCs w:val="false"/>
          <w:color w:val="000000"/>
          <w:sz w:val="20"/>
          <w:szCs w:val="20"/>
        </w:rPr>
        <w:t xml:space="preserve">Compatibility of diluted Cervimab (0.5 and 5 mg/mL) in 0.9% NaCl and 5% Dextrose (D5W) was evaluated in PVC and non-PVC (polyolefin) IV bags with polyethylene administration sets:</w:t>
      </w:r>
    </w:p>
    <w:p>
      <w:pPr>
        <w:pStyle w:val="ListParagraph"/>
        <w:numPr>
          <w:ilvl w:val="0"/>
          <w:numId w:val="2"/>
        </w:numPr>
        <w:spacing w:before="40" w:after="40"/>
      </w:pPr>
      <w:r>
        <w:rPr>
          <w:rFonts w:ascii="Arial" w:cs="Arial" w:eastAsia="Arial" w:hAnsi="Arial"/>
          <w:b w:val="false"/>
          <w:bCs w:val="false"/>
          <w:sz w:val="20"/>
          <w:szCs w:val="20"/>
        </w:rPr>
        <w:t xml:space="preserve">No significant loss of protein concentration (±5%) over 6 hours at 15–25°C or 24 hours at 2–8°C</w:t>
      </w:r>
    </w:p>
    <w:p>
      <w:pPr>
        <w:pStyle w:val="ListParagraph"/>
        <w:numPr>
          <w:ilvl w:val="0"/>
          <w:numId w:val="2"/>
        </w:numPr>
        <w:spacing w:before="40" w:after="40"/>
      </w:pPr>
      <w:r>
        <w:rPr>
          <w:rFonts w:ascii="Arial" w:cs="Arial" w:eastAsia="Arial" w:hAnsi="Arial"/>
          <w:b w:val="false"/>
          <w:bCs w:val="false"/>
          <w:sz w:val="20"/>
          <w:szCs w:val="20"/>
        </w:rPr>
        <w:t xml:space="preserve">No increase in sub-visible particles (MFI ≥1 µm, ≥2 µm, ≥5 µm, ≥10 µm, ≥25 µm) relative to undiluted product</w:t>
      </w:r>
    </w:p>
    <w:p>
      <w:pPr>
        <w:pStyle w:val="ListParagraph"/>
        <w:numPr>
          <w:ilvl w:val="0"/>
          <w:numId w:val="2"/>
        </w:numPr>
        <w:spacing w:before="40" w:after="40"/>
      </w:pPr>
      <w:r>
        <w:rPr>
          <w:rFonts w:ascii="Arial" w:cs="Arial" w:eastAsia="Arial" w:hAnsi="Arial"/>
          <w:b w:val="false"/>
          <w:bCs w:val="false"/>
          <w:sz w:val="20"/>
          <w:szCs w:val="20"/>
        </w:rPr>
        <w:t xml:space="preserve">No increase in aggregation by DLS or SEC-HPLC</w:t>
      </w:r>
    </w:p>
    <w:p>
      <w:pPr>
        <w:pStyle w:val="ListParagraph"/>
        <w:numPr>
          <w:ilvl w:val="0"/>
          <w:numId w:val="2"/>
        </w:numPr>
        <w:spacing w:before="40" w:after="40"/>
      </w:pPr>
      <w:r>
        <w:rPr>
          <w:rFonts w:ascii="Arial" w:cs="Arial" w:eastAsia="Arial" w:hAnsi="Arial"/>
          <w:b w:val="false"/>
          <w:bCs w:val="false"/>
          <w:sz w:val="20"/>
          <w:szCs w:val="20"/>
        </w:rPr>
        <w:t xml:space="preserve">No pH shift &gt; 0.3 units</w:t>
      </w:r>
    </w:p>
    <w:p>
      <w:pPr>
        <w:pStyle w:val="ListParagraph"/>
        <w:numPr>
          <w:ilvl w:val="0"/>
          <w:numId w:val="2"/>
        </w:numPr>
        <w:spacing w:before="40" w:after="40"/>
      </w:pPr>
      <w:r>
        <w:rPr>
          <w:rFonts w:ascii="Arial" w:cs="Arial" w:eastAsia="Arial" w:hAnsi="Arial"/>
          <w:b w:val="false"/>
          <w:bCs w:val="false"/>
          <w:sz w:val="20"/>
          <w:szCs w:val="20"/>
        </w:rPr>
        <w:t xml:space="preserve">In-use stability specification: diluted product should be administered within 24 hours if stored at 2–8°C, or within 6 hours at room temperature (15–25°C)</w:t>
      </w:r>
    </w:p>
    <w:p>
      <w:r>
        <w:br w:type="page"/>
      </w:r>
    </w:p>
    <w:p>
      <w:pPr>
        <w:pStyle w:val="Heading1"/>
        <w:spacing w:before="320" w:after="160"/>
      </w:pPr>
      <w:r>
        <w:rPr>
          <w:rFonts w:ascii="Arial" w:cs="Arial" w:eastAsia="Arial" w:hAnsi="Arial"/>
          <w:b/>
          <w:bCs/>
          <w:color w:val="1F3864"/>
          <w:sz w:val="28"/>
          <w:szCs w:val="28"/>
        </w:rPr>
        <w:t xml:space="preserve">5. MANUFACTURING PROCESS DEVELOPMENT</w:t>
      </w:r>
    </w:p>
    <w:p>
      <w:pPr>
        <w:pStyle w:val="Heading2"/>
        <w:spacing w:before="240" w:after="120"/>
      </w:pPr>
      <w:r>
        <w:rPr>
          <w:rFonts w:ascii="Arial" w:cs="Arial" w:eastAsia="Arial" w:hAnsi="Arial"/>
          <w:b/>
          <w:bCs/>
          <w:color w:val="2E6DA4"/>
          <w:sz w:val="24"/>
          <w:szCs w:val="24"/>
        </w:rPr>
        <w:t xml:space="preserve">5.1 Drug Product Manufacturing Process Summary</w:t>
      </w:r>
    </w:p>
    <w:p>
      <w:pPr>
        <w:spacing w:before="60" w:after="80"/>
        <w:jc w:val="left"/>
      </w:pPr>
      <w:r>
        <w:rPr>
          <w:rFonts w:ascii="Arial" w:cs="Arial" w:eastAsia="Arial" w:hAnsi="Arial"/>
          <w:b w:val="false"/>
          <w:bCs w:val="false"/>
          <w:i w:val="false"/>
          <w:iCs w:val="false"/>
          <w:color w:val="000000"/>
          <w:sz w:val="20"/>
          <w:szCs w:val="20"/>
        </w:rPr>
        <w:t xml:space="preserve">The clinical drug product manufacturing process consists of the following unit operations:</w:t>
      </w:r>
    </w:p>
    <w:p>
      <w:pPr>
        <w:spacing w:before="6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5640"/>
      </w:tblGrid>
      <w:tr>
        <w:tc>
          <w:tcPr>
            <w:tcW w:type="dxa" w:w="72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30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Unit Operation</w:t>
            </w:r>
          </w:p>
        </w:tc>
        <w:tc>
          <w:tcPr>
            <w:tcW w:type="dxa" w:w="564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Process Parameters / Controls</w:t>
            </w:r>
          </w:p>
        </w:tc>
      </w:tr>
      <w:tr>
        <w:tc>
          <w:tcPr>
            <w:tcW w:type="dxa" w:w="7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bCs/>
                <w:i w:val="false"/>
                <w:iCs w:val="false"/>
                <w:color w:val="000000"/>
                <w:sz w:val="18"/>
                <w:szCs w:val="18"/>
              </w:rPr>
              <w:t xml:space="preserve">1</w:t>
            </w:r>
          </w:p>
        </w:tc>
        <w:tc>
          <w:tcPr>
            <w:tcW w:type="dxa" w:w="30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DS Thaw</w:t>
            </w:r>
          </w:p>
        </w:tc>
        <w:tc>
          <w:tcPr>
            <w:tcW w:type="dxa" w:w="56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Controlled thaw at 2–8°C (max 24h); visual inspection for particulates/aggregates</w:t>
            </w:r>
          </w:p>
        </w:tc>
      </w:tr>
      <w:tr>
        <w:tc>
          <w:tcPr>
            <w:tcW w:type="dxa" w:w="7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000000"/>
                <w:sz w:val="18"/>
                <w:szCs w:val="18"/>
              </w:rPr>
              <w:t xml:space="preserve">2</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Formulation Compounding</w:t>
            </w:r>
          </w:p>
        </w:tc>
        <w:tc>
          <w:tcPr>
            <w:tcW w:type="dxa" w:w="56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Excipient addition with mixing; pH adjustment (target 5.8 ± 0.2); QS to volume with WFI</w:t>
            </w:r>
          </w:p>
        </w:tc>
      </w:tr>
      <w:tr>
        <w:tc>
          <w:tcPr>
            <w:tcW w:type="dxa" w:w="7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bCs/>
                <w:i w:val="false"/>
                <w:iCs w:val="false"/>
                <w:color w:val="000000"/>
                <w:sz w:val="18"/>
                <w:szCs w:val="18"/>
              </w:rPr>
              <w:t xml:space="preserve">3</w:t>
            </w:r>
          </w:p>
        </w:tc>
        <w:tc>
          <w:tcPr>
            <w:tcW w:type="dxa" w:w="30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Bulk Filtration (pre-filter)</w:t>
            </w:r>
          </w:p>
        </w:tc>
        <w:tc>
          <w:tcPr>
            <w:tcW w:type="dxa" w:w="56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0.22 µm Sartorius Sartobran P + 0.22 µm Millipore Durapore; integrity test pre/post</w:t>
            </w:r>
          </w:p>
        </w:tc>
      </w:tr>
      <w:tr>
        <w:tc>
          <w:tcPr>
            <w:tcW w:type="dxa" w:w="7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000000"/>
                <w:sz w:val="18"/>
                <w:szCs w:val="18"/>
              </w:rPr>
              <w:t xml:space="preserve">4</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Bioburden Reduction Filtration</w:t>
            </w:r>
          </w:p>
        </w:tc>
        <w:tc>
          <w:tcPr>
            <w:tcW w:type="dxa" w:w="56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0.22 µm PVDF membrane; filter integrity test pre/post (IPA bubble point)</w:t>
            </w:r>
          </w:p>
        </w:tc>
      </w:tr>
      <w:tr>
        <w:tc>
          <w:tcPr>
            <w:tcW w:type="dxa" w:w="7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bCs/>
                <w:i w:val="false"/>
                <w:iCs w:val="false"/>
                <w:color w:val="000000"/>
                <w:sz w:val="18"/>
                <w:szCs w:val="18"/>
              </w:rPr>
              <w:t xml:space="preserve">5</w:t>
            </w:r>
          </w:p>
        </w:tc>
        <w:tc>
          <w:tcPr>
            <w:tcW w:type="dxa" w:w="30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Aseptic Filling</w:t>
            </w:r>
          </w:p>
        </w:tc>
        <w:tc>
          <w:tcPr>
            <w:tcW w:type="dxa" w:w="56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Target fill volume: 10.0 mL (±0.2 mL); filling performed in ISO 5 (Class A) environment under ISO 7 background</w:t>
            </w:r>
          </w:p>
        </w:tc>
      </w:tr>
      <w:tr>
        <w:tc>
          <w:tcPr>
            <w:tcW w:type="dxa" w:w="7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000000"/>
                <w:sz w:val="18"/>
                <w:szCs w:val="18"/>
              </w:rPr>
              <w:t xml:space="preserve">6</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Stoppering / Capping</w:t>
            </w:r>
          </w:p>
        </w:tc>
        <w:tc>
          <w:tcPr>
            <w:tcW w:type="dxa" w:w="56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Automatic rotary stopper placement; nitrogen overlay; automatic capping under ISO 5</w:t>
            </w:r>
          </w:p>
        </w:tc>
      </w:tr>
      <w:tr>
        <w:tc>
          <w:tcPr>
            <w:tcW w:type="dxa" w:w="7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bCs/>
                <w:i w:val="false"/>
                <w:iCs w:val="false"/>
                <w:color w:val="000000"/>
                <w:sz w:val="18"/>
                <w:szCs w:val="18"/>
              </w:rPr>
              <w:t xml:space="preserve">7</w:t>
            </w:r>
          </w:p>
        </w:tc>
        <w:tc>
          <w:tcPr>
            <w:tcW w:type="dxa" w:w="30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Visual Inspection</w:t>
            </w:r>
          </w:p>
        </w:tc>
        <w:tc>
          <w:tcPr>
            <w:tcW w:type="dxa" w:w="56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100% automated (Brevetti CEA or Seidenader equivalent) + 5% manual AQL reinspection</w:t>
            </w:r>
          </w:p>
        </w:tc>
      </w:tr>
      <w:tr>
        <w:tc>
          <w:tcPr>
            <w:tcW w:type="dxa" w:w="7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000000"/>
                <w:sz w:val="18"/>
                <w:szCs w:val="18"/>
              </w:rPr>
              <w:t xml:space="preserve">8</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Labeling / Packaging</w:t>
            </w:r>
          </w:p>
        </w:tc>
        <w:tc>
          <w:tcPr>
            <w:tcW w:type="dxa" w:w="56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Secondary packaging with serialization per FDA 21 CFR 610 and DSCSA requirements</w:t>
            </w:r>
          </w:p>
        </w:tc>
      </w:tr>
    </w:tbl>
    <w:p>
      <w:pPr>
        <w:pStyle w:val="Heading2"/>
        <w:spacing w:before="240" w:after="120"/>
      </w:pPr>
      <w:r>
        <w:rPr>
          <w:rFonts w:ascii="Arial" w:cs="Arial" w:eastAsia="Arial" w:hAnsi="Arial"/>
          <w:b/>
          <w:bCs/>
          <w:color w:val="2E6DA4"/>
          <w:sz w:val="24"/>
          <w:szCs w:val="24"/>
        </w:rPr>
        <w:t xml:space="preserve">5.2 Filtration Development</w:t>
      </w:r>
    </w:p>
    <w:p>
      <w:pPr>
        <w:spacing w:before="60" w:after="80"/>
        <w:jc w:val="left"/>
      </w:pPr>
      <w:r>
        <w:rPr>
          <w:rFonts w:ascii="Arial" w:cs="Arial" w:eastAsia="Arial" w:hAnsi="Arial"/>
          <w:b w:val="false"/>
          <w:bCs w:val="false"/>
          <w:i w:val="false"/>
          <w:iCs w:val="false"/>
          <w:color w:val="000000"/>
          <w:sz w:val="20"/>
          <w:szCs w:val="20"/>
        </w:rPr>
        <w:t xml:space="preserve">Protein retention and filter compatibility studies were performed using scaled-down 0.22 µm Durapore PVDF filter discs (Millipore) at process-representative flux rates (150–250 LMH) and volumes (up to 100 L/m² equivalent). No protein adsorption loss &gt; 2% was observed. Protein recovery post-filtration was ≥ 98.5% for all filter types evaluated. Extractables from PVDF membranes were confirmed non-detectable by LC-HRMS above the AET at proposed processing volumes.</w:t>
      </w:r>
    </w:p>
    <w:p>
      <w:pPr>
        <w:pStyle w:val="Heading2"/>
        <w:spacing w:before="240" w:after="120"/>
      </w:pPr>
      <w:r>
        <w:rPr>
          <w:rFonts w:ascii="Arial" w:cs="Arial" w:eastAsia="Arial" w:hAnsi="Arial"/>
          <w:b/>
          <w:bCs/>
          <w:color w:val="2E6DA4"/>
          <w:sz w:val="24"/>
          <w:szCs w:val="24"/>
        </w:rPr>
        <w:t xml:space="preserve">5.3 Freeze-Thaw Characterization</w:t>
      </w:r>
    </w:p>
    <w:p>
      <w:pPr>
        <w:spacing w:before="60" w:after="80"/>
        <w:jc w:val="left"/>
      </w:pPr>
      <w:r>
        <w:rPr>
          <w:rFonts w:ascii="Arial" w:cs="Arial" w:eastAsia="Arial" w:hAnsi="Arial"/>
          <w:b w:val="false"/>
          <w:bCs w:val="false"/>
          <w:i w:val="false"/>
          <w:iCs w:val="false"/>
          <w:color w:val="000000"/>
          <w:sz w:val="20"/>
          <w:szCs w:val="20"/>
        </w:rPr>
        <w:t xml:space="preserve">Drug product freeze-thaw studies were conducted using commercial cryovessels (2L CryoWedge, Single-Use Support) at controlled cooling rates of 0.5°C/min to -40°C. Three freeze-thaw cycles were performed; samples were analyzed post-thaw by SEC-HPLC, DLS, sub-visible particle analysis (MFI), and potency. No significant changes in any attribute were observed across three cycles, supporting bulk drug substance frozen storage at -80°C and controlled thaw during drug product manufacturing.</w:t>
      </w:r>
    </w:p>
    <w:p>
      <w:r>
        <w:br w:type="page"/>
      </w:r>
    </w:p>
    <w:p>
      <w:pPr>
        <w:pStyle w:val="Heading1"/>
        <w:spacing w:before="320" w:after="160"/>
      </w:pPr>
      <w:r>
        <w:rPr>
          <w:rFonts w:ascii="Arial" w:cs="Arial" w:eastAsia="Arial" w:hAnsi="Arial"/>
          <w:b/>
          <w:bCs/>
          <w:color w:val="1F3864"/>
          <w:sz w:val="28"/>
          <w:szCs w:val="28"/>
        </w:rPr>
        <w:t xml:space="preserve">6. COMPARABILITY AND ROBUSTNESS EVALUATION</w:t>
      </w:r>
    </w:p>
    <w:p>
      <w:pPr>
        <w:pStyle w:val="Heading2"/>
        <w:spacing w:before="240" w:after="120"/>
      </w:pPr>
      <w:r>
        <w:rPr>
          <w:rFonts w:ascii="Arial" w:cs="Arial" w:eastAsia="Arial" w:hAnsi="Arial"/>
          <w:b/>
          <w:bCs/>
          <w:color w:val="2E6DA4"/>
          <w:sz w:val="24"/>
          <w:szCs w:val="24"/>
        </w:rPr>
        <w:t xml:space="preserve">6.1 Formulation Robustness — Stress Studies</w:t>
      </w:r>
    </w:p>
    <w:p>
      <w:pPr>
        <w:spacing w:before="60" w:after="80"/>
        <w:jc w:val="left"/>
      </w:pPr>
      <w:r>
        <w:rPr>
          <w:rFonts w:ascii="Arial" w:cs="Arial" w:eastAsia="Arial" w:hAnsi="Arial"/>
          <w:b w:val="false"/>
          <w:bCs w:val="false"/>
          <w:i w:val="false"/>
          <w:iCs w:val="false"/>
          <w:color w:val="000000"/>
          <w:sz w:val="20"/>
          <w:szCs w:val="20"/>
        </w:rPr>
        <w:t xml:space="preserve">Cervimab drug product (Phase I formulation) was subjected to the following forced-degradation conditions to establish the stability-indicating nature of analytical methods and to confirm formulation robustness:</w:t>
      </w:r>
    </w:p>
    <w:p>
      <w:pPr>
        <w:spacing w:before="6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360"/>
        <w:gridCol w:w="2600"/>
      </w:tblGrid>
      <w:tr>
        <w:tc>
          <w:tcPr>
            <w:tcW w:type="dxa" w:w="24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Stress Condition</w:t>
            </w:r>
          </w:p>
        </w:tc>
        <w:tc>
          <w:tcPr>
            <w:tcW w:type="dxa" w:w="20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Condition</w:t>
            </w:r>
          </w:p>
        </w:tc>
        <w:tc>
          <w:tcPr>
            <w:tcW w:type="dxa" w:w="236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Duration</w:t>
            </w:r>
          </w:p>
        </w:tc>
        <w:tc>
          <w:tcPr>
            <w:tcW w:type="dxa" w:w="26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Major Observed Degradation</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Thermal stress</w:t>
            </w:r>
          </w:p>
        </w:tc>
        <w:tc>
          <w:tcPr>
            <w:tcW w:type="dxa" w:w="20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40°C / 75% RH</w:t>
            </w:r>
          </w:p>
        </w:tc>
        <w:tc>
          <w:tcPr>
            <w:tcW w:type="dxa" w:w="23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4 weeks</w:t>
            </w:r>
          </w:p>
        </w:tc>
        <w:tc>
          <w:tcPr>
            <w:tcW w:type="dxa" w:w="2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Deamidation (Asn-CDR), charge variants; minimal aggregation</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Agitation / mechanical stress</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200 rpm orbital shaking, 25°C</w:t>
            </w:r>
          </w:p>
        </w:tc>
        <w:tc>
          <w:tcPr>
            <w:tcW w:type="dxa" w:w="2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48 hours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Sub-visible particles &gt;1 µm (suppressed by PS80)</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Freeze-thaw (DP)</w:t>
            </w:r>
          </w:p>
        </w:tc>
        <w:tc>
          <w:tcPr>
            <w:tcW w:type="dxa" w:w="20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-40°C ↔ +25°C</w:t>
            </w:r>
          </w:p>
        </w:tc>
        <w:tc>
          <w:tcPr>
            <w:tcW w:type="dxa" w:w="23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3 cycles</w:t>
            </w:r>
          </w:p>
        </w:tc>
        <w:tc>
          <w:tcPr>
            <w:tcW w:type="dxa" w:w="2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No significant change; particle increase &lt;5% vs. control</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Oxidative stress</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0.01% H₂O₂, 25°C</w:t>
            </w:r>
          </w:p>
        </w:tc>
        <w:tc>
          <w:tcPr>
            <w:tcW w:type="dxa" w:w="2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24 hours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Met252/Met428 oxidation (~12%); Trp oxidation (~3%)</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pH stress</w:t>
            </w:r>
          </w:p>
        </w:tc>
        <w:tc>
          <w:tcPr>
            <w:tcW w:type="dxa" w:w="20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pH 4.0 / pH 8.0, 25°C</w:t>
            </w:r>
          </w:p>
        </w:tc>
        <w:tc>
          <w:tcPr>
            <w:tcW w:type="dxa" w:w="23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24 hours</w:t>
            </w:r>
          </w:p>
        </w:tc>
        <w:tc>
          <w:tcPr>
            <w:tcW w:type="dxa" w:w="2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Increased LMW fragments (pH 4.0); increased deamidation (pH 8.0)</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Light stress</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ICH Q1B Option 2, 1.2M Lux·hr</w:t>
            </w:r>
          </w:p>
        </w:tc>
        <w:tc>
          <w:tcPr>
            <w:tcW w:type="dxa" w:w="2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Trp photooxidation; minor turbidity increase</w:t>
            </w:r>
          </w:p>
        </w:tc>
      </w:tr>
    </w:tbl>
    <w:p>
      <w:pPr>
        <w:spacing w:before="60" w:after="80"/>
        <w:jc w:val="left"/>
      </w:pPr>
      <w:r>
        <w:rPr>
          <w:rFonts w:ascii="Arial" w:cs="Arial" w:eastAsia="Arial" w:hAnsi="Arial"/>
          <w:b w:val="false"/>
          <w:bCs w:val="false"/>
          <w:i/>
          <w:iCs/>
          <w:color w:val="000000"/>
          <w:sz w:val="18"/>
          <w:szCs w:val="18"/>
        </w:rPr>
        <w:t xml:space="preserve">Forced degradation results confirm that SEC-HPLC, icIEF, peptide mapping, and potency assay are stability-indicating for Cervimab. The agitation study confirms the critical role of PS80 in preventing mechanical stress-induced aggregation.</w:t>
      </w:r>
    </w:p>
    <w:p>
      <w:pPr>
        <w:pStyle w:val="Heading2"/>
        <w:spacing w:before="240" w:after="120"/>
      </w:pPr>
      <w:r>
        <w:rPr>
          <w:rFonts w:ascii="Arial" w:cs="Arial" w:eastAsia="Arial" w:hAnsi="Arial"/>
          <w:b/>
          <w:bCs/>
          <w:color w:val="2E6DA4"/>
          <w:sz w:val="24"/>
          <w:szCs w:val="24"/>
        </w:rPr>
        <w:t xml:space="preserve">6.2 Drug Substance/Drug Product Comparability</w:t>
      </w:r>
    </w:p>
    <w:p>
      <w:pPr>
        <w:spacing w:before="60" w:after="80"/>
        <w:jc w:val="left"/>
      </w:pPr>
      <w:r>
        <w:rPr>
          <w:rFonts w:ascii="Arial" w:cs="Arial" w:eastAsia="Arial" w:hAnsi="Arial"/>
          <w:b w:val="false"/>
          <w:bCs w:val="false"/>
          <w:i w:val="false"/>
          <w:iCs w:val="false"/>
          <w:color w:val="000000"/>
          <w:sz w:val="20"/>
          <w:szCs w:val="20"/>
        </w:rPr>
        <w:t xml:space="preserve">A formal comparability exercise was conducted between Cervimab drug substance (pre-filtration) and drug product (post-fill-finish) to confirm that the manufacturing process does not introduce changes in protein quality attributes. Results across the full analytical characterization panel (SEC, CE-SDS, icIEF, potency SPR, glycan profile, peptide mapping) demonstrated no significant differences between DS and DP within analytical variability, confirming process comparability.</w:t>
      </w:r>
    </w:p>
    <w:p>
      <w:r>
        <w:br w:type="page"/>
      </w:r>
    </w:p>
    <w:p>
      <w:pPr>
        <w:pStyle w:val="Heading1"/>
        <w:spacing w:before="320" w:after="160"/>
      </w:pPr>
      <w:r>
        <w:rPr>
          <w:rFonts w:ascii="Arial" w:cs="Arial" w:eastAsia="Arial" w:hAnsi="Arial"/>
          <w:b/>
          <w:bCs/>
          <w:color w:val="1F3864"/>
          <w:sz w:val="28"/>
          <w:szCs w:val="28"/>
        </w:rPr>
        <w:t xml:space="preserve">7. RISK ASSESSMENT — QUALITY RISK MANAGEMENT (ICH Q9)</w:t>
      </w:r>
    </w:p>
    <w:p>
      <w:pPr>
        <w:spacing w:before="60" w:after="80"/>
        <w:jc w:val="left"/>
      </w:pPr>
      <w:r>
        <w:rPr>
          <w:rFonts w:ascii="Arial" w:cs="Arial" w:eastAsia="Arial" w:hAnsi="Arial"/>
          <w:b w:val="false"/>
          <w:bCs w:val="false"/>
          <w:i w:val="false"/>
          <w:iCs w:val="false"/>
          <w:color w:val="000000"/>
          <w:sz w:val="20"/>
          <w:szCs w:val="20"/>
        </w:rPr>
        <w:t xml:space="preserve">A formal Quality Risk Management (QRM) assessment using Failure Mode and Effects Analysis (FMEA) was conducted to identify and mitigate formulation-related quality risks. Critical quality attributes (CQAs) of Cervimab drug product with highest risk scores (RPN &gt; 100) and corresponding mitigations are summarized:</w:t>
      </w:r>
    </w:p>
    <w:p>
      <w:pPr>
        <w:spacing w:before="6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1960"/>
        <w:gridCol w:w="1400"/>
      </w:tblGrid>
      <w:tr>
        <w:tc>
          <w:tcPr>
            <w:tcW w:type="dxa" w:w="22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CQA / Attribute</w:t>
            </w:r>
          </w:p>
        </w:tc>
        <w:tc>
          <w:tcPr>
            <w:tcW w:type="dxa" w:w="16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 (Pre-mitigation)</w:t>
            </w:r>
          </w:p>
        </w:tc>
        <w:tc>
          <w:tcPr>
            <w:tcW w:type="dxa" w:w="22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Failure Mode</w:t>
            </w:r>
          </w:p>
        </w:tc>
        <w:tc>
          <w:tcPr>
            <w:tcW w:type="dxa" w:w="196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Mitigation</w:t>
            </w:r>
          </w:p>
        </w:tc>
        <w:tc>
          <w:tcPr>
            <w:tcW w:type="dxa" w:w="14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 (Post-mitigation)</w:t>
            </w:r>
          </w:p>
        </w:tc>
      </w:tr>
      <w:tr>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Aggregation (HMW%)</w:t>
            </w:r>
          </w:p>
        </w:tc>
        <w:tc>
          <w:tcPr>
            <w:tcW w:type="dxa" w:w="1600"/>
            <w:tcBorders>
              <w:top w:val="single" w:color="AAAAAA" w:sz="4"/>
              <w:left w:val="single" w:color="AAAAAA" w:sz="4"/>
              <w:bottom w:val="single" w:color="AAAAAA" w:sz="4"/>
              <w:right w:val="single" w:color="AAAAAA" w:sz="4"/>
            </w:tcBorders>
            <w:shd w:fill="FDECEA" w:val="clear"/>
            <w:tcMar>
              <w:top w:type="dxa" w:w="60"/>
              <w:left w:type="dxa" w:w="120"/>
              <w:bottom w:type="dxa" w:w="60"/>
              <w:right w:type="dxa" w:w="120"/>
            </w:tcMar>
          </w:tcPr>
          <w:p>
            <w:pPr>
              <w:jc w:val="center"/>
            </w:pPr>
            <w:r>
              <w:rPr>
                <w:rFonts w:ascii="Arial" w:cs="Arial" w:eastAsia="Arial" w:hAnsi="Arial"/>
                <w:b/>
                <w:bCs/>
                <w:i w:val="false"/>
                <w:iCs w:val="false"/>
                <w:color w:val="8B0000"/>
                <w:sz w:val="18"/>
                <w:szCs w:val="18"/>
              </w:rPr>
              <w:t xml:space="preserve">High</w:t>
            </w:r>
          </w:p>
        </w:tc>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Temperature excursion, agitation, light stress</w:t>
            </w:r>
          </w:p>
        </w:tc>
        <w:tc>
          <w:tcPr>
            <w:tcW w:type="dxa" w:w="19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PS80, 2–8°C storage, lightprotected packaging, sucrose stabilization</w:t>
            </w:r>
          </w:p>
        </w:tc>
        <w:tc>
          <w:tcPr>
            <w:tcW w:type="dxa" w:w="1400"/>
            <w:tcBorders>
              <w:top w:val="single" w:color="AAAAAA" w:sz="4"/>
              <w:left w:val="single" w:color="AAAAAA" w:sz="4"/>
              <w:bottom w:val="single" w:color="AAAAAA" w:sz="4"/>
              <w:right w:val="single" w:color="AAAAAA" w:sz="4"/>
            </w:tcBorders>
            <w:shd w:fill="D9EAD3" w:val="clear"/>
            <w:tcMar>
              <w:top w:type="dxa" w:w="60"/>
              <w:left w:type="dxa" w:w="120"/>
              <w:bottom w:type="dxa" w:w="60"/>
              <w:right w:type="dxa" w:w="120"/>
            </w:tcMar>
          </w:tcPr>
          <w:p>
            <w:pPr>
              <w:jc w:val="center"/>
            </w:pPr>
            <w:r>
              <w:rPr>
                <w:rFonts w:ascii="Arial" w:cs="Arial" w:eastAsia="Arial" w:hAnsi="Arial"/>
                <w:b/>
                <w:bCs/>
                <w:i w:val="false"/>
                <w:iCs w:val="false"/>
                <w:color w:val="1A5C1A"/>
                <w:sz w:val="18"/>
                <w:szCs w:val="18"/>
              </w:rPr>
              <w:t xml:space="preserve">Low</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Protein Concentration</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bCs/>
                <w:i w:val="false"/>
                <w:iCs w:val="false"/>
                <w:color w:val="000000"/>
                <w:sz w:val="18"/>
                <w:szCs w:val="18"/>
              </w:rPr>
              <w:t xml:space="preserve">Medium</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Adsorption to container, filter</w:t>
            </w:r>
          </w:p>
        </w:tc>
        <w:tc>
          <w:tcPr>
            <w:tcW w:type="dxa" w:w="1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PVDF filter compatibility study; Type I glass vials; validated fill process</w:t>
            </w:r>
          </w:p>
        </w:tc>
        <w:tc>
          <w:tcPr>
            <w:tcW w:type="dxa" w:w="1400"/>
            <w:tcBorders>
              <w:top w:val="single" w:color="AAAAAA" w:sz="4"/>
              <w:left w:val="single" w:color="AAAAAA" w:sz="4"/>
              <w:bottom w:val="single" w:color="AAAAAA" w:sz="4"/>
              <w:right w:val="single" w:color="AAAAAA" w:sz="4"/>
            </w:tcBorders>
            <w:shd w:fill="D9EAD3" w:val="clear"/>
            <w:tcMar>
              <w:top w:type="dxa" w:w="60"/>
              <w:left w:type="dxa" w:w="120"/>
              <w:bottom w:type="dxa" w:w="60"/>
              <w:right w:type="dxa" w:w="120"/>
            </w:tcMar>
          </w:tcPr>
          <w:p>
            <w:pPr>
              <w:jc w:val="center"/>
            </w:pPr>
            <w:r>
              <w:rPr>
                <w:rFonts w:ascii="Arial" w:cs="Arial" w:eastAsia="Arial" w:hAnsi="Arial"/>
                <w:b/>
                <w:bCs/>
                <w:i w:val="false"/>
                <w:iCs w:val="false"/>
                <w:color w:val="1A5C1A"/>
                <w:sz w:val="18"/>
                <w:szCs w:val="18"/>
              </w:rPr>
              <w:t xml:space="preserve">Low</w:t>
            </w:r>
          </w:p>
        </w:tc>
      </w:tr>
      <w:tr>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pH (5.8 ± 0.2)</w:t>
            </w:r>
          </w:p>
        </w:tc>
        <w:tc>
          <w:tcPr>
            <w:tcW w:type="dxa" w:w="1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bCs/>
                <w:i w:val="false"/>
                <w:iCs w:val="false"/>
                <w:color w:val="000000"/>
                <w:sz w:val="18"/>
                <w:szCs w:val="18"/>
              </w:rPr>
              <w:t xml:space="preserve">Medium</w:t>
            </w:r>
          </w:p>
        </w:tc>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Buffer capacity exceeded; compounding error</w:t>
            </w:r>
          </w:p>
        </w:tc>
        <w:tc>
          <w:tcPr>
            <w:tcW w:type="dxa" w:w="19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Dual histidine/HCl buffer; in-process pH check; QC release pH test</w:t>
            </w:r>
          </w:p>
        </w:tc>
        <w:tc>
          <w:tcPr>
            <w:tcW w:type="dxa" w:w="1400"/>
            <w:tcBorders>
              <w:top w:val="single" w:color="AAAAAA" w:sz="4"/>
              <w:left w:val="single" w:color="AAAAAA" w:sz="4"/>
              <w:bottom w:val="single" w:color="AAAAAA" w:sz="4"/>
              <w:right w:val="single" w:color="AAAAAA" w:sz="4"/>
            </w:tcBorders>
            <w:shd w:fill="D9EAD3" w:val="clear"/>
            <w:tcMar>
              <w:top w:type="dxa" w:w="60"/>
              <w:left w:type="dxa" w:w="120"/>
              <w:bottom w:type="dxa" w:w="60"/>
              <w:right w:type="dxa" w:w="120"/>
            </w:tcMar>
          </w:tcPr>
          <w:p>
            <w:pPr>
              <w:jc w:val="center"/>
            </w:pPr>
            <w:r>
              <w:rPr>
                <w:rFonts w:ascii="Arial" w:cs="Arial" w:eastAsia="Arial" w:hAnsi="Arial"/>
                <w:b/>
                <w:bCs/>
                <w:i w:val="false"/>
                <w:iCs w:val="false"/>
                <w:color w:val="1A5C1A"/>
                <w:sz w:val="18"/>
                <w:szCs w:val="18"/>
              </w:rPr>
              <w:t xml:space="preserve">Low</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Sub-visible Particles</w:t>
            </w:r>
          </w:p>
        </w:tc>
        <w:tc>
          <w:tcPr>
            <w:tcW w:type="dxa" w:w="1600"/>
            <w:tcBorders>
              <w:top w:val="single" w:color="AAAAAA" w:sz="4"/>
              <w:left w:val="single" w:color="AAAAAA" w:sz="4"/>
              <w:bottom w:val="single" w:color="AAAAAA" w:sz="4"/>
              <w:right w:val="single" w:color="AAAAAA" w:sz="4"/>
            </w:tcBorders>
            <w:shd w:fill="FDECEA" w:val="clear"/>
            <w:tcMar>
              <w:top w:type="dxa" w:w="60"/>
              <w:left w:type="dxa" w:w="120"/>
              <w:bottom w:type="dxa" w:w="60"/>
              <w:right w:type="dxa" w:w="120"/>
            </w:tcMar>
          </w:tcPr>
          <w:p>
            <w:pPr>
              <w:jc w:val="center"/>
            </w:pPr>
            <w:r>
              <w:rPr>
                <w:rFonts w:ascii="Arial" w:cs="Arial" w:eastAsia="Arial" w:hAnsi="Arial"/>
                <w:b/>
                <w:bCs/>
                <w:i w:val="false"/>
                <w:iCs w:val="false"/>
                <w:color w:val="8B0000"/>
                <w:sz w:val="18"/>
                <w:szCs w:val="18"/>
              </w:rPr>
              <w:t xml:space="preserve">High</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Agitation, container leachables, protein precipitation</w:t>
            </w:r>
          </w:p>
        </w:tc>
        <w:tc>
          <w:tcPr>
            <w:tcW w:type="dxa" w:w="1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PS80 0.04%, Type I glass, FluroTec stopper, 100% AVI inspection</w:t>
            </w:r>
          </w:p>
        </w:tc>
        <w:tc>
          <w:tcPr>
            <w:tcW w:type="dxa" w:w="1400"/>
            <w:tcBorders>
              <w:top w:val="single" w:color="AAAAAA" w:sz="4"/>
              <w:left w:val="single" w:color="AAAAAA" w:sz="4"/>
              <w:bottom w:val="single" w:color="AAAAAA" w:sz="4"/>
              <w:right w:val="single" w:color="AAAAAA" w:sz="4"/>
            </w:tcBorders>
            <w:shd w:fill="D9EAD3" w:val="clear"/>
            <w:tcMar>
              <w:top w:type="dxa" w:w="60"/>
              <w:left w:type="dxa" w:w="120"/>
              <w:bottom w:type="dxa" w:w="60"/>
              <w:right w:type="dxa" w:w="120"/>
            </w:tcMar>
          </w:tcPr>
          <w:p>
            <w:pPr>
              <w:jc w:val="center"/>
            </w:pPr>
            <w:r>
              <w:rPr>
                <w:rFonts w:ascii="Arial" w:cs="Arial" w:eastAsia="Arial" w:hAnsi="Arial"/>
                <w:b/>
                <w:bCs/>
                <w:i w:val="false"/>
                <w:iCs w:val="false"/>
                <w:color w:val="1A5C1A"/>
                <w:sz w:val="18"/>
                <w:szCs w:val="18"/>
              </w:rPr>
              <w:t xml:space="preserve">Low</w:t>
            </w:r>
          </w:p>
        </w:tc>
      </w:tr>
      <w:tr>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Potency (PD-1 binding)</w:t>
            </w:r>
          </w:p>
        </w:tc>
        <w:tc>
          <w:tcPr>
            <w:tcW w:type="dxa" w:w="1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bCs/>
                <w:i w:val="false"/>
                <w:iCs w:val="false"/>
                <w:color w:val="000000"/>
                <w:sz w:val="18"/>
                <w:szCs w:val="18"/>
              </w:rPr>
              <w:t xml:space="preserve">Medium</w:t>
            </w:r>
          </w:p>
        </w:tc>
        <w:tc>
          <w:tcPr>
            <w:tcW w:type="dxa" w:w="2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Oxidation of CDR Trp/Met; light exposure</w:t>
            </w:r>
          </w:p>
        </w:tc>
        <w:tc>
          <w:tcPr>
            <w:tcW w:type="dxa" w:w="19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Nitrogen overlay; amber label; oxidative stress control specification</w:t>
            </w:r>
          </w:p>
        </w:tc>
        <w:tc>
          <w:tcPr>
            <w:tcW w:type="dxa" w:w="1400"/>
            <w:tcBorders>
              <w:top w:val="single" w:color="AAAAAA" w:sz="4"/>
              <w:left w:val="single" w:color="AAAAAA" w:sz="4"/>
              <w:bottom w:val="single" w:color="AAAAAA" w:sz="4"/>
              <w:right w:val="single" w:color="AAAAAA" w:sz="4"/>
            </w:tcBorders>
            <w:shd w:fill="D9EAD3" w:val="clear"/>
            <w:tcMar>
              <w:top w:type="dxa" w:w="60"/>
              <w:left w:type="dxa" w:w="120"/>
              <w:bottom w:type="dxa" w:w="60"/>
              <w:right w:type="dxa" w:w="120"/>
            </w:tcMar>
          </w:tcPr>
          <w:p>
            <w:pPr>
              <w:jc w:val="center"/>
            </w:pPr>
            <w:r>
              <w:rPr>
                <w:rFonts w:ascii="Arial" w:cs="Arial" w:eastAsia="Arial" w:hAnsi="Arial"/>
                <w:b/>
                <w:bCs/>
                <w:i w:val="false"/>
                <w:iCs w:val="false"/>
                <w:color w:val="1A5C1A"/>
                <w:sz w:val="18"/>
                <w:szCs w:val="18"/>
              </w:rPr>
              <w:t xml:space="preserve">Low</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Sterility / Endotoxin</w:t>
            </w:r>
          </w:p>
        </w:tc>
        <w:tc>
          <w:tcPr>
            <w:tcW w:type="dxa" w:w="1600"/>
            <w:tcBorders>
              <w:top w:val="single" w:color="AAAAAA" w:sz="4"/>
              <w:left w:val="single" w:color="AAAAAA" w:sz="4"/>
              <w:bottom w:val="single" w:color="AAAAAA" w:sz="4"/>
              <w:right w:val="single" w:color="AAAAAA" w:sz="4"/>
            </w:tcBorders>
            <w:shd w:fill="F4CCCC" w:val="clear"/>
            <w:tcMar>
              <w:top w:type="dxa" w:w="60"/>
              <w:left w:type="dxa" w:w="120"/>
              <w:bottom w:type="dxa" w:w="60"/>
              <w:right w:type="dxa" w:w="120"/>
            </w:tcMar>
          </w:tcPr>
          <w:p>
            <w:pPr>
              <w:jc w:val="center"/>
            </w:pPr>
            <w:r>
              <w:rPr>
                <w:rFonts w:ascii="Arial" w:cs="Arial" w:eastAsia="Arial" w:hAnsi="Arial"/>
                <w:b/>
                <w:bCs/>
                <w:i w:val="false"/>
                <w:iCs w:val="false"/>
                <w:color w:val="8B0000"/>
                <w:sz w:val="18"/>
                <w:szCs w:val="18"/>
              </w:rPr>
              <w:t xml:space="preserve">Critical</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Bioburden breakthrough, contamination</w:t>
            </w:r>
          </w:p>
        </w:tc>
        <w:tc>
          <w:tcPr>
            <w:tcW w:type="dxa" w:w="1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Aseptic process validation; 0.22 µm sterile filtration; LAL endotoxin testing</w:t>
            </w:r>
          </w:p>
        </w:tc>
        <w:tc>
          <w:tcPr>
            <w:tcW w:type="dxa" w:w="1400"/>
            <w:tcBorders>
              <w:top w:val="single" w:color="AAAAAA" w:sz="4"/>
              <w:left w:val="single" w:color="AAAAAA" w:sz="4"/>
              <w:bottom w:val="single" w:color="AAAAAA" w:sz="4"/>
              <w:right w:val="single" w:color="AAAAAA" w:sz="4"/>
            </w:tcBorders>
            <w:shd w:fill="D9EAD3" w:val="clear"/>
            <w:tcMar>
              <w:top w:type="dxa" w:w="60"/>
              <w:left w:type="dxa" w:w="120"/>
              <w:bottom w:type="dxa" w:w="60"/>
              <w:right w:type="dxa" w:w="120"/>
            </w:tcMar>
          </w:tcPr>
          <w:p>
            <w:pPr>
              <w:jc w:val="center"/>
            </w:pPr>
            <w:r>
              <w:rPr>
                <w:rFonts w:ascii="Arial" w:cs="Arial" w:eastAsia="Arial" w:hAnsi="Arial"/>
                <w:b/>
                <w:bCs/>
                <w:i w:val="false"/>
                <w:iCs w:val="false"/>
                <w:color w:val="1A5C1A"/>
                <w:sz w:val="18"/>
                <w:szCs w:val="18"/>
              </w:rPr>
              <w:t xml:space="preserve">Low</w:t>
            </w:r>
          </w:p>
        </w:tc>
      </w:tr>
    </w:tbl>
    <w:p>
      <w:r>
        <w:br w:type="page"/>
      </w:r>
    </w:p>
    <w:p>
      <w:pPr>
        <w:pStyle w:val="Heading1"/>
        <w:spacing w:before="320" w:after="160"/>
      </w:pPr>
      <w:r>
        <w:rPr>
          <w:rFonts w:ascii="Arial" w:cs="Arial" w:eastAsia="Arial" w:hAnsi="Arial"/>
          <w:b/>
          <w:bCs/>
          <w:color w:val="1F3864"/>
          <w:sz w:val="28"/>
          <w:szCs w:val="28"/>
        </w:rPr>
        <w:t xml:space="preserve">8. CLINICAL SUPPLY STRATEGY AND SCALE-UP PLAN</w:t>
      </w:r>
    </w:p>
    <w:p>
      <w:pPr>
        <w:pStyle w:val="Heading2"/>
        <w:spacing w:before="240" w:after="120"/>
      </w:pPr>
      <w:r>
        <w:rPr>
          <w:rFonts w:ascii="Arial" w:cs="Arial" w:eastAsia="Arial" w:hAnsi="Arial"/>
          <w:b/>
          <w:bCs/>
          <w:color w:val="2E6DA4"/>
          <w:sz w:val="24"/>
          <w:szCs w:val="24"/>
        </w:rPr>
        <w:t xml:space="preserve">8.1 Phase I Clinical Supply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Phase I Batch Size</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5 L (nominal) — approximately 500 vials (10 mL/vial × 25 mg/mL = 250 mg/vial)</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Manufacturing Site</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Example BioPharma GMP Facility, Bioprocessing Suite 3 [Address redacted for IND]</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Batch Disposition Strategy</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Manufactured, tested, and released prior to first-in-human study initiation</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Number of Initial Phase I Batches</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3 (GMP Batch 1: validation/stability/release; Batches 2–3: clinical supply)</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Proposed Scale-Up Path</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Phase I: 5 L → Phase II: 25 L → Phase III/Commercial: 200 L</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Scale-Up Risk Assessment</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Primary risk: filter train sizing and fill line changeover; addressed via incremental hold-time and bioburden studies</w:t>
            </w:r>
          </w:p>
        </w:tc>
      </w:tr>
    </w:tbl>
    <w:p>
      <w:pPr>
        <w:pStyle w:val="Heading2"/>
        <w:spacing w:before="240" w:after="120"/>
      </w:pPr>
      <w:r>
        <w:rPr>
          <w:rFonts w:ascii="Arial" w:cs="Arial" w:eastAsia="Arial" w:hAnsi="Arial"/>
          <w:b/>
          <w:bCs/>
          <w:color w:val="2E6DA4"/>
          <w:sz w:val="24"/>
          <w:szCs w:val="24"/>
        </w:rPr>
        <w:t xml:space="preserve">8.2 Stability Commitments</w:t>
      </w:r>
    </w:p>
    <w:p>
      <w:pPr>
        <w:spacing w:before="60" w:after="80"/>
        <w:jc w:val="left"/>
      </w:pPr>
      <w:r>
        <w:rPr>
          <w:rFonts w:ascii="Arial" w:cs="Arial" w:eastAsia="Arial" w:hAnsi="Arial"/>
          <w:b w:val="false"/>
          <w:bCs w:val="false"/>
          <w:i w:val="false"/>
          <w:iCs w:val="false"/>
          <w:color w:val="000000"/>
          <w:sz w:val="20"/>
          <w:szCs w:val="20"/>
        </w:rPr>
        <w:t xml:space="preserve">Real-time stability studies (2–8°C) are ongoing for all Phase I clinical batches per ICH Q5C (Stability Testing of Biotechnological/Biological Products). Accelerated studies at 25°C/60% RH (6 months) and stressed studies at 40°C/75% RH (4 weeks) are completed and support the proposed 24-month shelf life pending long-term data. Stability update reports will be provided annually to the FDA as required under 21 CFR 312.</w:t>
      </w:r>
    </w:p>
    <w:p>
      <w:pPr>
        <w:pStyle w:val="Heading1"/>
        <w:spacing w:before="320" w:after="160"/>
      </w:pPr>
      <w:r>
        <w:rPr>
          <w:rFonts w:ascii="Arial" w:cs="Arial" w:eastAsia="Arial" w:hAnsi="Arial"/>
          <w:b/>
          <w:bCs/>
          <w:color w:val="1F3864"/>
          <w:sz w:val="28"/>
          <w:szCs w:val="28"/>
        </w:rPr>
        <w:t xml:space="preserve">9. CONCLUSIONS</w:t>
      </w:r>
    </w:p>
    <w:p>
      <w:pPr>
        <w:spacing w:before="60" w:after="80"/>
        <w:jc w:val="left"/>
      </w:pPr>
      <w:r>
        <w:rPr>
          <w:rFonts w:ascii="Arial" w:cs="Arial" w:eastAsia="Arial" w:hAnsi="Arial"/>
          <w:b w:val="false"/>
          <w:bCs w:val="false"/>
          <w:i w:val="false"/>
          <w:iCs w:val="false"/>
          <w:color w:val="000000"/>
          <w:sz w:val="20"/>
          <w:szCs w:val="20"/>
        </w:rPr>
        <w:t xml:space="preserve">Formulation development studies for Cervimab have culminated in a scientifically well-justified Phase I clinical formulation: 25 mg/mL in 35 mM histidine buffer (pH 5.8), 8.5% (w/v) sucrose, 0.04% (w/v) polysorbate 80. The formulation:</w:t>
      </w:r>
    </w:p>
    <w:p>
      <w:pPr>
        <w:pStyle w:val="ListParagraph"/>
        <w:numPr>
          <w:ilvl w:val="0"/>
          <w:numId w:val="2"/>
        </w:numPr>
        <w:spacing w:before="40" w:after="40"/>
      </w:pPr>
      <w:r>
        <w:rPr>
          <w:rFonts w:ascii="Arial" w:cs="Arial" w:eastAsia="Arial" w:hAnsi="Arial"/>
          <w:b w:val="false"/>
          <w:bCs w:val="false"/>
          <w:sz w:val="20"/>
          <w:szCs w:val="20"/>
        </w:rPr>
        <w:t xml:space="preserve">Maximizes protein stability through an optimized histidine buffer system, sucrose stabilization, and PS80 anti-aggregation protection</w:t>
      </w:r>
    </w:p>
    <w:p>
      <w:pPr>
        <w:pStyle w:val="ListParagraph"/>
        <w:numPr>
          <w:ilvl w:val="0"/>
          <w:numId w:val="2"/>
        </w:numPr>
        <w:spacing w:before="40" w:after="40"/>
      </w:pPr>
      <w:r>
        <w:rPr>
          <w:rFonts w:ascii="Arial" w:cs="Arial" w:eastAsia="Arial" w:hAnsi="Arial"/>
          <w:b w:val="false"/>
          <w:bCs w:val="false"/>
          <w:sz w:val="20"/>
          <w:szCs w:val="20"/>
        </w:rPr>
        <w:t xml:space="preserve">Is isotonic and compatible with IV administration in both 0.9% NaCl and D5W diluents</w:t>
      </w:r>
    </w:p>
    <w:p>
      <w:pPr>
        <w:pStyle w:val="ListParagraph"/>
        <w:numPr>
          <w:ilvl w:val="0"/>
          <w:numId w:val="2"/>
        </w:numPr>
        <w:spacing w:before="40" w:after="40"/>
      </w:pPr>
      <w:r>
        <w:rPr>
          <w:rFonts w:ascii="Arial" w:cs="Arial" w:eastAsia="Arial" w:hAnsi="Arial"/>
          <w:b w:val="false"/>
          <w:bCs w:val="false"/>
          <w:sz w:val="20"/>
          <w:szCs w:val="20"/>
        </w:rPr>
        <w:t xml:space="preserve">Demonstrates robustness to anticipated handling and shipping stresses</w:t>
      </w:r>
    </w:p>
    <w:p>
      <w:pPr>
        <w:pStyle w:val="ListParagraph"/>
        <w:numPr>
          <w:ilvl w:val="0"/>
          <w:numId w:val="2"/>
        </w:numPr>
        <w:spacing w:before="40" w:after="40"/>
      </w:pPr>
      <w:r>
        <w:rPr>
          <w:rFonts w:ascii="Arial" w:cs="Arial" w:eastAsia="Arial" w:hAnsi="Arial"/>
          <w:b w:val="false"/>
          <w:bCs w:val="false"/>
          <w:sz w:val="20"/>
          <w:szCs w:val="20"/>
        </w:rPr>
        <w:t xml:space="preserve">Uses well-characterized, compendial excipients with established clinical safety precedents in marketed monoclonal antibody products</w:t>
      </w:r>
    </w:p>
    <w:p>
      <w:pPr>
        <w:pStyle w:val="ListParagraph"/>
        <w:numPr>
          <w:ilvl w:val="0"/>
          <w:numId w:val="2"/>
        </w:numPr>
        <w:spacing w:before="40" w:after="40"/>
      </w:pPr>
      <w:r>
        <w:rPr>
          <w:rFonts w:ascii="Arial" w:cs="Arial" w:eastAsia="Arial" w:hAnsi="Arial"/>
          <w:b w:val="false"/>
          <w:bCs w:val="false"/>
          <w:sz w:val="20"/>
          <w:szCs w:val="20"/>
        </w:rPr>
        <w:t xml:space="preserve">Container closure system (Type I glass / FluroTec stopper) meets USP, Ph. Eur., and FDA extractables/leachables guidance</w:t>
      </w:r>
    </w:p>
    <w:p>
      <w:pPr>
        <w:pStyle w:val="ListParagraph"/>
        <w:numPr>
          <w:ilvl w:val="0"/>
          <w:numId w:val="2"/>
        </w:numPr>
        <w:spacing w:before="40" w:after="40"/>
      </w:pPr>
      <w:r>
        <w:rPr>
          <w:rFonts w:ascii="Arial" w:cs="Arial" w:eastAsia="Arial" w:hAnsi="Arial"/>
          <w:b w:val="false"/>
          <w:bCs w:val="false"/>
          <w:sz w:val="20"/>
          <w:szCs w:val="20"/>
        </w:rPr>
        <w:t xml:space="preserve">Manufacturing process (compounding, filtration, aseptic fill-finish) is well-controlled and fit-for-purpose for Phase I GMP manufacturing</w:t>
      </w:r>
    </w:p>
    <w:p>
      <w:pPr>
        <w:spacing w:before="60" w:after="60"/>
      </w:pPr>
      <w:r>
        <w:rPr>
          <w:sz w:val="20"/>
          <w:szCs w:val="20"/>
        </w:rPr>
        <w:t xml:space="preserve"/>
      </w:r>
    </w:p>
    <w:p>
      <w:pPr>
        <w:spacing w:before="60" w:after="80"/>
        <w:jc w:val="left"/>
      </w:pPr>
      <w:r>
        <w:rPr>
          <w:rFonts w:ascii="Arial" w:cs="Arial" w:eastAsia="Arial" w:hAnsi="Arial"/>
          <w:b w:val="false"/>
          <w:bCs w:val="false"/>
          <w:i w:val="false"/>
          <w:iCs w:val="false"/>
          <w:color w:val="000000"/>
          <w:sz w:val="20"/>
          <w:szCs w:val="20"/>
        </w:rPr>
        <w:t xml:space="preserve">The formulation and manufacturing process described herein are considered suitable to support IND-enabling clinical trials of Cervimab in dMMR/MSI-H metastatic colorectal cancer.</w:t>
      </w:r>
    </w:p>
    <w:p>
      <w:pPr>
        <w:pStyle w:val="Heading1"/>
        <w:spacing w:before="320" w:after="160"/>
      </w:pPr>
      <w:r>
        <w:rPr>
          <w:rFonts w:ascii="Arial" w:cs="Arial" w:eastAsia="Arial" w:hAnsi="Arial"/>
          <w:b/>
          <w:bCs/>
          <w:color w:val="1F3864"/>
          <w:sz w:val="28"/>
          <w:szCs w:val="28"/>
        </w:rPr>
        <w:t xml:space="preserve">10. REFERENCES</w:t>
      </w:r>
    </w:p>
    <w:p>
      <w:pPr>
        <w:pStyle w:val="ListParagraph"/>
        <w:numPr>
          <w:ilvl w:val="0"/>
          <w:numId w:val="2"/>
        </w:numPr>
        <w:spacing w:before="40" w:after="40"/>
      </w:pPr>
      <w:r>
        <w:rPr>
          <w:rFonts w:ascii="Arial" w:cs="Arial" w:eastAsia="Arial" w:hAnsi="Arial"/>
          <w:b w:val="false"/>
          <w:bCs w:val="false"/>
          <w:sz w:val="20"/>
          <w:szCs w:val="20"/>
        </w:rPr>
        <w:t xml:space="preserve">ICH Q8(R2): Pharmaceutical Development (2009)</w:t>
      </w:r>
    </w:p>
    <w:p>
      <w:pPr>
        <w:pStyle w:val="ListParagraph"/>
        <w:numPr>
          <w:ilvl w:val="0"/>
          <w:numId w:val="2"/>
        </w:numPr>
        <w:spacing w:before="40" w:after="40"/>
      </w:pPr>
      <w:r>
        <w:rPr>
          <w:rFonts w:ascii="Arial" w:cs="Arial" w:eastAsia="Arial" w:hAnsi="Arial"/>
          <w:b w:val="false"/>
          <w:bCs w:val="false"/>
          <w:sz w:val="20"/>
          <w:szCs w:val="20"/>
        </w:rPr>
        <w:t xml:space="preserve">ICH Q9: Quality Risk Management (2005)</w:t>
      </w:r>
    </w:p>
    <w:p>
      <w:pPr>
        <w:pStyle w:val="ListParagraph"/>
        <w:numPr>
          <w:ilvl w:val="0"/>
          <w:numId w:val="2"/>
        </w:numPr>
        <w:spacing w:before="40" w:after="40"/>
      </w:pPr>
      <w:r>
        <w:rPr>
          <w:rFonts w:ascii="Arial" w:cs="Arial" w:eastAsia="Arial" w:hAnsi="Arial"/>
          <w:b w:val="false"/>
          <w:bCs w:val="false"/>
          <w:sz w:val="20"/>
          <w:szCs w:val="20"/>
        </w:rPr>
        <w:t xml:space="preserve">ICH Q10: Pharmaceutical Quality System (2008)</w:t>
      </w:r>
    </w:p>
    <w:p>
      <w:pPr>
        <w:pStyle w:val="ListParagraph"/>
        <w:numPr>
          <w:ilvl w:val="0"/>
          <w:numId w:val="2"/>
        </w:numPr>
        <w:spacing w:before="40" w:after="40"/>
      </w:pPr>
      <w:r>
        <w:rPr>
          <w:rFonts w:ascii="Arial" w:cs="Arial" w:eastAsia="Arial" w:hAnsi="Arial"/>
          <w:b w:val="false"/>
          <w:bCs w:val="false"/>
          <w:sz w:val="20"/>
          <w:szCs w:val="20"/>
        </w:rPr>
        <w:t xml:space="preserve">ICH Q5C: Stability Testing of Biotechnological/Biological Products (1995)</w:t>
      </w:r>
    </w:p>
    <w:p>
      <w:pPr>
        <w:pStyle w:val="ListParagraph"/>
        <w:numPr>
          <w:ilvl w:val="0"/>
          <w:numId w:val="2"/>
        </w:numPr>
        <w:spacing w:before="40" w:after="40"/>
      </w:pPr>
      <w:r>
        <w:rPr>
          <w:rFonts w:ascii="Arial" w:cs="Arial" w:eastAsia="Arial" w:hAnsi="Arial"/>
          <w:b w:val="false"/>
          <w:bCs w:val="false"/>
          <w:sz w:val="20"/>
          <w:szCs w:val="20"/>
        </w:rPr>
        <w:t xml:space="preserve">FDA Guidance: Container Closure Systems for Packaging Human Drugs and Biologics (1999)</w:t>
      </w:r>
    </w:p>
    <w:p>
      <w:pPr>
        <w:pStyle w:val="ListParagraph"/>
        <w:numPr>
          <w:ilvl w:val="0"/>
          <w:numId w:val="2"/>
        </w:numPr>
        <w:spacing w:before="40" w:after="40"/>
      </w:pPr>
      <w:r>
        <w:rPr>
          <w:rFonts w:ascii="Arial" w:cs="Arial" w:eastAsia="Arial" w:hAnsi="Arial"/>
          <w:b w:val="false"/>
          <w:bCs w:val="false"/>
          <w:sz w:val="20"/>
          <w:szCs w:val="20"/>
        </w:rPr>
        <w:t xml:space="preserve">PQRI Leachables and Extractables Working Group. Safety Thresholds and Best Practices for Extractables and Leachables in Orally Inhaled and Nasal Drug Products. 2006.</w:t>
      </w:r>
    </w:p>
    <w:p>
      <w:pPr>
        <w:pStyle w:val="ListParagraph"/>
        <w:numPr>
          <w:ilvl w:val="0"/>
          <w:numId w:val="2"/>
        </w:numPr>
        <w:spacing w:before="40" w:after="40"/>
      </w:pPr>
      <w:r>
        <w:rPr>
          <w:rFonts w:ascii="Arial" w:cs="Arial" w:eastAsia="Arial" w:hAnsi="Arial"/>
          <w:b w:val="false"/>
          <w:bCs w:val="false"/>
          <w:sz w:val="20"/>
          <w:szCs w:val="20"/>
        </w:rPr>
        <w:t xml:space="preserve">USP &lt;660&gt; Containers — Glass</w:t>
      </w:r>
    </w:p>
    <w:p>
      <w:pPr>
        <w:pStyle w:val="ListParagraph"/>
        <w:numPr>
          <w:ilvl w:val="0"/>
          <w:numId w:val="2"/>
        </w:numPr>
        <w:spacing w:before="40" w:after="40"/>
      </w:pPr>
      <w:r>
        <w:rPr>
          <w:rFonts w:ascii="Arial" w:cs="Arial" w:eastAsia="Arial" w:hAnsi="Arial"/>
          <w:b w:val="false"/>
          <w:bCs w:val="false"/>
          <w:sz w:val="20"/>
          <w:szCs w:val="20"/>
        </w:rPr>
        <w:t xml:space="preserve">USP &lt;661&gt; Plastic Packaging Systems and Their Materials of Construction</w:t>
      </w:r>
    </w:p>
    <w:p>
      <w:pPr>
        <w:pStyle w:val="ListParagraph"/>
        <w:numPr>
          <w:ilvl w:val="0"/>
          <w:numId w:val="2"/>
        </w:numPr>
        <w:spacing w:before="40" w:after="40"/>
      </w:pPr>
      <w:r>
        <w:rPr>
          <w:rFonts w:ascii="Arial" w:cs="Arial" w:eastAsia="Arial" w:hAnsi="Arial"/>
          <w:b w:val="false"/>
          <w:bCs w:val="false"/>
          <w:sz w:val="20"/>
          <w:szCs w:val="20"/>
        </w:rPr>
        <w:t xml:space="preserve">Shire SJ, Shahrokh Z, Liu J. Challenges in the development of high protein concentration formulations. J Pharm Sci. 2004;93:1390–1402.</w:t>
      </w:r>
    </w:p>
    <w:p>
      <w:pPr>
        <w:pStyle w:val="ListParagraph"/>
        <w:numPr>
          <w:ilvl w:val="0"/>
          <w:numId w:val="2"/>
        </w:numPr>
        <w:spacing w:before="40" w:after="40"/>
      </w:pPr>
      <w:r>
        <w:rPr>
          <w:rFonts w:ascii="Arial" w:cs="Arial" w:eastAsia="Arial" w:hAnsi="Arial"/>
          <w:b w:val="false"/>
          <w:bCs w:val="false"/>
          <w:sz w:val="20"/>
          <w:szCs w:val="20"/>
        </w:rPr>
        <w:t xml:space="preserve">Carpenter JF, et al. Rational design of stable lyophilized protein formulations. Pharm Biotechnol. 2002;13:109–133.</w:t>
      </w:r>
    </w:p>
    <w:p>
      <w:pPr>
        <w:pStyle w:val="ListParagraph"/>
        <w:numPr>
          <w:ilvl w:val="0"/>
          <w:numId w:val="2"/>
        </w:numPr>
        <w:spacing w:before="40" w:after="40"/>
      </w:pPr>
      <w:r>
        <w:rPr>
          <w:rFonts w:ascii="Arial" w:cs="Arial" w:eastAsia="Arial" w:hAnsi="Arial"/>
          <w:b w:val="false"/>
          <w:bCs w:val="false"/>
          <w:sz w:val="20"/>
          <w:szCs w:val="20"/>
        </w:rPr>
        <w:t xml:space="preserve">Wang W, Singh SK, Li N, Toler MR, King KR, Nema S. Immunogenicity of protein aggregates — Concerns and realities. Int J Pharm. 2012;431:1–11.</w:t>
      </w:r>
    </w:p>
    <w:p>
      <w:pPr>
        <w:spacing w:before="60" w:after="60"/>
      </w:pPr>
      <w:r>
        <w:rPr>
          <w:sz w:val="20"/>
          <w:szCs w:val="20"/>
        </w:rPr>
        <w:t xml:space="preserve"/>
      </w:r>
    </w:p>
    <w:p>
      <w:pPr>
        <w:pBdr>
          <w:bottom w:val="single" w:color="2E6DA4" w:sz="6"/>
        </w:pBdr>
        <w:spacing w:before="120" w:after="120"/>
      </w:pPr>
    </w:p>
    <w:p>
      <w:pPr>
        <w:spacing w:before="60" w:after="60"/>
      </w:pPr>
      <w:r>
        <w:rPr>
          <w:sz w:val="20"/>
          <w:szCs w:val="20"/>
        </w:rPr>
        <w:t xml:space="preserve"/>
      </w:r>
    </w:p>
    <w:p>
      <w:pPr>
        <w:spacing w:before="120" w:after="60"/>
        <w:jc w:val="center"/>
      </w:pPr>
      <w:r>
        <w:rPr>
          <w:rFonts w:ascii="Arial" w:cs="Arial" w:eastAsia="Arial" w:hAnsi="Arial"/>
          <w:b/>
          <w:bCs/>
          <w:color w:val="1F3864"/>
          <w:sz w:val="22"/>
          <w:szCs w:val="22"/>
        </w:rPr>
        <w:t xml:space="preserve">SIGNATURE PAGE</w:t>
      </w:r>
    </w:p>
    <w:p>
      <w:pPr>
        <w:spacing w:before="60" w:after="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Prepared By</w:t>
            </w:r>
          </w:p>
        </w:tc>
        <w:tc>
          <w:tcPr>
            <w:tcW w:type="dxa" w:w="468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Reviewed By</w:t>
            </w:r>
          </w:p>
        </w:tc>
      </w:tr>
      <w:tr>
        <w:tc>
          <w:tcPr>
            <w:tcW w:type="dxa" w:w="46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Name: ______________________________
Title: Head, Formulation Development
Date: _______________
Signature: ______________________________</w:t>
            </w:r>
          </w:p>
        </w:tc>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Name: ______________________________
Title: Head, Drug Product Development
Date: _______________
Signature: ______________________________</w:t>
            </w:r>
          </w:p>
        </w:tc>
      </w:tr>
      <w:tr>
        <w:tc>
          <w:tcPr>
            <w:tcW w:type="dxa" w:w="9360"/>
            <w:gridSpan w:val="2"/>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b/>
                <w:bCs/>
                <w:sz w:val="18"/>
                <w:szCs w:val="18"/>
              </w:rPr>
              <w:t xml:space="preserve">Approved By: VP, Pharmaceutical Sciences  |  Name: ______________________________  |  Date: _______________</w:t>
            </w:r>
          </w:p>
        </w:tc>
      </w:tr>
    </w:tbl>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pBdr>
      <w:tabs>
        <w:tab w:val="center" w:pos="4680"/>
        <w:tab w:val="right" w:pos="9360"/>
      </w:tabs>
      <w:spacing w:before="80"/>
    </w:pPr>
    <w:r>
      <w:rPr>
        <w:rFonts w:ascii="Arial" w:cs="Arial" w:eastAsia="Arial" w:hAnsi="Arial"/>
        <w:color w:val="888888"/>
        <w:sz w:val="16"/>
        <w:szCs w:val="16"/>
      </w:rPr>
      <w:t xml:space="preserve">Proprietary &amp; Confidential — For Regulatory Review Only</w:t>
    </w:r>
    <w:r>
      <w:rPr>
        <w:rFonts w:ascii="Arial" w:cs="Arial" w:eastAsia="Arial" w:hAnsi="Arial"/>
        <w:sz w:val="16"/>
        <w:szCs w:val="16"/>
      </w:rPr>
      <w:t xml:space="preserve">	</w:t>
    </w:r>
    <w:r>
      <w:rPr>
        <w:rFonts w:ascii="Arial" w:cs="Arial" w:eastAsia="Arial" w:hAnsi="Arial"/>
        <w:color w:val="888888"/>
        <w:sz w:val="16"/>
        <w:szCs w:val="16"/>
      </w:rPr>
      <w:t xml:space="preserve">Version 1.0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pBdr>
      <w:spacing w:before="0" w:after="120"/>
    </w:pPr>
    <w:r>
      <w:rPr>
        <w:rFonts w:ascii="Arial" w:cs="Arial" w:eastAsia="Arial" w:hAnsi="Arial"/>
        <w:color w:val="666666"/>
        <w:sz w:val="16"/>
        <w:szCs w:val="16"/>
      </w:rPr>
      <w:t xml:space="preserve">CERVIMAB (anti-PD-1 mAb)  |  Formulation Development Report  |  CONFIDENTIAL  |  CTD Module 3.2.P.2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6DA4"/>
      <w:sz w:val="24"/>
      <w:szCs w:val="24"/>
    </w:rPr>
  </w:style>
  <w:style w:type="paragraph" w:styleId="Heading3">
    <w:name w:val="Heading 3"/>
    <w:basedOn w:val="Normal"/>
    <w:next w:val="Normal"/>
    <w:qFormat/>
    <w:pPr>
      <w:spacing w:before="180" w:after="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2026-03-16T12:45:24.106Z</dcterms:created>
  <dcterms:modified xsi:type="dcterms:W3CDTF">2026-03-16T12:45:24.107Z</dcterms:modified>
</cp:coreProperties>
</file>

<file path=docProps/custom.xml><?xml version="1.0" encoding="utf-8"?>
<Properties xmlns="http://schemas.openxmlformats.org/officeDocument/2006/custom-properties" xmlns:vt="http://schemas.openxmlformats.org/officeDocument/2006/docPropsVTypes"/>
</file>