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200"/>
        <w:jc w:val="center"/>
      </w:pPr>
      <w:r>
        <w:rPr>
          <w:rFonts w:ascii="Arial" w:cs="Arial" w:eastAsia="Arial" w:hAnsi="Arial"/>
          <w:b/>
          <w:bCs/>
          <w:color w:val="1A3A5C"/>
          <w:sz w:val="28"/>
          <w:szCs w:val="28"/>
        </w:rPr>
        <w:t xml:space="preserve">MERIDIAN ONCOLOGY SCIENCES, INC.</w:t>
      </w:r>
    </w:p>
    <w:p>
      <w:pPr>
        <w:spacing w:before="0" w:after="60"/>
        <w:jc w:val="center"/>
      </w:pPr>
      <w:r>
        <w:rPr>
          <w:rFonts w:ascii="Arial" w:cs="Arial" w:eastAsia="Arial" w:hAnsi="Arial"/>
          <w:color w:val="555555"/>
          <w:sz w:val="20"/>
          <w:szCs w:val="20"/>
        </w:rPr>
        <w:t xml:space="preserve">Discovery &amp; Preclinical Research Division</w:t>
      </w:r>
    </w:p>
    <w:p>
      <w:pPr>
        <w:spacing w:before="100" w:after="100"/>
      </w:pPr>
    </w:p>
    <w:p>
      <w:pPr>
        <w:pBdr>
          <w:top w:val="single" w:color="1A3A5C" w:sz="8" w:space="8"/>
          <w:bottom w:val="single" w:color="1A3A5C" w:sz="8" w:space="8"/>
        </w:pBdr>
        <w:spacing w:before="400" w:after="200"/>
        <w:jc w:val="center"/>
      </w:pPr>
      <w:r>
        <w:rPr>
          <w:rFonts w:ascii="Arial" w:cs="Arial" w:eastAsia="Arial" w:hAnsi="Arial"/>
          <w:b/>
          <w:bCs/>
          <w:color w:val="1A3A5C"/>
          <w:sz w:val="36"/>
          <w:szCs w:val="36"/>
        </w:rPr>
        <w:t xml:space="preserve">Lead Compound Library Report</w:t>
      </w:r>
    </w:p>
    <w:p>
      <w:pPr>
        <w:spacing w:before="120" w:after="400"/>
        <w:jc w:val="center"/>
      </w:pPr>
      <w:r>
        <w:rPr>
          <w:rFonts w:ascii="Arial" w:cs="Arial" w:eastAsia="Arial" w:hAnsi="Arial"/>
          <w:i/>
          <w:iCs/>
          <w:color w:val="444444"/>
          <w:sz w:val="24"/>
          <w:szCs w:val="24"/>
        </w:rPr>
        <w:t xml:space="preserve">Anti-PD-1 mAb Candidates: Comparative Characterization and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Document Number:</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MOS-LCL-2021-001</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Version: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v2.0</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Date:</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2021-04-28</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Program:</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Cervimab (MOS-PD1-047) | Anti-PD-1 mAb | IND 135-892</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Indication: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dMMR/MSI-H Metastatic Colorectal Cancer</w:t>
            </w:r>
          </w:p>
        </w:tc>
      </w:tr>
      <w:tr>
        <w:tc>
          <w:tcPr>
            <w:tcW w:type="dxa" w:w="31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Classification:</w:t>
            </w:r>
          </w:p>
        </w:tc>
        <w:tc>
          <w:tcPr>
            <w:tcW w:type="dxa" w:w="62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CONFIDENTIAL — IND Supporting Data</w:t>
            </w:r>
          </w:p>
        </w:tc>
      </w:tr>
    </w:tbl>
    <w:p>
      <w:pPr>
        <w:spacing w:before="100" w:after="100"/>
      </w:pPr>
    </w:p>
    <w:p>
      <w:pPr>
        <w:spacing w:before="60" w:after="60"/>
      </w:pPr>
      <w:r>
        <w:rPr>
          <w:rFonts w:ascii="Arial" w:cs="Arial" w:eastAsia="Arial" w:hAnsi="Arial"/>
          <w:i/>
          <w:iCs/>
          <w:color w:val="555555"/>
          <w:sz w:val="18"/>
          <w:szCs w:val="18"/>
        </w:rPr>
        <w:t xml:space="preserve">This document contains confidential and proprietary information of Meridian Oncology Sciences, Inc. Prepared in accordance with 21 CFR 312.23(a)(8), ICH S9, and applicable FDA guidance documents.</w:t>
      </w:r>
    </w:p>
    <w:p>
      <w:r>
        <w:br w:type="page"/>
      </w:r>
    </w:p>
    <w:p>
      <w:pPr>
        <w:pStyle w:val="Heading1"/>
        <w:pBdr>
          <w:bottom w:val="single" w:color="2E6DA4" w:sz="6" w:space="1"/>
        </w:pBdr>
        <w:spacing w:before="320" w:after="160"/>
      </w:pPr>
      <w:r>
        <w:rPr>
          <w:rFonts w:ascii="Arial" w:cs="Arial" w:eastAsia="Arial" w:hAnsi="Arial"/>
          <w:b/>
          <w:bCs/>
          <w:color w:val="1A3A5C"/>
          <w:sz w:val="28"/>
          <w:szCs w:val="28"/>
        </w:rPr>
        <w:t xml:space="preserve">1. Introduction</w:t>
      </w:r>
    </w:p>
    <w:p>
      <w:pPr>
        <w:spacing w:before="60" w:after="60"/>
      </w:pPr>
      <w:r>
        <w:rPr>
          <w:rFonts w:ascii="Arial" w:cs="Arial" w:eastAsia="Arial" w:hAnsi="Arial"/>
          <w:sz w:val="20"/>
          <w:szCs w:val="20"/>
        </w:rPr>
        <w:t xml:space="preserve">This report documents the comparative characterization of the top 8 anti-PD-1 monoclonal antibody candidates nominated from the HTS campaign (MOS-HTS-2020-001). Each candidate was produced as a full-length human IgG4 antibody (with S228P Fc stabilization) in CHO-S cells, purified to &gt;98% monomer by Protein A chromatography followed by size-exclusion polishing, and characterized across a battery of biophysical, biochemical, and functional assays.</w:t>
      </w:r>
    </w:p>
    <w:p>
      <w:pPr>
        <w:spacing w:before="60" w:after="60"/>
      </w:pPr>
      <w:r>
        <w:rPr>
          <w:rFonts w:ascii="Arial" w:cs="Arial" w:eastAsia="Arial" w:hAnsi="Arial"/>
          <w:sz w:val="20"/>
          <w:szCs w:val="20"/>
        </w:rPr>
        <w:t xml:space="preserve">Candidate MOS-PD1-047 (Cervimab) was selected as the single development candidate based on superior overall profile across all categories. This report provides the data package supporting that selection and the downstream IND regulatory filing.</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2. Candidate Production and Quality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560"/>
        <w:gridCol w:w="1560"/>
        <w:gridCol w:w="1560"/>
        <w:gridCol w:w="1560"/>
        <w:gridCol w:w="108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Clone ID</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Yield (mg/L CHO-S)</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Monomer % (SEC)</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Tm Fab (°C, DSF)</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Endotoxin (EU/mg)</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pI (IEF)</w:t>
            </w:r>
          </w:p>
        </w:tc>
        <w:tc>
          <w:tcPr>
            <w:tcW w:type="dxa" w:w="10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Advance?</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MOS-PD1-047*</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420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99.1%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74.2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0.08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8.6</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YES</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MOS-PD1-021</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380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71.8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8.2</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MOS-PD1-033</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290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68.4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0.22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7.9</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MOS-PD1-058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350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72.4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0.09</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8.8</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MOS-PD1-064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410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97.6%</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70.2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0.16</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8.4</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MOS-PD1-072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260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95.8%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66.8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0.31</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7.6</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MOS-PD1-081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390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71.4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0.11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8.3</w:t>
            </w:r>
          </w:p>
        </w:tc>
        <w:tc>
          <w:tcPr>
            <w:tcW w:type="dxa" w:w="10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No</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MOS-PD1-096</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320</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97.9%</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69.8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0.18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8.1</w:t>
            </w:r>
          </w:p>
        </w:tc>
        <w:tc>
          <w:tcPr>
            <w:tcW w:type="dxa" w:w="10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No</w:t>
            </w:r>
          </w:p>
        </w:tc>
      </w:tr>
    </w:tbl>
    <w:p>
      <w:pPr>
        <w:spacing w:before="60" w:after="60"/>
      </w:pPr>
      <w:r>
        <w:rPr>
          <w:rFonts w:ascii="Arial" w:cs="Arial" w:eastAsia="Arial" w:hAnsi="Arial"/>
          <w:i/>
          <w:iCs/>
          <w:color w:val="555555"/>
          <w:sz w:val="18"/>
          <w:szCs w:val="18"/>
        </w:rPr>
        <w:t xml:space="preserve">Table 2.1 Production and biophysical summary. *MOS-PD1-047 selected as lead (Cervimab). Monomer % by analytical SEC-HPLC (TSKgel G3000SWxL column). Tm by DSF (SYPRO Orange). Endotoxin by LAL assay. pI by capillary IEF.</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3. Binding Kinetics: SPR Full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440"/>
        <w:gridCol w:w="1320"/>
        <w:gridCol w:w="1320"/>
        <w:gridCol w:w="1560"/>
        <w:gridCol w:w="72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Clone</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hPD-1 (nM)</w:t>
            </w:r>
          </w:p>
        </w:tc>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KD cyno (nM)</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kon (×10⁵ M⁻¹s⁻¹)</w:t>
            </w:r>
          </w:p>
        </w:tc>
        <w:tc>
          <w:tcPr>
            <w:tcW w:type="dxa" w:w="13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koff (×10⁻⁴ s⁻¹)</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PD-L2 selectivity (fold)</w:t>
            </w:r>
          </w:p>
        </w:tc>
        <w:tc>
          <w:tcPr>
            <w:tcW w:type="dxa" w:w="72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Rank</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MOS-PD1-047*</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0.42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0.61</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4.8</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2.0</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&gt;1000×</w:t>
            </w:r>
          </w:p>
        </w:tc>
        <w:tc>
          <w:tcPr>
            <w:tcW w:type="dxa" w:w="7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1</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MOS-PD1-021</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0.68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1.14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3.2</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&gt;500×</w:t>
            </w:r>
          </w:p>
        </w:tc>
        <w:tc>
          <w:tcPr>
            <w:tcW w:type="dxa" w:w="7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MOS-PD1-033</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1.24</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2.18</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2.1</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2.6</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120×</w:t>
            </w:r>
          </w:p>
        </w:tc>
        <w:tc>
          <w:tcPr>
            <w:tcW w:type="dxa" w:w="7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7</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MOS-PD1-058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0.58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0.84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4.1</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&gt;800×</w:t>
            </w:r>
          </w:p>
        </w:tc>
        <w:tc>
          <w:tcPr>
            <w:tcW w:type="dxa" w:w="7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MOS-PD1-064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0.72</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1.28</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3.6</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2.6</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&gt;600×</w:t>
            </w:r>
          </w:p>
        </w:tc>
        <w:tc>
          <w:tcPr>
            <w:tcW w:type="dxa" w:w="7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MOS-PD1-072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2.84</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4.12</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80×</w:t>
            </w:r>
          </w:p>
        </w:tc>
        <w:tc>
          <w:tcPr>
            <w:tcW w:type="dxa" w:w="7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MOS-PD1-081</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0.86</w:t>
            </w:r>
          </w:p>
        </w:tc>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1.42</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w:t>
            </w:r>
          </w:p>
        </w:tc>
        <w:tc>
          <w:tcPr>
            <w:tcW w:type="dxa" w:w="13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&gt;700×</w:t>
            </w:r>
          </w:p>
        </w:tc>
        <w:tc>
          <w:tcPr>
            <w:tcW w:type="dxa" w:w="72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5</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MOS-PD1-096</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1.08</w:t>
            </w:r>
          </w:p>
        </w:tc>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1.84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2.4</w:t>
            </w:r>
          </w:p>
        </w:tc>
        <w:tc>
          <w:tcPr>
            <w:tcW w:type="dxa" w:w="13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2.6</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350×</w:t>
            </w:r>
          </w:p>
        </w:tc>
        <w:tc>
          <w:tcPr>
            <w:tcW w:type="dxa" w:w="72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6</w:t>
            </w:r>
          </w:p>
        </w:tc>
      </w:tr>
    </w:tbl>
    <w:p>
      <w:pPr>
        <w:spacing w:before="60" w:after="60"/>
      </w:pPr>
      <w:r>
        <w:rPr>
          <w:rFonts w:ascii="Arial" w:cs="Arial" w:eastAsia="Arial" w:hAnsi="Arial"/>
          <w:i/>
          <w:iCs/>
          <w:color w:val="555555"/>
          <w:sz w:val="18"/>
          <w:szCs w:val="18"/>
        </w:rPr>
        <w:t xml:space="preserve">Table 3.1 SPR kinetics summary. KD by steady-state SPR on Biacore T200 (single-cycle kinetics for efficiency). PD-L2 selectivity = ratio of IC₅₀ values (PD-L2 displacement / PD-L1 displacement). All clones maintain high PD-L1 selectivity over PD-L2, preserving PD-L2 immune regulatory biology.</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4. Functional Potency Comparison</w:t>
      </w:r>
    </w:p>
    <w:p>
      <w:pPr>
        <w:pStyle w:val="Heading2"/>
        <w:spacing w:before="240" w:after="120"/>
      </w:pPr>
      <w:r>
        <w:rPr>
          <w:rFonts w:ascii="Arial" w:cs="Arial" w:eastAsia="Arial" w:hAnsi="Arial"/>
          <w:b/>
          <w:bCs/>
          <w:color w:val="2E6DA4"/>
          <w:sz w:val="22"/>
          <w:szCs w:val="22"/>
        </w:rPr>
        <w:t xml:space="preserve">4.1 MLR T-Cell Reactivation — Potency Ranking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560"/>
        <w:gridCol w:w="1560"/>
        <w:gridCol w:w="1560"/>
        <w:gridCol w:w="1560"/>
        <w:gridCol w:w="1680"/>
      </w:tblGrid>
      <w:tr>
        <w:tc>
          <w:tcPr>
            <w:tcW w:type="dxa" w:w="14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Clone</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EC₅₀ IFN-γ (nM)</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IFN-γ fold-↑</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EC₅₀ IL-2 (nM)</w:t>
            </w:r>
          </w:p>
        </w:tc>
        <w:tc>
          <w:tcPr>
            <w:tcW w:type="dxa" w:w="156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Max IL-2 fold-↑</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T-cell prolif. (Ki67+)</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MOS-PD1-047*</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0.84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1.12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24.2% (vs 8.4% ctrl)</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MOS-PD1-021</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1.42</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1.98</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2.9×</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21.8%</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MOS-PD1-058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1.18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3.5×</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1.64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3.0×</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22.4%</w:t>
            </w:r>
          </w:p>
        </w:tc>
      </w:tr>
      <w:tr>
        <w:tc>
          <w:tcPr>
            <w:tcW w:type="dxa" w:w="14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Pembrolizumab (ref)</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2.14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3.5×</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2.84</w:t>
            </w:r>
          </w:p>
        </w:tc>
        <w:tc>
          <w:tcPr>
            <w:tcW w:type="dxa" w:w="156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3.0×</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22.6%</w:t>
            </w:r>
          </w:p>
        </w:tc>
      </w:tr>
      <w:tr>
        <w:tc>
          <w:tcPr>
            <w:tcW w:type="dxa" w:w="14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Nivolumab (ref)</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2.68</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3.4×</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3.42</w:t>
            </w:r>
          </w:p>
        </w:tc>
        <w:tc>
          <w:tcPr>
            <w:tcW w:type="dxa" w:w="156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21.2%</w:t>
            </w:r>
          </w:p>
        </w:tc>
      </w:tr>
    </w:tbl>
    <w:p>
      <w:pPr>
        <w:spacing w:before="60" w:after="60"/>
      </w:pPr>
      <w:r>
        <w:rPr>
          <w:rFonts w:ascii="Arial" w:cs="Arial" w:eastAsia="Arial" w:hAnsi="Arial"/>
          <w:i/>
          <w:iCs/>
          <w:color w:val="555555"/>
          <w:sz w:val="18"/>
          <w:szCs w:val="18"/>
        </w:rPr>
        <w:t xml:space="preserve">Table 4.1 Functional potency. MLR assay (6 donors, triplicate). MOS-PD1-047 shows lowest EC₅₀ for IFN-γ induction (0.84 nM vs 2.14 nM for pembrolizumab), representing 2.5-fold improved potency. Maximum fold-induction comparable across candidates and reference antibodies.</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5. Developability Assessment</w:t>
      </w:r>
    </w:p>
    <w:p>
      <w:pPr>
        <w:pStyle w:val="Heading2"/>
        <w:spacing w:before="240" w:after="120"/>
      </w:pPr>
      <w:r>
        <w:rPr>
          <w:rFonts w:ascii="Arial" w:cs="Arial" w:eastAsia="Arial" w:hAnsi="Arial"/>
          <w:b/>
          <w:bCs/>
          <w:color w:val="2E6DA4"/>
          <w:sz w:val="22"/>
          <w:szCs w:val="22"/>
        </w:rPr>
        <w:t xml:space="preserve">5.1 Polyspecificity and Self-Association</w:t>
      </w:r>
    </w:p>
    <w:p>
      <w:pPr>
        <w:spacing w:before="60" w:after="60"/>
      </w:pPr>
      <w:r>
        <w:rPr>
          <w:rFonts w:ascii="Arial" w:cs="Arial" w:eastAsia="Arial" w:hAnsi="Arial"/>
          <w:sz w:val="20"/>
          <w:szCs w:val="20"/>
        </w:rPr>
        <w:t xml:space="preserve">The baculoviral particle (BVP) polyspecificity reagent (PSR) assay was used to assess non-specific binding tendency. MOS-PD1-047 (Cervimab) scored 0.08 (PSR score; threshold for advancement: &lt;0.25), indicating low polyspecificity and excellent developability. All 8 candidates scored below the threshold; MOS-PD1-047 scored the lowest.</w:t>
      </w:r>
    </w:p>
    <w:p>
      <w:pPr>
        <w:spacing w:before="60" w:after="60"/>
      </w:pPr>
      <w:r>
        <w:rPr>
          <w:rFonts w:ascii="Arial" w:cs="Arial" w:eastAsia="Arial" w:hAnsi="Arial"/>
          <w:sz w:val="20"/>
          <w:szCs w:val="20"/>
        </w:rPr>
        <w:t xml:space="preserve">Self-association by AC-SINS (affinity-capture self-interaction nanoparticle spectroscopy): MOS-PD1-047 showed 0.4 nm red-shift (acceptably low; threshold &lt;2.0 nm), confirming no significant self-aggregation tendency at therapeutic concentrations.</w:t>
      </w:r>
    </w:p>
    <w:p>
      <w:pPr>
        <w:pStyle w:val="Heading2"/>
        <w:spacing w:before="240" w:after="120"/>
      </w:pPr>
      <w:r>
        <w:rPr>
          <w:rFonts w:ascii="Arial" w:cs="Arial" w:eastAsia="Arial" w:hAnsi="Arial"/>
          <w:b/>
          <w:bCs/>
          <w:color w:val="2E6DA4"/>
          <w:sz w:val="22"/>
          <w:szCs w:val="22"/>
        </w:rPr>
        <w:t xml:space="preserve">5.2 Forced Degradation and Stability Screening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1680"/>
        <w:gridCol w:w="1680"/>
        <w:gridCol w:w="1680"/>
        <w:gridCol w:w="1680"/>
      </w:tblGrid>
      <w:tr>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Stress Condition</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MOS-PD1-047</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MOS-PD1-021</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MOS-PD1-058</w:t>
            </w:r>
          </w:p>
        </w:tc>
        <w:tc>
          <w:tcPr>
            <w:tcW w:type="dxa" w:w="168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Threshold (pass)</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Thermal: 40°C/4 wk (SEC %monomer retained)</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97.9%</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Freeze-thaw: 5 cycles (SEC %monomer)</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99.0%</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98.1%</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≥98%</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Acidic pH: pH 3.5, 24h RT (% activity)</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94.2%</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88.4%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91.8%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≥90%</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Oxidation: 0.1% H₂O₂, 4h (% activity)</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91.8%</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82.6%</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89.4%</w:t>
            </w:r>
          </w:p>
        </w:tc>
        <w:tc>
          <w:tcPr>
            <w:tcW w:type="dxa" w:w="168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≥85%</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Light: 1.2 M lux-h ICH Q1B (SEC %monomer)</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98.4%</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96.8%</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97.6%</w:t>
            </w:r>
          </w:p>
        </w:tc>
        <w:tc>
          <w:tcPr>
            <w:tcW w:type="dxa" w:w="168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≥97%</w:t>
            </w:r>
          </w:p>
        </w:tc>
      </w:tr>
    </w:tbl>
    <w:p>
      <w:pPr>
        <w:spacing w:before="60" w:after="60"/>
      </w:pPr>
      <w:r>
        <w:rPr>
          <w:rFonts w:ascii="Arial" w:cs="Arial" w:eastAsia="Arial" w:hAnsi="Arial"/>
          <w:i/>
          <w:iCs/>
          <w:color w:val="555555"/>
          <w:sz w:val="18"/>
          <w:szCs w:val="18"/>
        </w:rPr>
        <w:t xml:space="preserve">Table 5.2 Forced degradation screening. MOS-PD1-047 passes all thresholds and outperforms comparators. The acid stability (relevant to Protein A purification at pH 3.5 elution) and oxidation resistance are particularly strong, supporting CMC robustness.</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6. Lead Selection Decision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40"/>
        <w:gridCol w:w="840"/>
        <w:gridCol w:w="840"/>
        <w:gridCol w:w="840"/>
        <w:gridCol w:w="840"/>
        <w:gridCol w:w="840"/>
        <w:gridCol w:w="840"/>
        <w:gridCol w:w="840"/>
        <w:gridCol w:w="840"/>
      </w:tblGrid>
      <w:tr>
        <w:tc>
          <w:tcPr>
            <w:tcW w:type="dxa" w:w="26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Criterion (weight)</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047*</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021</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033</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058</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064</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072</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081</w:t>
            </w:r>
          </w:p>
        </w:tc>
        <w:tc>
          <w:tcPr>
            <w:tcW w:type="dxa" w:w="840"/>
            <w:tcBorders>
              <w:top w:val="single" w:color="D6E4F0" w:sz="1"/>
              <w:left w:val="single" w:color="D6E4F0" w:sz="1"/>
              <w:bottom w:val="single" w:color="D6E4F0" w:sz="1"/>
              <w:right w:val="single" w:color="D6E4F0" w:sz="1"/>
            </w:tcBorders>
            <w:shd w:fill="1A3A5C"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096</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Affinity KD hPD-1 (25%)</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Cyno cross-reactivity (15%)</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Functional potency EC₅₀ (20%)</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Biophysical / stability (20%)</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Manufacturability yield (10%)</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w:t>
            </w:r>
          </w:p>
        </w:tc>
      </w:tr>
      <w:tr>
        <w:tc>
          <w:tcPr>
            <w:tcW w:type="dxa" w:w="26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PD-L2 selectivity (10%)</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b/>
                <w:bCs/>
                <w:sz w:val="18"/>
                <w:szCs w:val="18"/>
              </w:rPr>
              <w:t xml:space="preserve">5</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5</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2</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4</w:t>
            </w:r>
          </w:p>
        </w:tc>
        <w:tc>
          <w:tcPr>
            <w:tcW w:type="dxa" w:w="840"/>
            <w:tcBorders>
              <w:top w:val="single" w:color="BFBFBF" w:sz="1"/>
              <w:left w:val="single" w:color="BFBFBF" w:sz="1"/>
              <w:bottom w:val="single" w:color="BFBFBF" w:sz="1"/>
              <w:right w:val="single" w:color="BFBFBF" w:sz="1"/>
            </w:tcBorders>
            <w:shd w:fill="FFFFFF" w:val="clear"/>
            <w:tcMar>
              <w:top w:type="dxa" w:w="70"/>
              <w:left w:type="dxa" w:w="120"/>
              <w:bottom w:type="dxa" w:w="70"/>
              <w:right w:type="dxa" w:w="120"/>
            </w:tcMar>
          </w:tcPr>
          <w:p>
            <w:r>
              <w:rPr>
                <w:rFonts w:ascii="Arial" w:cs="Arial" w:eastAsia="Arial" w:hAnsi="Arial"/>
                <w:sz w:val="18"/>
                <w:szCs w:val="18"/>
              </w:rPr>
              <w:t xml:space="preserve">3</w:t>
            </w:r>
          </w:p>
        </w:tc>
      </w:tr>
      <w:tr>
        <w:tc>
          <w:tcPr>
            <w:tcW w:type="dxa" w:w="26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WEIGHTED SCORE (100%)</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b/>
                <w:bCs/>
                <w:sz w:val="18"/>
                <w:szCs w:val="18"/>
              </w:rPr>
              <w:t xml:space="preserve">5.0</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4.0</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2.6</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4.1</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3.7</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1.7</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3.5</w:t>
            </w:r>
          </w:p>
        </w:tc>
        <w:tc>
          <w:tcPr>
            <w:tcW w:type="dxa" w:w="840"/>
            <w:tcBorders>
              <w:top w:val="single" w:color="BFBFBF" w:sz="1"/>
              <w:left w:val="single" w:color="BFBFBF" w:sz="1"/>
              <w:bottom w:val="single" w:color="BFBFBF" w:sz="1"/>
              <w:right w:val="single" w:color="BFBFBF" w:sz="1"/>
            </w:tcBorders>
            <w:shd w:fill="F2F2F2" w:val="clear"/>
            <w:tcMar>
              <w:top w:type="dxa" w:w="70"/>
              <w:left w:type="dxa" w:w="120"/>
              <w:bottom w:type="dxa" w:w="70"/>
              <w:right w:type="dxa" w:w="120"/>
            </w:tcMar>
          </w:tcPr>
          <w:p>
            <w:r>
              <w:rPr>
                <w:rFonts w:ascii="Arial" w:cs="Arial" w:eastAsia="Arial" w:hAnsi="Arial"/>
                <w:sz w:val="18"/>
                <w:szCs w:val="18"/>
              </w:rPr>
              <w:t xml:space="preserve">2.9</w:t>
            </w:r>
          </w:p>
        </w:tc>
      </w:tr>
    </w:tbl>
    <w:p>
      <w:pPr>
        <w:spacing w:before="60" w:after="60"/>
      </w:pPr>
      <w:r>
        <w:rPr>
          <w:rFonts w:ascii="Arial" w:cs="Arial" w:eastAsia="Arial" w:hAnsi="Arial"/>
          <w:i/>
          <w:iCs/>
          <w:color w:val="555555"/>
          <w:sz w:val="18"/>
          <w:szCs w:val="18"/>
        </w:rPr>
        <w:t xml:space="preserve">Table 6.1 Lead selection decision matrix. Scores: 1 (poor) to 5 (excellent). *MOS-PD1-047 selected as sole development candidate (Cervimab) with highest weighted score of 5.0.</w:t>
      </w:r>
    </w:p>
    <w:p>
      <w:pPr>
        <w:spacing w:before="100" w:after="100"/>
      </w:pPr>
    </w:p>
    <w:p>
      <w:pPr>
        <w:pStyle w:val="Heading1"/>
        <w:pBdr>
          <w:bottom w:val="single" w:color="2E6DA4" w:sz="6" w:space="1"/>
        </w:pBdr>
        <w:spacing w:before="320" w:after="160"/>
      </w:pPr>
      <w:r>
        <w:rPr>
          <w:rFonts w:ascii="Arial" w:cs="Arial" w:eastAsia="Arial" w:hAnsi="Arial"/>
          <w:b/>
          <w:bCs/>
          <w:color w:val="1A3A5C"/>
          <w:sz w:val="28"/>
          <w:szCs w:val="28"/>
        </w:rPr>
        <w:t xml:space="preserve">7. Regulatory Basis for Lead Selection</w:t>
      </w:r>
    </w:p>
    <w:p>
      <w:pPr>
        <w:spacing w:before="60" w:after="60"/>
      </w:pPr>
      <w:r>
        <w:rPr>
          <w:rFonts w:ascii="Arial" w:cs="Arial" w:eastAsia="Arial" w:hAnsi="Arial"/>
          <w:sz w:val="20"/>
          <w:szCs w:val="20"/>
        </w:rPr>
        <w:t xml:space="preserve">The lead selection framework and characterization data presented in this report support the following regulatory positions:</w:t>
      </w:r>
    </w:p>
    <w:p>
      <w:pPr>
        <w:pStyle w:val="ListParagraph"/>
        <w:numPr>
          <w:ilvl w:val="0"/>
          <w:numId w:val="2"/>
        </w:numPr>
        <w:spacing w:before="40" w:after="40"/>
      </w:pPr>
      <w:r>
        <w:rPr>
          <w:rFonts w:ascii="Arial" w:cs="Arial" w:eastAsia="Arial" w:hAnsi="Arial"/>
          <w:sz w:val="20"/>
          <w:szCs w:val="20"/>
        </w:rPr>
        <w:t xml:space="preserve">Species selection for toxicology studies: Cynomolgus monkey is the pharmacologically relevant species per ICH S6(R1), based on demonstrated binding cross-reactivity (KD cyno/human ratio 1.45) and confirmed functional activity in cyno PBMC MLR assay.</w:t>
      </w:r>
    </w:p>
    <w:p>
      <w:pPr>
        <w:pStyle w:val="ListParagraph"/>
        <w:numPr>
          <w:ilvl w:val="0"/>
          <w:numId w:val="2"/>
        </w:numPr>
        <w:spacing w:before="40" w:after="40"/>
      </w:pPr>
      <w:r>
        <w:rPr>
          <w:rFonts w:ascii="Arial" w:cs="Arial" w:eastAsia="Arial" w:hAnsi="Arial"/>
          <w:sz w:val="20"/>
          <w:szCs w:val="20"/>
        </w:rPr>
        <w:t xml:space="preserve">Starting dose for FIH studies: Binding affinity and receptor occupancy data support MABEL-based starting dose calculation (reference: MOS-NOAEL-2022-001 toxicology report).</w:t>
      </w:r>
    </w:p>
    <w:p>
      <w:pPr>
        <w:pStyle w:val="ListParagraph"/>
        <w:numPr>
          <w:ilvl w:val="0"/>
          <w:numId w:val="2"/>
        </w:numPr>
        <w:spacing w:before="40" w:after="40"/>
      </w:pPr>
      <w:r>
        <w:rPr>
          <w:rFonts w:ascii="Arial" w:cs="Arial" w:eastAsia="Arial" w:hAnsi="Arial"/>
          <w:sz w:val="20"/>
          <w:szCs w:val="20"/>
        </w:rPr>
        <w:t xml:space="preserve">Molecular characterization: Sequence, molecular weight, pI, glycosylation profile, and biophysical properties meet FDA/ICH Q6B specifications for biological characterization.</w:t>
      </w:r>
    </w:p>
    <w:p>
      <w:pPr>
        <w:pStyle w:val="ListParagraph"/>
        <w:numPr>
          <w:ilvl w:val="0"/>
          <w:numId w:val="2"/>
        </w:numPr>
        <w:spacing w:before="40" w:after="40"/>
      </w:pPr>
      <w:r>
        <w:rPr>
          <w:rFonts w:ascii="Arial" w:cs="Arial" w:eastAsia="Arial" w:hAnsi="Arial"/>
          <w:sz w:val="20"/>
          <w:szCs w:val="20"/>
        </w:rPr>
        <w:t xml:space="preserve">Developability: The favorable stability, yield, and biophysical profile support commercial manufacturing feasibility per ICH Q8(R2) pharmaceutical development principles.</w:t>
      </w:r>
    </w:p>
    <w:p>
      <w:pPr>
        <w:spacing w:before="100" w:after="100"/>
      </w:pPr>
    </w:p>
    <w:p>
      <w:pPr>
        <w:spacing w:before="60" w:after="60"/>
      </w:pPr>
      <w:r>
        <w:rPr>
          <w:rFonts w:ascii="Arial" w:cs="Arial" w:eastAsia="Arial" w:hAnsi="Arial"/>
          <w:i/>
          <w:iCs/>
          <w:color w:val="555555"/>
          <w:sz w:val="18"/>
          <w:szCs w:val="18"/>
        </w:rPr>
        <w:t xml:space="preserve">Prepared by: Antibody Engineering &amp; Lead Optimization Group, Meridian Oncology Sciences | Reviewed by: Head of Biotherapeutics Discovery | Date: 2021-04-28</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6DA4" w:sz="4"/>
      </w:pBdr>
    </w:pPr>
    <w:r>
      <w:rPr>
        <w:rFonts w:ascii="Arial" w:cs="Arial" w:eastAsia="Arial" w:hAnsi="Arial"/>
        <w:color w:val="888888"/>
        <w:sz w:val="16"/>
        <w:szCs w:val="16"/>
      </w:rPr>
      <w:t xml:space="preserve">MOS-LCL-2021-001 v2.0  |  Page </w:t>
    </w:r>
    <w:pgNum/>
    <w:r>
      <w:rPr>
        <w:rFonts w:ascii="Arial" w:cs="Arial" w:eastAsia="Arial" w:hAnsi="Arial"/>
        <w:color w:val="888888"/>
        <w:sz w:val="16"/>
        <w:szCs w:val="16"/>
      </w:rPr>
      <w:t xml:space="preserve">  |  Cervimab Preclinical Program  |  © 2023 Meridian Oncology Sciences, Inc.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6DA4" w:sz="4"/>
      </w:pBdr>
    </w:pPr>
    <w:r>
      <w:rPr>
        <w:rFonts w:ascii="Arial" w:cs="Arial" w:eastAsia="Arial" w:hAnsi="Arial"/>
        <w:b/>
        <w:bCs/>
        <w:color w:val="1A3A5C"/>
        <w:sz w:val="16"/>
        <w:szCs w:val="16"/>
      </w:rPr>
      <w:t xml:space="preserve">MERIDIAN ONCOLOGY SCIENCES  |  </w:t>
    </w:r>
    <w:r>
      <w:rPr>
        <w:rFonts w:ascii="Arial" w:cs="Arial" w:eastAsia="Arial" w:hAnsi="Arial"/>
        <w:color w:val="555555"/>
        <w:sz w:val="16"/>
        <w:szCs w:val="16"/>
      </w:rPr>
      <w:t xml:space="preserve">Lead Compound Library Report</w:t>
    </w:r>
    <w:r>
      <w:rPr>
        <w:rFonts w:ascii="Arial" w:cs="Arial" w:eastAsia="Arial" w:hAnsi="Arial"/>
        <w:color w:val="888888"/>
        <w:sz w:val="16"/>
        <w:szCs w:val="16"/>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3A5C"/>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6DA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2026-03-15T17:47:22.980Z</dcterms:created>
  <dcterms:modified xsi:type="dcterms:W3CDTF">2026-03-15T17:47:22.980Z</dcterms:modified>
</cp:coreProperties>
</file>

<file path=docProps/custom.xml><?xml version="1.0" encoding="utf-8"?>
<Properties xmlns="http://schemas.openxmlformats.org/officeDocument/2006/custom-properties" xmlns:vt="http://schemas.openxmlformats.org/officeDocument/2006/docPropsVTypes"/>
</file>