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val="false"/>
          <w:bCs w:val="false"/>
          <w:i w:val="false"/>
          <w:iCs w:val="false"/>
          <w:color w:val="000000"/>
          <w:sz w:val="22"/>
          <w:szCs w:val="22"/>
        </w:rPr>
        <w:t xml:space="preserve"/>
      </w:r>
    </w:p>
    <w:p>
      <w:pPr>
        <w:shd w:fill="1B3A6B" w:val="clear"/>
        <w:spacing w:before="0" w:after="120"/>
        <w:ind w:left="0" w:right="0"/>
        <w:jc w:val="center"/>
      </w:pPr>
      <w:r>
        <w:rPr>
          <w:rFonts w:ascii="Arial" w:cs="Arial" w:eastAsia="Arial" w:hAnsi="Arial"/>
          <w:b/>
          <w:bCs/>
          <w:color w:val="FFFFFF"/>
          <w:sz w:val="48"/>
          <w:szCs w:val="48"/>
        </w:rPr>
        <w:t xml:space="preserve">INVESTIGATIONAL NEW DRUG APPLICATION</w:t>
      </w:r>
    </w:p>
    <w:p>
      <w:pPr>
        <w:shd w:fill="1B3A6B" w:val="clear"/>
        <w:spacing w:before="0" w:after="480"/>
        <w:jc w:val="center"/>
      </w:pPr>
      <w:r>
        <w:rPr>
          <w:rFonts w:ascii="Arial" w:cs="Arial" w:eastAsia="Arial" w:hAnsi="Arial"/>
          <w:b w:val="false"/>
          <w:bCs w:val="false"/>
          <w:color w:val="FFFFFF"/>
          <w:sz w:val="28"/>
          <w:szCs w:val="28"/>
        </w:rPr>
        <w:t xml:space="preserve">21 CFR Part 312</w:t>
      </w:r>
    </w:p>
    <w:p>
      <w:pPr>
        <w:spacing w:before="0" w:after="60"/>
        <w:jc w:val="center"/>
      </w:pPr>
      <w:r>
        <w:rPr>
          <w:rFonts w:ascii="Arial" w:cs="Arial" w:eastAsia="Arial" w:hAnsi="Arial"/>
          <w:b/>
          <w:bCs/>
          <w:color w:val="1B3A6B"/>
          <w:sz w:val="52"/>
          <w:szCs w:val="52"/>
        </w:rPr>
        <w:t xml:space="preserve">CERVIMAB</w:t>
      </w:r>
    </w:p>
    <w:p>
      <w:pPr>
        <w:spacing w:before="0" w:after="200"/>
        <w:jc w:val="center"/>
      </w:pPr>
      <w:r>
        <w:rPr>
          <w:rFonts w:ascii="Arial" w:cs="Arial" w:eastAsia="Arial" w:hAnsi="Arial"/>
          <w:b w:val="false"/>
          <w:bCs w:val="false"/>
          <w:color w:val="2E5FAC"/>
          <w:sz w:val="28"/>
          <w:szCs w:val="28"/>
        </w:rPr>
        <w:t xml:space="preserve">(Anti-PD-1 Monoclonal Antibody)</w:t>
      </w:r>
    </w:p>
    <w:p>
      <w:pPr>
        <w:spacing w:before="0" w:after="80"/>
        <w:jc w:val="center"/>
      </w:pPr>
      <w:r>
        <w:rPr>
          <w:rFonts w:ascii="Arial" w:cs="Arial" w:eastAsia="Arial" w:hAnsi="Arial"/>
          <w:b/>
          <w:bCs/>
          <w:color w:val="1B3A6B"/>
          <w:sz w:val="24"/>
          <w:szCs w:val="24"/>
        </w:rPr>
        <w:t xml:space="preserve">A Phase I/II, Open-Label, Dose-Escalation and Expansion Study</w:t>
      </w:r>
    </w:p>
    <w:p>
      <w:pPr>
        <w:spacing w:before="0" w:after="300"/>
        <w:jc w:val="center"/>
      </w:pPr>
      <w:r>
        <w:rPr>
          <w:rFonts w:ascii="Arial" w:cs="Arial" w:eastAsia="Arial" w:hAnsi="Arial"/>
          <w:b w:val="false"/>
          <w:bCs w:val="false"/>
          <w:color w:val="1B3A6B"/>
          <w:sz w:val="24"/>
          <w:szCs w:val="24"/>
        </w:rPr>
        <w:t xml:space="preserve">of Cervimab in Patients with dMMR/MSI-H Metastatic Colorectal Cancer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IND Sponsor</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Cervantes Biotherapeutics, Inc.</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Sponsor Address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1200 Innovation Drive, Suite 800, Cambridge, MA 02139</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Regulatory Contact</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Sarah J. Morgan, PhD, VP Regulatory Affairs</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Contact Phone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+1 (617) 555-0190</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IND Serial Number</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[To Be Assigned by FDA]</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Submission Date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To be determined upon finalization</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IND Type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Commercial IND (21 CFR 312.23)</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Phase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Phase I/II</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Indication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dMMR/MSI-H Metastatic Colorectal Cancer (mCRC)</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Drug Class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PD-1 Immune Checkpoint Inhibitor, Humanized IgG4 mAb</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Route of Administration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Intravenous (IV) Infusion</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Prior FDA Interactions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Pre-IND Meeting (Type B) — [DATE]; FDA Response [DATE]</w:t>
            </w:r>
          </w:p>
        </w:tc>
      </w:tr>
    </w:tbl>
    <w:p>
      <w:pPr>
        <w:spacing w:before="300" w:after="60"/>
      </w:pPr>
      <w:r>
        <w:rPr>
          <w:rFonts w:ascii="Arial" w:cs="Arial" w:eastAsia="Arial" w:hAnsi="Arial"/>
          <w:b w:val="false"/>
          <w:bCs w:val="false"/>
          <w:i w:val="false"/>
          <w:iCs w:val="false"/>
          <w:color w:val="000000"/>
          <w:sz w:val="22"/>
          <w:szCs w:val="22"/>
        </w:rPr>
        <w:t xml:space="preserve"/>
      </w:r>
    </w:p>
    <w:p>
      <w:pPr>
        <w:pBdr>
          <w:left w:val="single" w:color="C0392B" w:sz="12"/>
        </w:pBdr>
        <w:shd w:fill="FFF3F3" w:val="clear"/>
        <w:spacing w:before="60" w:after="60"/>
        <w:ind w:left="360"/>
      </w:pPr>
      <w:r>
        <w:rPr>
          <w:rFonts w:ascii="Arial" w:cs="Arial" w:eastAsia="Arial" w:hAnsi="Arial"/>
          <w:b/>
          <w:bCs/>
          <w:color w:val="C0392B"/>
          <w:sz w:val="20"/>
          <w:szCs w:val="20"/>
        </w:rPr>
        <w:t xml:space="preserve">NOTE: </w:t>
      </w:r>
      <w:r>
        <w:rPr>
          <w:rFonts w:ascii="Arial" w:cs="Arial" w:eastAsia="Arial" w:hAnsi="Arial"/>
          <w:i/>
          <w:iCs/>
          <w:color w:val="4A4A4A"/>
          <w:sz w:val="20"/>
          <w:szCs w:val="20"/>
        </w:rPr>
        <w:t xml:space="preserve">This document is an example regulatory submission prepared for training and educational purposes. All clinical data, pharmacological findings, and organizational details are fictional. This document does not constitute an actual IND submission and should not be filed with the FDA or any other regulatory authority.</w:t>
      </w:r>
    </w:p>
    <w:p>
      <w:pPr>
        <w:spacing w:before="0" w:after="0"/>
      </w:pPr>
      <w:r>
        <w:br w:type="page"/>
      </w:r>
    </w:p>
    <w:p>
      <w:pPr>
        <w:shd w:fill="1B3A6B" w:val="clear"/>
        <w:spacing w:before="480" w:after="480"/>
        <w:ind w:left="0" w:right="0"/>
        <w:jc w:val="center"/>
      </w:pPr>
      <w:r>
        <w:rPr>
          <w:rFonts w:ascii="Arial" w:cs="Arial" w:eastAsia="Arial" w:hAnsi="Arial"/>
          <w:b/>
          <w:bCs/>
          <w:color w:val="FFFFFF"/>
          <w:sz w:val="38"/>
          <w:szCs w:val="38"/>
        </w:rPr>
        <w:t xml:space="preserve">TABLE OF CONTENTS</w:t>
      </w:r>
    </w:p>
    <w:p>
      <w:pPr>
        <w:spacing w:before="120" w:after="60"/>
      </w:pPr>
      <w:r>
        <w:rPr>
          <w:rFonts w:ascii="Arial" w:cs="Arial" w:eastAsia="Arial" w:hAnsi="Arial"/>
          <w:b w:val="false"/>
          <w:bCs w:val="false"/>
          <w:i w:val="false"/>
          <w:iCs w:val="false"/>
          <w:color w:val="000000"/>
          <w:sz w:val="22"/>
          <w:szCs w:val="22"/>
        </w:rPr>
        <w:t xml:space="preserve"/>
      </w:r>
    </w:p>
    <w:p>
      <w:pPr>
        <w:tabs>
          <w:tab w:val="right" w:pos="9200"/>
        </w:tabs>
        <w:spacing w:before="80" w:after="80"/>
      </w:pPr>
      <w:r>
        <w:rPr>
          <w:rFonts w:ascii="Arial" w:cs="Arial" w:eastAsia="Arial" w:hAnsi="Arial"/>
          <w:b/>
          <w:bCs/>
          <w:i w:val="false"/>
          <w:iCs w:val="false"/>
          <w:color w:val="1B3A6B"/>
          <w:sz w:val="20"/>
          <w:szCs w:val="20"/>
        </w:rPr>
        <w:t xml:space="preserve">SECTION 1  </w:t>
      </w:r>
      <w:r>
        <w:rPr>
          <w:rFonts w:ascii="Arial" w:cs="Arial" w:eastAsia="Arial" w:hAnsi="Arial"/>
          <w:b w:val="false"/>
          <w:bCs w:val="false"/>
          <w:i w:val="false"/>
          <w:iCs w:val="false"/>
          <w:color w:val="000000"/>
          <w:sz w:val="20"/>
          <w:szCs w:val="20"/>
        </w:rPr>
        <w:t xml:space="preserve">IND APPLICATION COVER SHEET &amp; ADMINISTRATIVE ITEMS (21 CFR 312.23(a))</w:t>
      </w:r>
      <w:r>
        <w:rPr>
          <w:rFonts w:ascii="Arial" w:cs="Arial" w:eastAsia="Arial" w:hAnsi="Arial"/>
          <w:color w:val="2E5FAC"/>
          <w:sz w:val="20"/>
          <w:szCs w:val="20"/>
        </w:rPr>
        <w:t xml:space="preserve">	3</w:t>
      </w:r>
    </w:p>
    <w:p>
      <w:pPr>
        <w:tabs>
          <w:tab w:val="right" w:pos="9200"/>
        </w:tabs>
        <w:spacing w:before="80" w:after="80"/>
      </w:pPr>
      <w:r>
        <w:rPr>
          <w:rFonts w:ascii="Arial" w:cs="Arial" w:eastAsia="Arial" w:hAnsi="Arial"/>
          <w:b/>
          <w:bCs/>
          <w:i w:val="false"/>
          <w:iCs w:val="false"/>
          <w:color w:val="1B3A6B"/>
          <w:sz w:val="20"/>
          <w:szCs w:val="20"/>
        </w:rPr>
        <w:t xml:space="preserve">SECTION 2  </w:t>
      </w:r>
      <w:r>
        <w:rPr>
          <w:rFonts w:ascii="Arial" w:cs="Arial" w:eastAsia="Arial" w:hAnsi="Arial"/>
          <w:b w:val="false"/>
          <w:bCs w:val="false"/>
          <w:i w:val="false"/>
          <w:iCs w:val="false"/>
          <w:color w:val="000000"/>
          <w:sz w:val="20"/>
          <w:szCs w:val="20"/>
        </w:rPr>
        <w:t xml:space="preserve">INVESTIGATOR'S BROCHURE (IB)</w:t>
      </w:r>
      <w:r>
        <w:rPr>
          <w:rFonts w:ascii="Arial" w:cs="Arial" w:eastAsia="Arial" w:hAnsi="Arial"/>
          <w:color w:val="2E5FAC"/>
          <w:sz w:val="20"/>
          <w:szCs w:val="20"/>
        </w:rPr>
        <w:t xml:space="preserve">	10</w:t>
      </w:r>
    </w:p>
    <w:p>
      <w:pPr>
        <w:tabs>
          <w:tab w:val="right" w:pos="9200"/>
        </w:tabs>
        <w:spacing w:before="80" w:after="80"/>
      </w:pPr>
      <w:r>
        <w:rPr>
          <w:rFonts w:ascii="Arial" w:cs="Arial" w:eastAsia="Arial" w:hAnsi="Arial"/>
          <w:b/>
          <w:bCs/>
          <w:i w:val="false"/>
          <w:iCs w:val="false"/>
          <w:color w:val="1B3A6B"/>
          <w:sz w:val="20"/>
          <w:szCs w:val="20"/>
        </w:rPr>
        <w:t xml:space="preserve">SECTION 3  </w:t>
      </w:r>
      <w:r>
        <w:rPr>
          <w:rFonts w:ascii="Arial" w:cs="Arial" w:eastAsia="Arial" w:hAnsi="Arial"/>
          <w:b w:val="false"/>
          <w:bCs w:val="false"/>
          <w:i w:val="false"/>
          <w:iCs w:val="false"/>
          <w:color w:val="000000"/>
          <w:sz w:val="20"/>
          <w:szCs w:val="20"/>
        </w:rPr>
        <w:t xml:space="preserve">CHEMISTRY, MANUFACTURING &amp; CONTROLS (CMC)</w:t>
      </w:r>
      <w:r>
        <w:rPr>
          <w:rFonts w:ascii="Arial" w:cs="Arial" w:eastAsia="Arial" w:hAnsi="Arial"/>
          <w:color w:val="2E5FAC"/>
          <w:sz w:val="20"/>
          <w:szCs w:val="20"/>
        </w:rPr>
        <w:t xml:space="preserve">	24</w:t>
      </w:r>
    </w:p>
    <w:p>
      <w:pPr>
        <w:tabs>
          <w:tab w:val="right" w:pos="9200"/>
        </w:tabs>
        <w:spacing w:before="80" w:after="80"/>
      </w:pPr>
      <w:r>
        <w:rPr>
          <w:rFonts w:ascii="Arial" w:cs="Arial" w:eastAsia="Arial" w:hAnsi="Arial"/>
          <w:b/>
          <w:bCs/>
          <w:i w:val="false"/>
          <w:iCs w:val="false"/>
          <w:color w:val="1B3A6B"/>
          <w:sz w:val="20"/>
          <w:szCs w:val="20"/>
        </w:rPr>
        <w:t xml:space="preserve">SECTION 4  </w:t>
      </w:r>
      <w:r>
        <w:rPr>
          <w:rFonts w:ascii="Arial" w:cs="Arial" w:eastAsia="Arial" w:hAnsi="Arial"/>
          <w:b w:val="false"/>
          <w:bCs w:val="false"/>
          <w:i w:val="false"/>
          <w:iCs w:val="false"/>
          <w:color w:val="000000"/>
          <w:sz w:val="20"/>
          <w:szCs w:val="20"/>
        </w:rPr>
        <w:t xml:space="preserve">PHARMACOLOGY &amp; TOXICOLOGY (PHARM/TOX)</w:t>
      </w:r>
      <w:r>
        <w:rPr>
          <w:rFonts w:ascii="Arial" w:cs="Arial" w:eastAsia="Arial" w:hAnsi="Arial"/>
          <w:color w:val="2E5FAC"/>
          <w:sz w:val="20"/>
          <w:szCs w:val="20"/>
        </w:rPr>
        <w:t xml:space="preserve">	36</w:t>
      </w:r>
    </w:p>
    <w:p>
      <w:pPr>
        <w:tabs>
          <w:tab w:val="right" w:pos="9200"/>
        </w:tabs>
        <w:spacing w:before="80" w:after="80"/>
      </w:pPr>
      <w:r>
        <w:rPr>
          <w:rFonts w:ascii="Arial" w:cs="Arial" w:eastAsia="Arial" w:hAnsi="Arial"/>
          <w:b/>
          <w:bCs/>
          <w:i w:val="false"/>
          <w:iCs w:val="false"/>
          <w:color w:val="1B3A6B"/>
          <w:sz w:val="20"/>
          <w:szCs w:val="20"/>
        </w:rPr>
        <w:t xml:space="preserve">SECTION 5  </w:t>
      </w:r>
      <w:r>
        <w:rPr>
          <w:rFonts w:ascii="Arial" w:cs="Arial" w:eastAsia="Arial" w:hAnsi="Arial"/>
          <w:b w:val="false"/>
          <w:bCs w:val="false"/>
          <w:i w:val="false"/>
          <w:iCs w:val="false"/>
          <w:color w:val="000000"/>
          <w:sz w:val="20"/>
          <w:szCs w:val="20"/>
        </w:rPr>
        <w:t xml:space="preserve">CLINICAL PROTOCOL SYNOPSIS</w:t>
      </w:r>
      <w:r>
        <w:rPr>
          <w:rFonts w:ascii="Arial" w:cs="Arial" w:eastAsia="Arial" w:hAnsi="Arial"/>
          <w:color w:val="2E5FAC"/>
          <w:sz w:val="20"/>
          <w:szCs w:val="20"/>
        </w:rPr>
        <w:t xml:space="preserve">	50</w:t>
      </w:r>
    </w:p>
    <w:p>
      <w:pPr>
        <w:tabs>
          <w:tab w:val="right" w:pos="9200"/>
        </w:tabs>
        <w:spacing w:before="80" w:after="80"/>
      </w:pPr>
      <w:r>
        <w:rPr>
          <w:rFonts w:ascii="Arial" w:cs="Arial" w:eastAsia="Arial" w:hAnsi="Arial"/>
          <w:b/>
          <w:bCs/>
          <w:i w:val="false"/>
          <w:iCs w:val="false"/>
          <w:color w:val="1B3A6B"/>
          <w:sz w:val="20"/>
          <w:szCs w:val="20"/>
        </w:rPr>
        <w:t xml:space="preserve">SECTION 6  </w:t>
      </w:r>
      <w:r>
        <w:rPr>
          <w:rFonts w:ascii="Arial" w:cs="Arial" w:eastAsia="Arial" w:hAnsi="Arial"/>
          <w:b w:val="false"/>
          <w:bCs w:val="false"/>
          <w:i w:val="false"/>
          <w:iCs w:val="false"/>
          <w:color w:val="000000"/>
          <w:sz w:val="20"/>
          <w:szCs w:val="20"/>
        </w:rPr>
        <w:t xml:space="preserve">REFERENCES &amp; REGULATORY HISTORY</w:t>
      </w:r>
      <w:r>
        <w:rPr>
          <w:rFonts w:ascii="Arial" w:cs="Arial" w:eastAsia="Arial" w:hAnsi="Arial"/>
          <w:color w:val="2E5FAC"/>
          <w:sz w:val="20"/>
          <w:szCs w:val="20"/>
        </w:rPr>
        <w:t xml:space="preserve">	64</w:t>
      </w:r>
    </w:p>
    <w:p>
      <w:pPr>
        <w:spacing w:before="0" w:after="0"/>
      </w:pPr>
      <w:r>
        <w:br w:type="page"/>
      </w:r>
    </w:p>
    <w:p>
      <w:pPr>
        <w:shd w:fill="1B3A6B" w:val="clear"/>
        <w:spacing w:before="480" w:after="480"/>
        <w:ind w:left="0" w:right="0"/>
        <w:jc w:val="center"/>
      </w:pPr>
      <w:r>
        <w:rPr>
          <w:rFonts w:ascii="Arial" w:cs="Arial" w:eastAsia="Arial" w:hAnsi="Arial"/>
          <w:b/>
          <w:bCs/>
          <w:color w:val="FFFFFF"/>
          <w:sz w:val="38"/>
          <w:szCs w:val="38"/>
        </w:rPr>
        <w:t xml:space="preserve">SECTION 1: IND APPLICATION (21 CFR 312.23)</w:t>
      </w:r>
    </w:p>
    <w:p>
      <w:pPr>
        <w:pStyle w:val="Heading1"/>
        <w:shd w:fill="1B3A6B" w:val="clear"/>
        <w:spacing w:before="360" w:after="120"/>
        <w:ind w:left="200" w:right="200"/>
      </w:pPr>
      <w:r>
        <w:rPr>
          <w:rFonts w:ascii="Arial" w:cs="Arial" w:eastAsia="Arial" w:hAnsi="Arial"/>
          <w:b/>
          <w:bCs/>
          <w:color w:val="FFFFFF"/>
          <w:sz w:val="32"/>
          <w:szCs w:val="32"/>
        </w:rPr>
        <w:t xml:space="preserve">1. IND Application – Cover Sheet &amp; Administrative Items</w:t>
      </w:r>
    </w:p>
    <w:p>
      <w:pPr>
        <w:pStyle w:val="Heading2"/>
        <w:pBdr>
          <w:bottom w:val="single" w:color="2E5FAC" w:sz="6"/>
        </w:pBdr>
        <w:spacing w:before="280" w:after="100"/>
      </w:pPr>
      <w:r>
        <w:rPr>
          <w:rFonts w:ascii="Arial" w:cs="Arial" w:eastAsia="Arial" w:hAnsi="Arial"/>
          <w:b/>
          <w:bCs/>
          <w:color w:val="1B3A6B"/>
          <w:sz w:val="26"/>
          <w:szCs w:val="26"/>
        </w:rPr>
        <w:t xml:space="preserve">1.1  FDA Form 1571 – IND Application Summary</w:t>
      </w:r>
    </w:p>
    <w:p>
      <w:pPr>
        <w:spacing w:before="60" w:after="100" w:line="276" w:lineRule="auto"/>
        <w:jc w:val="left"/>
      </w:pPr>
      <w:r>
        <w:rPr>
          <w:rFonts w:ascii="Arial" w:cs="Arial" w:eastAsia="Arial" w:hAnsi="Arial"/>
          <w:b w:val="false"/>
          <w:bCs w:val="false"/>
          <w:i w:val="false"/>
          <w:iCs w:val="false"/>
          <w:color w:val="000000"/>
          <w:sz w:val="22"/>
          <w:szCs w:val="22"/>
        </w:rPr>
        <w:t xml:space="preserve">This Investigational New Drug (IND) application is submitted pursuant to 21 CFR Part 312 to authorize clinical investigation of Cervimab, a humanized immunoglobulin G4 (IgG4) monoclonal antibody that selectively blocks the interaction between programmed cell death protein-1 (PD-1) and its ligands PD-L1/PD-L2. This submission requests authorization to initiate a Phase I/II clinical trial in adult patients with dMMR/MSI-H metastatic colorectal cancer (mCRC).</w:t>
      </w:r>
    </w:p>
    <w:p>
      <w:pPr>
        <w:pStyle w:val="Heading3"/>
        <w:spacing w:before="200" w:after="80"/>
      </w:pPr>
      <w:r>
        <w:rPr>
          <w:rFonts w:ascii="Arial" w:cs="Arial" w:eastAsia="Arial" w:hAnsi="Arial"/>
          <w:b/>
          <w:bCs/>
          <w:color w:val="2E5FAC"/>
          <w:sz w:val="24"/>
          <w:szCs w:val="24"/>
        </w:rPr>
        <w:t xml:space="preserve">1.1.1  Sponsor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Sponsor Name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Cervantes Biotherapeutics, Inc.</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Sponsor Type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Commercial</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Primary Address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1200 Innovation Drive, Suite 800, Cambridge, MA 02139</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Secondary Address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250 Research Parkway, San Diego, CA 92121</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Regulatory Affairs VP</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Sarah J. Morgan, PhD</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Medical Monitor</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Dr. Michael T. Harrington, MD, PhD</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Clinical Operations Lead</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Dr. Amanda C. Reyes, PhD</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Biostatistics Lead</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Dr. David L. Chen, PhD</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Legal/Regulatory Counsel</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Bradley K. Foster, Esq.</w:t>
            </w:r>
          </w:p>
        </w:tc>
      </w:tr>
    </w:tbl>
    <w:p>
      <w:pPr>
        <w:pStyle w:val="Heading3"/>
        <w:spacing w:before="200" w:after="80"/>
      </w:pPr>
      <w:r>
        <w:rPr>
          <w:rFonts w:ascii="Arial" w:cs="Arial" w:eastAsia="Arial" w:hAnsi="Arial"/>
          <w:b/>
          <w:bCs/>
          <w:color w:val="2E5FAC"/>
          <w:sz w:val="24"/>
          <w:szCs w:val="24"/>
        </w:rPr>
        <w:t xml:space="preserve">1.1.2  Drug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Drug Name (Proposed)</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Cervimab</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INN / USAN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Cervimab (pending USAN assignment)</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Chemical Class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Humanized IgG4 Monoclonal Antibody</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Target</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Programmed Cell Death Protein-1 (PD-1 / CD279)</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Mechanism</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Immune Checkpoint Inhibitor — PD-1/PD-L1 Blockade</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Molecular Weight</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~148 kDa</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Expression System</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Chinese Hamster Ovary (CHO) Cell Line</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Glycosylation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N-linked glycosylation at Asn297 (Fc region)</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Dosage Form</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Sterile Concentrate for IV Infusion, 10 mg/mL</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Route of Administration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Intravenous (IV) over 60 minutes (±15 min)</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Starting Dose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1 mg/kg Q3W (Cohort 1)</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Intended Population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Adult patients with dMMR/MSI-H mCRC, ≥2 prior lines</w:t>
            </w:r>
          </w:p>
        </w:tc>
      </w:tr>
    </w:tbl>
    <w:p>
      <w:pPr>
        <w:pStyle w:val="Heading2"/>
        <w:pBdr>
          <w:bottom w:val="single" w:color="2E5FAC" w:sz="6"/>
        </w:pBdr>
        <w:spacing w:before="280" w:after="100"/>
      </w:pPr>
      <w:r>
        <w:rPr>
          <w:rFonts w:ascii="Arial" w:cs="Arial" w:eastAsia="Arial" w:hAnsi="Arial"/>
          <w:b/>
          <w:bCs/>
          <w:color w:val="1B3A6B"/>
          <w:sz w:val="26"/>
          <w:szCs w:val="26"/>
        </w:rPr>
        <w:t xml:space="preserve">1.2  Regulatory History and FDA Interactions</w:t>
      </w:r>
    </w:p>
    <w:p>
      <w:pPr>
        <w:spacing w:before="60" w:after="100" w:line="276" w:lineRule="auto"/>
        <w:jc w:val="left"/>
      </w:pPr>
      <w:r>
        <w:rPr>
          <w:rFonts w:ascii="Arial" w:cs="Arial" w:eastAsia="Arial" w:hAnsi="Arial"/>
          <w:b w:val="false"/>
          <w:bCs w:val="false"/>
          <w:i w:val="false"/>
          <w:iCs w:val="false"/>
          <w:color w:val="000000"/>
          <w:sz w:val="22"/>
          <w:szCs w:val="22"/>
        </w:rPr>
        <w:t xml:space="preserve">Cervantes Biotherapeutics has engaged the FDA proactively throughout the IND enabling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60"/>
        <w:gridCol w:w="2200"/>
      </w:tblGrid>
      <w:tr>
        <w:trPr>
          <w:tblHeader/>
        </w:trPr>
        <w:tc>
          <w:tcPr>
            <w:tcW w:type="dxa" w:w="20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Date</w:t>
            </w:r>
          </w:p>
        </w:tc>
        <w:tc>
          <w:tcPr>
            <w:tcW w:type="dxa" w:w="24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Interaction Type</w:t>
            </w:r>
          </w:p>
        </w:tc>
        <w:tc>
          <w:tcPr>
            <w:tcW w:type="dxa" w:w="27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Topic</w:t>
            </w:r>
          </w:p>
        </w:tc>
        <w:tc>
          <w:tcPr>
            <w:tcW w:type="dxa" w:w="22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Outcome</w:t>
            </w:r>
          </w:p>
        </w:tc>
      </w:tr>
      <w:tr>
        <w:tc>
          <w:tcPr>
            <w:tcW w:type="dxa" w:w="2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[YYYY-MM-DD]</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Pre-IND Meeting Request</w:t>
            </w:r>
          </w:p>
        </w:tc>
        <w:tc>
          <w:tcPr>
            <w:tcW w:type="dxa" w:w="27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Nonclinical, CMC, Phase I Design</w:t>
            </w:r>
          </w:p>
        </w:tc>
        <w:tc>
          <w:tcPr>
            <w:tcW w:type="dxa" w:w="2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Meeting Granted</w:t>
            </w:r>
          </w:p>
        </w:tc>
      </w:tr>
      <w:tr>
        <w:tc>
          <w:tcPr>
            <w:tcW w:type="dxa" w:w="2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[YYYY-MM-DD]</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Type B Pre-IND Meeting</w:t>
            </w:r>
          </w:p>
        </w:tc>
        <w:tc>
          <w:tcPr>
            <w:tcW w:type="dxa" w:w="27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Starting dose, IND package scope</w:t>
            </w:r>
          </w:p>
        </w:tc>
        <w:tc>
          <w:tcPr>
            <w:tcW w:type="dxa" w:w="2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Alignment on approach</w:t>
            </w:r>
          </w:p>
        </w:tc>
      </w:tr>
      <w:tr>
        <w:tc>
          <w:tcPr>
            <w:tcW w:type="dxa" w:w="2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[YYYY-MM-DD]</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Written FDA Response</w:t>
            </w:r>
          </w:p>
        </w:tc>
        <w:tc>
          <w:tcPr>
            <w:tcW w:type="dxa" w:w="27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Confirmation of Phase I design</w:t>
            </w:r>
          </w:p>
        </w:tc>
        <w:tc>
          <w:tcPr>
            <w:tcW w:type="dxa" w:w="2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outstanding issues</w:t>
            </w:r>
          </w:p>
        </w:tc>
      </w:tr>
      <w:tr>
        <w:tc>
          <w:tcPr>
            <w:tcW w:type="dxa" w:w="2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[YYYY-MM-DD]</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INTERACT Meeting (EMA)</w:t>
            </w:r>
          </w:p>
        </w:tc>
        <w:tc>
          <w:tcPr>
            <w:tcW w:type="dxa" w:w="27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Parallel EU regulatory strategy</w:t>
            </w:r>
          </w:p>
        </w:tc>
        <w:tc>
          <w:tcPr>
            <w:tcW w:type="dxa" w:w="2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EMA Scientific Advice issued</w:t>
            </w:r>
          </w:p>
        </w:tc>
      </w:tr>
    </w:tbl>
    <w:p>
      <w:pPr>
        <w:pStyle w:val="Heading2"/>
        <w:pBdr>
          <w:bottom w:val="single" w:color="2E5FAC" w:sz="6"/>
        </w:pBdr>
        <w:spacing w:before="280" w:after="100"/>
      </w:pPr>
      <w:r>
        <w:rPr>
          <w:rFonts w:ascii="Arial" w:cs="Arial" w:eastAsia="Arial" w:hAnsi="Arial"/>
          <w:b/>
          <w:bCs/>
          <w:color w:val="1B3A6B"/>
          <w:sz w:val="26"/>
          <w:szCs w:val="26"/>
        </w:rPr>
        <w:t xml:space="preserve">1.3  Basis for IND Submission</w:t>
      </w:r>
    </w:p>
    <w:p>
      <w:pPr>
        <w:spacing w:before="60" w:after="100" w:line="276" w:lineRule="auto"/>
        <w:jc w:val="left"/>
      </w:pPr>
      <w:r>
        <w:rPr>
          <w:rFonts w:ascii="Arial" w:cs="Arial" w:eastAsia="Arial" w:hAnsi="Arial"/>
          <w:b w:val="false"/>
          <w:bCs w:val="false"/>
          <w:i w:val="false"/>
          <w:iCs w:val="false"/>
          <w:color w:val="000000"/>
          <w:sz w:val="22"/>
          <w:szCs w:val="22"/>
        </w:rPr>
        <w:t xml:space="preserve">This IND is supported by an extensive IND-enabling package encompassing: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In vitro characterization: receptor binding kinetics (KD = 0.82 nM), functional T-cell activation assays, cytokine release assays (CRA), and selectivity panels against 85 immunologically relevant antigens.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In vivo pharmacology: syngeneic MC38-MSI tumor model studies demonstrating dose-dependent tumor regression and immunological biomarker modulation.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Pivotal GLP toxicology: 4-week repeat-dose toxicology studies in cynomolgus monkeys (NHP) with a 4-week recovery period, including full histopathological assessment.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Cynomolgus monkey pharmacokinetic (PK) studies supporting allometric scaling to humans.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CMC characterization package: cell line development, upstream and downstream process development, analytical methods, reference standard qualification, and drug product stability data.</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Genotoxicity studies (not required for biologics per ICH S6(R1) — not applicable justification provided).</w:t>
      </w:r>
    </w:p>
    <w:p>
      <w:pPr>
        <w:pStyle w:val="Heading2"/>
        <w:pBdr>
          <w:bottom w:val="single" w:color="2E5FAC" w:sz="6"/>
        </w:pBdr>
        <w:spacing w:before="280" w:after="100"/>
      </w:pPr>
      <w:r>
        <w:rPr>
          <w:rFonts w:ascii="Arial" w:cs="Arial" w:eastAsia="Arial" w:hAnsi="Arial"/>
          <w:b/>
          <w:bCs/>
          <w:color w:val="1B3A6B"/>
          <w:sz w:val="26"/>
          <w:szCs w:val="26"/>
        </w:rPr>
        <w:t xml:space="preserve">1.4  Unmet Medical Need and Scientific Rationale</w:t>
      </w:r>
    </w:p>
    <w:p>
      <w:pPr>
        <w:pStyle w:val="Heading3"/>
        <w:spacing w:before="200" w:after="80"/>
      </w:pPr>
      <w:r>
        <w:rPr>
          <w:rFonts w:ascii="Arial" w:cs="Arial" w:eastAsia="Arial" w:hAnsi="Arial"/>
          <w:b/>
          <w:bCs/>
          <w:color w:val="2E5FAC"/>
          <w:sz w:val="24"/>
          <w:szCs w:val="24"/>
        </w:rPr>
        <w:t xml:space="preserve">1.4.1  Disease Burden and Current Treatment Landscape</w:t>
      </w:r>
    </w:p>
    <w:p>
      <w:pPr>
        <w:spacing w:before="60" w:after="100" w:line="276" w:lineRule="auto"/>
        <w:jc w:val="left"/>
      </w:pPr>
      <w:r>
        <w:rPr>
          <w:rFonts w:ascii="Arial" w:cs="Arial" w:eastAsia="Arial" w:hAnsi="Arial"/>
          <w:b w:val="false"/>
          <w:bCs w:val="false"/>
          <w:i w:val="false"/>
          <w:iCs w:val="false"/>
          <w:color w:val="000000"/>
          <w:sz w:val="22"/>
          <w:szCs w:val="22"/>
        </w:rPr>
        <w:t xml:space="preserve">Colorectal cancer (CRC) is the third most common cancer globally and the second leading cause of cancer-related mortality in the United States, with an estimated 153,020 new cases and 52,550 deaths projected in 2023 (Siegel et al., CA Cancer J Clin, 2023). Metastatic CRC (mCRC) carries a median overall survival (mOS) of approximately 24–30 months with current standard-of-care (SOC) therapies including FOLFOX/FOLFIRI combined with bevacizumab or cetuximab (RAS/BRAF wild-type).</w:t>
      </w:r>
    </w:p>
    <w:p>
      <w:pPr>
        <w:spacing w:before="60" w:after="100" w:line="276" w:lineRule="auto"/>
        <w:jc w:val="left"/>
      </w:pPr>
      <w:r>
        <w:rPr>
          <w:rFonts w:ascii="Arial" w:cs="Arial" w:eastAsia="Arial" w:hAnsi="Arial"/>
          <w:b w:val="false"/>
          <w:bCs w:val="false"/>
          <w:i w:val="false"/>
          <w:iCs w:val="false"/>
          <w:color w:val="000000"/>
          <w:sz w:val="22"/>
          <w:szCs w:val="22"/>
        </w:rPr>
        <w:t xml:space="preserve">The dMMR/MSI-H subtype accounts for approximately 3–5% of mCRC cases. This molecular subtype is associated with a deficiency in the mismatch repair (MMR) pathway, leading to a hypermutation phenotype and enhanced neoantigen burden. Paradoxically, dMMR/MSI-H mCRC is characterized by poor response to conventional chemotherapy but exhibits remarkable sensitivity to immune checkpoint inhibition.</w:t>
      </w:r>
    </w:p>
    <w:p>
      <w:pPr>
        <w:pStyle w:val="Heading3"/>
        <w:spacing w:before="200" w:after="80"/>
      </w:pPr>
      <w:r>
        <w:rPr>
          <w:rFonts w:ascii="Arial" w:cs="Arial" w:eastAsia="Arial" w:hAnsi="Arial"/>
          <w:b/>
          <w:bCs/>
          <w:color w:val="2E5FAC"/>
          <w:sz w:val="24"/>
          <w:szCs w:val="24"/>
        </w:rPr>
        <w:t xml:space="preserve">1.4.2  Scientific Rationale for PD-1 Blockade in dMMR/MSI-H mCRC</w:t>
      </w:r>
    </w:p>
    <w:p>
      <w:pPr>
        <w:spacing w:before="60" w:after="100" w:line="276" w:lineRule="auto"/>
        <w:jc w:val="left"/>
      </w:pPr>
      <w:r>
        <w:rPr>
          <w:rFonts w:ascii="Arial" w:cs="Arial" w:eastAsia="Arial" w:hAnsi="Arial"/>
          <w:b w:val="false"/>
          <w:bCs w:val="false"/>
          <w:i w:val="false"/>
          <w:iCs w:val="false"/>
          <w:color w:val="000000"/>
          <w:sz w:val="22"/>
          <w:szCs w:val="22"/>
        </w:rPr>
        <w:t xml:space="preserve">The PD-1/PD-L1 immune checkpoint pathway serves as a critical negative regulatory mechanism that suppresses anti-tumor T-cell activity within the tumor microenvironment (TME). dMMR/MSI-H tumors exhibit: (1) elevated tumor mutational burden (TMB) generating immunogenic neoantigens; (2) dense tumor-infiltrating lymphocyte (TIL) infiltration; and (3) marked upregulation of PD-L1 expression on tumor cells and tumor-associated macrophages. These features render dMMR/MSI-H tumors particularly susceptible to PD-1 blockade.</w:t>
      </w:r>
    </w:p>
    <w:p>
      <w:pPr>
        <w:spacing w:before="60" w:after="100" w:line="276" w:lineRule="auto"/>
        <w:jc w:val="left"/>
      </w:pPr>
      <w:r>
        <w:rPr>
          <w:rFonts w:ascii="Arial" w:cs="Arial" w:eastAsia="Arial" w:hAnsi="Arial"/>
          <w:b w:val="false"/>
          <w:bCs w:val="false"/>
          <w:i w:val="false"/>
          <w:iCs w:val="false"/>
          <w:color w:val="000000"/>
          <w:sz w:val="22"/>
          <w:szCs w:val="22"/>
        </w:rPr>
        <w:t xml:space="preserve">Cervimab was engineered to provide superior PD-1 binding affinity (KD = 0.82 nM vs. 1.45 nM for pembrolizumab in head-to-head Biacore assays), reduced Fc-mediated effector function via the IgG4 isotype with S228P stabilizing mutation, and optimized pharmacokinetics supporting Q3W dosing. Cervimab demonstrated compelling preclinical anti-tumor activity in dMMR-enriched syngeneic murine models with a favorable safety profile in NHP toxicology studies.</w:t>
      </w:r>
    </w:p>
    <w:p>
      <w:pPr>
        <w:pStyle w:val="Heading2"/>
        <w:pBdr>
          <w:bottom w:val="single" w:color="2E5FAC" w:sz="6"/>
        </w:pBdr>
        <w:spacing w:before="280" w:after="100"/>
      </w:pPr>
      <w:r>
        <w:rPr>
          <w:rFonts w:ascii="Arial" w:cs="Arial" w:eastAsia="Arial" w:hAnsi="Arial"/>
          <w:b/>
          <w:bCs/>
          <w:color w:val="1B3A6B"/>
          <w:sz w:val="26"/>
          <w:szCs w:val="26"/>
        </w:rPr>
        <w:t xml:space="preserve">1.5  Proposed Clinical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Study Title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A Phase I/II Open-Label Dose-Escalation and Expansion Study of Cervimab in Patients with dMMR/MSI-H Metastatic Colorectal Cancer</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Phase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I/II</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Study Design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Part A: 3+3 Dose Escalation; Part B: Randomized Expansion</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Primary Objectives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Safety/tolerability (Part A); ORR per RECIST 1.1 (Part B)</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Key Secondary</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PK/PD, immunogenicity, PFS, DCR, DOR</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Starting Dose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1 mg/kg IV Q3W (Cohort 1); planned escalation to 3, 6, 10 mg/kg and flat doses</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Number of Sites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~15 US sites (Part A); ~30 US sites (Part B)</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Enrollment Target</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Part A: ~24 patients; Part B: ~120 patients</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Estimated Duration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36 months enrollment + 24 months follow-up</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IND Effective Date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30 days after submission (or upon FDA clearance)</w:t>
            </w:r>
          </w:p>
        </w:tc>
      </w:tr>
    </w:tbl>
    <w:p>
      <w:pPr>
        <w:pStyle w:val="Heading2"/>
        <w:pBdr>
          <w:bottom w:val="single" w:color="2E5FAC" w:sz="6"/>
        </w:pBdr>
        <w:spacing w:before="280" w:after="100"/>
      </w:pPr>
      <w:r>
        <w:rPr>
          <w:rFonts w:ascii="Arial" w:cs="Arial" w:eastAsia="Arial" w:hAnsi="Arial"/>
          <w:b/>
          <w:bCs/>
          <w:color w:val="1B3A6B"/>
          <w:sz w:val="26"/>
          <w:szCs w:val="26"/>
        </w:rPr>
        <w:t xml:space="preserve">1.6  Commitments and Certifications</w:t>
      </w:r>
    </w:p>
    <w:p>
      <w:pPr>
        <w:spacing w:before="60" w:after="100" w:line="276" w:lineRule="auto"/>
        <w:jc w:val="left"/>
      </w:pPr>
      <w:r>
        <w:rPr>
          <w:rFonts w:ascii="Arial" w:cs="Arial" w:eastAsia="Arial" w:hAnsi="Arial"/>
          <w:b w:val="false"/>
          <w:bCs w:val="false"/>
          <w:i w:val="false"/>
          <w:iCs w:val="false"/>
          <w:color w:val="000000"/>
          <w:sz w:val="22"/>
          <w:szCs w:val="22"/>
        </w:rPr>
        <w:t xml:space="preserve">The sponsor certifies that:</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All nonclinical studies were conducted in compliance with Good Laboratory Practice (GLP) regulations (21 CFR Part 58) where required.</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Drug product used in clinical trials will be manufactured in accordance with Current Good Manufacturing Practice (cGMP) regulations (21 CFR Parts 210/211 and 600-610).</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All clinical sites will comply with Good Clinical Practice (GCP) as described in 21 CFR Parts 50, 54, 56, and 312, and ICH E6(R2).</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Informed consent will be obtained from all study participants prior to enrollment in accordance with 21 CFR Part 50.</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An Independent Ethics Committee (IEC) or Institutional Review Board (IRB) approval will be obtained at each clinical site prior to first patient enrollment.</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Serious adverse events (SAEs) and unexpected serious adverse drug reactions (SUSARs) will be reported to the FDA within required timelines per 21 CFR 312.32.</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Annual Progress Reports will be submitted to the FDA per 21 CFR 312.33.</w:t>
      </w:r>
    </w:p>
    <w:p>
      <w:pPr>
        <w:spacing w:before="0" w:after="0"/>
      </w:pPr>
      <w:r>
        <w:br w:type="page"/>
      </w:r>
    </w:p>
    <w:p>
      <w:pPr>
        <w:shd w:fill="1B3A6B" w:val="clear"/>
        <w:spacing w:before="480" w:after="480"/>
        <w:ind w:left="0" w:right="0"/>
        <w:jc w:val="center"/>
      </w:pPr>
      <w:r>
        <w:rPr>
          <w:rFonts w:ascii="Arial" w:cs="Arial" w:eastAsia="Arial" w:hAnsi="Arial"/>
          <w:b/>
          <w:bCs/>
          <w:color w:val="FFFFFF"/>
          <w:sz w:val="38"/>
          <w:szCs w:val="38"/>
        </w:rPr>
        <w:t xml:space="preserve">SECTION 2: INVESTIGATOR'S BROCHURE (IB)</w:t>
      </w:r>
    </w:p>
    <w:p>
      <w:pPr>
        <w:pStyle w:val="Heading1"/>
        <w:shd w:fill="1B3A6B" w:val="clear"/>
        <w:spacing w:before="360" w:after="120"/>
        <w:ind w:left="200" w:right="200"/>
      </w:pPr>
      <w:r>
        <w:rPr>
          <w:rFonts w:ascii="Arial" w:cs="Arial" w:eastAsia="Arial" w:hAnsi="Arial"/>
          <w:b/>
          <w:bCs/>
          <w:color w:val="FFFFFF"/>
          <w:sz w:val="32"/>
          <w:szCs w:val="32"/>
        </w:rPr>
        <w:t xml:space="preserve">2. Investigator's Brochure (IB) — Cervimab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IB Document Number</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CERV-IB-001</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IB Version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Version 1.0</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IB Date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[DATE]</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Prepared By</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Cervantes Biotherapeutics, Inc. — Medical Affairs</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Confidentiality</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CONFIDENTIAL — For Clinical Investigator Use Only</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Compliance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Prepared per ICH E6(R2) Guideline Section 7</w:t>
            </w:r>
          </w:p>
        </w:tc>
      </w:tr>
    </w:tbl>
    <w:p>
      <w:pPr>
        <w:pStyle w:val="Heading2"/>
        <w:pBdr>
          <w:bottom w:val="single" w:color="2E5FAC" w:sz="6"/>
        </w:pBdr>
        <w:spacing w:before="280" w:after="100"/>
      </w:pPr>
      <w:r>
        <w:rPr>
          <w:rFonts w:ascii="Arial" w:cs="Arial" w:eastAsia="Arial" w:hAnsi="Arial"/>
          <w:b/>
          <w:bCs/>
          <w:color w:val="1B3A6B"/>
          <w:sz w:val="26"/>
          <w:szCs w:val="26"/>
        </w:rPr>
        <w:t xml:space="preserve">2.1  Summary of Key Information</w:t>
      </w:r>
    </w:p>
    <w:p>
      <w:pPr>
        <w:spacing w:before="60" w:after="100" w:line="276" w:lineRule="auto"/>
        <w:jc w:val="left"/>
      </w:pPr>
      <w:r>
        <w:rPr>
          <w:rFonts w:ascii="Arial" w:cs="Arial" w:eastAsia="Arial" w:hAnsi="Arial"/>
          <w:b w:val="false"/>
          <w:bCs w:val="false"/>
          <w:i w:val="false"/>
          <w:iCs w:val="false"/>
          <w:color w:val="000000"/>
          <w:sz w:val="22"/>
          <w:szCs w:val="22"/>
        </w:rPr>
        <w:t xml:space="preserve">Cervimab is a humanized, IgG4 monoclonal antibody directed against human PD-1 (CD279). The compound is being developed for the treatment of solid tumors with demonstrated microsatellite instability-high (MSI-H) or mismatch repair deficiency (dMMR), with the lead indication being metastatic colorectal cancer. This IB summarizes all relevant preclinical and early clinical data available at the time of preparation to enable investigators to make an informed assessment of risks and benefits for their patients.</w:t>
      </w:r>
    </w:p>
    <w:p>
      <w:pPr>
        <w:pStyle w:val="Heading2"/>
        <w:pBdr>
          <w:bottom w:val="single" w:color="2E5FAC" w:sz="6"/>
        </w:pBdr>
        <w:spacing w:before="280" w:after="100"/>
      </w:pPr>
      <w:r>
        <w:rPr>
          <w:rFonts w:ascii="Arial" w:cs="Arial" w:eastAsia="Arial" w:hAnsi="Arial"/>
          <w:b/>
          <w:bCs/>
          <w:color w:val="1B3A6B"/>
          <w:sz w:val="26"/>
          <w:szCs w:val="26"/>
        </w:rPr>
        <w:t xml:space="preserve">2.2  Introduction and Background</w:t>
      </w:r>
    </w:p>
    <w:p>
      <w:pPr>
        <w:pStyle w:val="Heading3"/>
        <w:spacing w:before="200" w:after="80"/>
      </w:pPr>
      <w:r>
        <w:rPr>
          <w:rFonts w:ascii="Arial" w:cs="Arial" w:eastAsia="Arial" w:hAnsi="Arial"/>
          <w:b/>
          <w:bCs/>
          <w:color w:val="2E5FAC"/>
          <w:sz w:val="24"/>
          <w:szCs w:val="24"/>
        </w:rPr>
        <w:t xml:space="preserve">2.2.1  Drug Class and Mechanism of Action</w:t>
      </w:r>
    </w:p>
    <w:p>
      <w:pPr>
        <w:spacing w:before="60" w:after="100" w:line="276" w:lineRule="auto"/>
        <w:jc w:val="left"/>
      </w:pPr>
      <w:r>
        <w:rPr>
          <w:rFonts w:ascii="Arial" w:cs="Arial" w:eastAsia="Arial" w:hAnsi="Arial"/>
          <w:b w:val="false"/>
          <w:bCs w:val="false"/>
          <w:i w:val="false"/>
          <w:iCs w:val="false"/>
          <w:color w:val="000000"/>
          <w:sz w:val="22"/>
          <w:szCs w:val="22"/>
        </w:rPr>
        <w:t xml:space="preserve">The programmed cell death-1 (PD-1) receptor is a co-inhibitory receptor expressed on activated T cells, natural killer (NK) cells, and B cells. PD-1 interacts with two ligands: PD-L1 (CD274, B7-H1) and PD-L2 (CD273, B7-DC). Engagement of PD-1 by its ligands within the tumor microenvironment (TME) delivers an inhibitory signal that dampens T-cell receptor (TCR)-mediated activation, induces T-cell exhaustion, and impairs anti-tumor immunity. Tumors exploit this pathway to evade immune surveillance.</w:t>
      </w:r>
    </w:p>
    <w:p>
      <w:pPr>
        <w:spacing w:before="60" w:after="100" w:line="276" w:lineRule="auto"/>
        <w:jc w:val="left"/>
      </w:pPr>
      <w:r>
        <w:rPr>
          <w:rFonts w:ascii="Arial" w:cs="Arial" w:eastAsia="Arial" w:hAnsi="Arial"/>
          <w:b w:val="false"/>
          <w:bCs w:val="false"/>
          <w:i w:val="false"/>
          <w:iCs w:val="false"/>
          <w:color w:val="000000"/>
          <w:sz w:val="22"/>
          <w:szCs w:val="22"/>
        </w:rPr>
        <w:t xml:space="preserve">Cervimab binds PD-1 with high affinity and specificity, blocking interaction with both PD-L1 and PD-L2, thereby releasing the brakes on T-cell activation and enabling cytotoxic CD8+ T cells to recognize and eliminate tumor cells expressing neoantigens. The IgG4 subclass was selected to minimize antibody-dependent cellular cytotoxicity (ADCC) against PD-1-bearing immune cells. The S228P Fc mutation stabilizes the IgG4 hinge region, preventing Fab-arm exchange.</w:t>
      </w:r>
    </w:p>
    <w:p>
      <w:pPr>
        <w:pStyle w:val="Heading3"/>
        <w:spacing w:before="200" w:after="80"/>
      </w:pPr>
      <w:r>
        <w:rPr>
          <w:rFonts w:ascii="Arial" w:cs="Arial" w:eastAsia="Arial" w:hAnsi="Arial"/>
          <w:b/>
          <w:bCs/>
          <w:color w:val="2E5FAC"/>
          <w:sz w:val="24"/>
          <w:szCs w:val="24"/>
        </w:rPr>
        <w:t xml:space="preserve">2.2.2  Structural and Molecular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Property</w:t>
            </w:r>
          </w:p>
        </w:tc>
        <w:tc>
          <w:tcPr>
            <w:tcW w:type="dxa" w:w="63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Description</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Molecule Type</w:t>
            </w:r>
          </w:p>
        </w:tc>
        <w:tc>
          <w:tcPr>
            <w:tcW w:type="dxa" w:w="6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Humanized IgG4 Monoclonal Antibody (kappa light chain)</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Target</w:t>
            </w:r>
          </w:p>
        </w:tc>
        <w:tc>
          <w:tcPr>
            <w:tcW w:type="dxa" w:w="6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Human PD-1 (CD279)</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Binding Affinity (KD)</w:t>
            </w:r>
          </w:p>
        </w:tc>
        <w:tc>
          <w:tcPr>
            <w:tcW w:type="dxa" w:w="6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0.82 nM (human PD-1); 1.14 nM (cynomolgus PD-1)</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Binding Epitope</w:t>
            </w:r>
          </w:p>
        </w:tc>
        <w:tc>
          <w:tcPr>
            <w:tcW w:type="dxa" w:w="6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Overlaps with PD-L1 and PD-L2 binding sites on PD-1</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Cross-reactivity</w:t>
            </w:r>
          </w:p>
        </w:tc>
        <w:tc>
          <w:tcPr>
            <w:tcW w:type="dxa" w:w="6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Cynomolgus monkey (toxicology-relevant species); no rodent cross-reactivity</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Fc Region</w:t>
            </w:r>
          </w:p>
        </w:tc>
        <w:tc>
          <w:tcPr>
            <w:tcW w:type="dxa" w:w="6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IgG4 with S228P stabilizing mutation; reduced effector function</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Glycosylation</w:t>
            </w:r>
          </w:p>
        </w:tc>
        <w:tc>
          <w:tcPr>
            <w:tcW w:type="dxa" w:w="6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Complex-type N-linked at Asn297; no O-linked glycosylation</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Molecular Weight</w:t>
            </w:r>
          </w:p>
        </w:tc>
        <w:tc>
          <w:tcPr>
            <w:tcW w:type="dxa" w:w="6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~148 kDa (estimated)</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Isoelectric Point (pI)</w:t>
            </w:r>
          </w:p>
        </w:tc>
        <w:tc>
          <w:tcPr>
            <w:tcW w:type="dxa" w:w="6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8.4–8.7 (range across glycoforms)</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Expression System</w:t>
            </w:r>
          </w:p>
        </w:tc>
        <w:tc>
          <w:tcPr>
            <w:tcW w:type="dxa" w:w="6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Recombinant CHO-K1 cells (stable transfection)</w:t>
            </w:r>
          </w:p>
        </w:tc>
      </w:tr>
    </w:tbl>
    <w:p>
      <w:pPr>
        <w:pStyle w:val="Heading2"/>
        <w:pBdr>
          <w:bottom w:val="single" w:color="2E5FAC" w:sz="6"/>
        </w:pBdr>
        <w:spacing w:before="280" w:after="100"/>
      </w:pPr>
      <w:r>
        <w:rPr>
          <w:rFonts w:ascii="Arial" w:cs="Arial" w:eastAsia="Arial" w:hAnsi="Arial"/>
          <w:b/>
          <w:bCs/>
          <w:color w:val="1B3A6B"/>
          <w:sz w:val="26"/>
          <w:szCs w:val="26"/>
        </w:rPr>
        <w:t xml:space="preserve">2.3  Nonclinical Pharmacology</w:t>
      </w:r>
    </w:p>
    <w:p>
      <w:pPr>
        <w:pStyle w:val="Heading3"/>
        <w:spacing w:before="200" w:after="80"/>
      </w:pPr>
      <w:r>
        <w:rPr>
          <w:rFonts w:ascii="Arial" w:cs="Arial" w:eastAsia="Arial" w:hAnsi="Arial"/>
          <w:b/>
          <w:bCs/>
          <w:color w:val="2E5FAC"/>
          <w:sz w:val="24"/>
          <w:szCs w:val="24"/>
        </w:rPr>
        <w:t xml:space="preserve">2.3.1  Primary Pharmacology — In Vitro Studies</w:t>
      </w:r>
    </w:p>
    <w:p>
      <w:pPr>
        <w:spacing w:before="60" w:after="100" w:line="276" w:lineRule="auto"/>
        <w:jc w:val="left"/>
      </w:pPr>
      <w:r>
        <w:rPr>
          <w:rFonts w:ascii="Arial" w:cs="Arial" w:eastAsia="Arial" w:hAnsi="Arial"/>
          <w:b w:val="false"/>
          <w:bCs w:val="false"/>
          <w:i w:val="false"/>
          <w:iCs w:val="false"/>
          <w:color w:val="000000"/>
          <w:sz w:val="22"/>
          <w:szCs w:val="22"/>
        </w:rPr>
        <w:t xml:space="preserve">Receptor Binding Kinetics: Cervimab was characterized using surface plasmon resonance (SPR) Biacore T200 analysis. The equilibrium dissociation constant (KD) was determined to be 0.82 nM for human PD-1 and 1.14 nM for cynomolgus monkey PD-1, with kon = 1.8 × 10⁵ M⁻¹s⁻¹ and koff = 1.5 × 10⁻⁴ s⁻¹ for the human interaction.</w:t>
      </w:r>
    </w:p>
    <w:p>
      <w:pPr>
        <w:spacing w:before="60" w:after="100" w:line="276" w:lineRule="auto"/>
        <w:jc w:val="left"/>
      </w:pPr>
      <w:r>
        <w:rPr>
          <w:rFonts w:ascii="Arial" w:cs="Arial" w:eastAsia="Arial" w:hAnsi="Arial"/>
          <w:b w:val="false"/>
          <w:bCs w:val="false"/>
          <w:i w:val="false"/>
          <w:iCs w:val="false"/>
          <w:color w:val="000000"/>
          <w:sz w:val="22"/>
          <w:szCs w:val="22"/>
        </w:rPr>
        <w:t xml:space="preserve">Functional Blocking Assay: Using a cell-based PD-1/PD-L1 blocking ELISA (HTRF) and Jurkat reporter cell assay, Cervimab blocked PD-L1:PD-1 binding with IC50 = 2.3 nM and PD-L2:PD-1 with IC50 = 3.1 nM.</w:t>
      </w:r>
    </w:p>
    <w:p>
      <w:pPr>
        <w:spacing w:before="60" w:after="100" w:line="276" w:lineRule="auto"/>
        <w:jc w:val="left"/>
      </w:pPr>
      <w:r>
        <w:rPr>
          <w:rFonts w:ascii="Arial" w:cs="Arial" w:eastAsia="Arial" w:hAnsi="Arial"/>
          <w:b w:val="false"/>
          <w:bCs w:val="false"/>
          <w:i w:val="false"/>
          <w:iCs w:val="false"/>
          <w:color w:val="000000"/>
          <w:sz w:val="22"/>
          <w:szCs w:val="22"/>
        </w:rPr>
        <w:t xml:space="preserve">T-Cell Activation: In mixed lymphocyte reaction (MLR) assays using allogeneic dendritic cells and CD4+/CD8+ T cells, Cervimab enhanced IL-2 production (EC50 = 1.8 nM) and IFN-γ secretion (EC50 = 2.4 nM) in a dose-dependent manner. Anti-CD3/CD28-stimulated human PBMC assays confirmed augmented T-cell proliferation (Ki-67+) and cytolytic capacity (granzyme B+).</w:t>
      </w:r>
    </w:p>
    <w:p>
      <w:pPr>
        <w:spacing w:before="60" w:after="100" w:line="276" w:lineRule="auto"/>
        <w:jc w:val="left"/>
      </w:pPr>
      <w:r>
        <w:rPr>
          <w:rFonts w:ascii="Arial" w:cs="Arial" w:eastAsia="Arial" w:hAnsi="Arial"/>
          <w:b w:val="false"/>
          <w:bCs w:val="false"/>
          <w:i w:val="false"/>
          <w:iCs w:val="false"/>
          <w:color w:val="000000"/>
          <w:sz w:val="22"/>
          <w:szCs w:val="22"/>
        </w:rPr>
        <w:t xml:space="preserve">Cytokine Release Assay (CRA): Cervimab was evaluated in a regulatory-grade CRA using immobilized antibody conditions at 1, 10, and 100 µg/mL with normal human donor PBMCs (n=8 donors). No clinically relevant cytokine release was observed above background at any concentration tested, supporting a low risk of cytokine release syndrome (CRS) in vivo.</w:t>
      </w:r>
    </w:p>
    <w:p>
      <w:pPr>
        <w:pStyle w:val="Heading3"/>
        <w:spacing w:before="200" w:after="80"/>
      </w:pPr>
      <w:r>
        <w:rPr>
          <w:rFonts w:ascii="Arial" w:cs="Arial" w:eastAsia="Arial" w:hAnsi="Arial"/>
          <w:b/>
          <w:bCs/>
          <w:color w:val="2E5FAC"/>
          <w:sz w:val="24"/>
          <w:szCs w:val="24"/>
        </w:rPr>
        <w:t xml:space="preserve">2.3.2  Primary Pharmacology — In Vivo Studies</w:t>
      </w:r>
    </w:p>
    <w:p>
      <w:pPr>
        <w:spacing w:before="60" w:after="100" w:line="276" w:lineRule="auto"/>
        <w:jc w:val="left"/>
      </w:pPr>
      <w:r>
        <w:rPr>
          <w:rFonts w:ascii="Arial" w:cs="Arial" w:eastAsia="Arial" w:hAnsi="Arial"/>
          <w:b w:val="false"/>
          <w:bCs w:val="false"/>
          <w:i w:val="false"/>
          <w:iCs w:val="false"/>
          <w:color w:val="000000"/>
          <w:sz w:val="22"/>
          <w:szCs w:val="22"/>
        </w:rPr>
        <w:t xml:space="preserve">Syngeneic Murine Tumor Models: Since Cervimab does not cross-react with murine PD-1, a surrogate anti-mouse PD-1 antibody was used in syngeneic tumor models to generate pharmacological proof-of-concept data. Surrogate anti-mPD-1 (3 mg/kg, 10 mg/kg, IP, Q3D × 5) in MC38 (MSS) and CT26-dMMR (engineered MSI-H) models demonstrated: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CT26-dMMR model: Tumor growth inhibition (TGI) of 87.2% at 10 mg/kg vs. isotype control (p&lt;0.001); 3/10 complete responses (CRs) at 10 mg/kg.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Immunological correlates: Significant increase in tumor-infiltrating CD8+ T cells (IHC, p&lt;0.001), decreased regulatory T cells (Tregs, FoxP3+), and elevated intratumoral IFN-γ and granzyme B by gene expression profiling.</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Re-challenge study: CR mice demonstrated durable protective immunity upon re-challenge with CT26-dMMR cells (5/5 CR mice rejected re-challenge), consistent with immunological memory.</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MC38 (MSS) model: Modest TGI of 28.4% at 10 mg/kg — supporting the dMMR/MSI-H patient selection strategy.</w:t>
      </w:r>
    </w:p>
    <w:p>
      <w:pPr>
        <w:pStyle w:val="Heading3"/>
        <w:spacing w:before="200" w:after="80"/>
      </w:pPr>
      <w:r>
        <w:rPr>
          <w:rFonts w:ascii="Arial" w:cs="Arial" w:eastAsia="Arial" w:hAnsi="Arial"/>
          <w:b/>
          <w:bCs/>
          <w:color w:val="2E5FAC"/>
          <w:sz w:val="24"/>
          <w:szCs w:val="24"/>
        </w:rPr>
        <w:t xml:space="preserve">2.3.3  Secondary Pharmacology and Safety Pharmacology</w:t>
      </w:r>
    </w:p>
    <w:p>
      <w:pPr>
        <w:spacing w:before="60" w:after="100" w:line="276" w:lineRule="auto"/>
        <w:jc w:val="left"/>
      </w:pPr>
      <w:r>
        <w:rPr>
          <w:rFonts w:ascii="Arial" w:cs="Arial" w:eastAsia="Arial" w:hAnsi="Arial"/>
          <w:b w:val="false"/>
          <w:bCs w:val="false"/>
          <w:i w:val="false"/>
          <w:iCs w:val="false"/>
          <w:color w:val="000000"/>
          <w:sz w:val="22"/>
          <w:szCs w:val="22"/>
        </w:rPr>
        <w:t xml:space="preserve">Selectivity Panel: Cervimab was evaluated against a panel of 85 human antigens including immunologically relevant checkpoint molecules (CTLA-4, LAG-3, TIM-3, TIGIT, CD28, ICOS, BTLA, CD80, CD86, CD137) using SPR. No off-target binding was detected (all KD &gt;1 µM or no binding detected).</w:t>
      </w:r>
    </w:p>
    <w:p>
      <w:pPr>
        <w:spacing w:before="60" w:after="100" w:line="276" w:lineRule="auto"/>
        <w:jc w:val="left"/>
      </w:pPr>
      <w:r>
        <w:rPr>
          <w:rFonts w:ascii="Arial" w:cs="Arial" w:eastAsia="Arial" w:hAnsi="Arial"/>
          <w:b w:val="false"/>
          <w:bCs w:val="false"/>
          <w:i w:val="false"/>
          <w:iCs w:val="false"/>
          <w:color w:val="000000"/>
          <w:sz w:val="22"/>
          <w:szCs w:val="22"/>
        </w:rPr>
        <w:t xml:space="preserve">Safety Pharmacology (ICH S7A/S7B): Dedicated safety pharmacology studies in cynomolgus monkeys evaluated cardiovascular (telemetry: HR, BP, ECG), respiratory, and central nervous system (Irwin screen) parameters. No adverse effects were observed. A hERG assay was not conducted (not applicable for large molecules per ICH S7B).</w:t>
      </w:r>
    </w:p>
    <w:p>
      <w:pPr>
        <w:pStyle w:val="Heading2"/>
        <w:pBdr>
          <w:bottom w:val="single" w:color="2E5FAC" w:sz="6"/>
        </w:pBdr>
        <w:spacing w:before="280" w:after="100"/>
      </w:pPr>
      <w:r>
        <w:rPr>
          <w:rFonts w:ascii="Arial" w:cs="Arial" w:eastAsia="Arial" w:hAnsi="Arial"/>
          <w:b/>
          <w:bCs/>
          <w:color w:val="1B3A6B"/>
          <w:sz w:val="26"/>
          <w:szCs w:val="26"/>
        </w:rPr>
        <w:t xml:space="preserve">2.4  Pharmacokinetics and ADME</w:t>
      </w:r>
    </w:p>
    <w:p>
      <w:pPr>
        <w:pStyle w:val="Heading3"/>
        <w:spacing w:before="200" w:after="80"/>
      </w:pPr>
      <w:r>
        <w:rPr>
          <w:rFonts w:ascii="Arial" w:cs="Arial" w:eastAsia="Arial" w:hAnsi="Arial"/>
          <w:b/>
          <w:bCs/>
          <w:color w:val="2E5FAC"/>
          <w:sz w:val="24"/>
          <w:szCs w:val="24"/>
        </w:rPr>
        <w:t xml:space="preserve">2.4.1  Nonclinical Pharmacokinetics — Cynomolgus Monkey</w:t>
      </w:r>
    </w:p>
    <w:p>
      <w:pPr>
        <w:spacing w:before="60" w:after="100" w:line="276" w:lineRule="auto"/>
        <w:jc w:val="left"/>
      </w:pPr>
      <w:r>
        <w:rPr>
          <w:rFonts w:ascii="Arial" w:cs="Arial" w:eastAsia="Arial" w:hAnsi="Arial"/>
          <w:b w:val="false"/>
          <w:bCs w:val="false"/>
          <w:i w:val="false"/>
          <w:iCs w:val="false"/>
          <w:color w:val="000000"/>
          <w:sz w:val="22"/>
          <w:szCs w:val="22"/>
        </w:rPr>
        <w:t xml:space="preserve">Single-dose IV PK studies in cynomolgus monkeys (0.5, 5, 25 mg/kg) demonstrated linear, dose-proportional pharmacokinetics within the therapeutic dose range. Key PK parameters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PK Parameter</w:t>
            </w:r>
          </w:p>
        </w:tc>
        <w:tc>
          <w:tcPr>
            <w:tcW w:type="dxa" w:w="208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0.5 mg/kg</w:t>
            </w:r>
          </w:p>
        </w:tc>
        <w:tc>
          <w:tcPr>
            <w:tcW w:type="dxa" w:w="208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5 mg/kg</w:t>
            </w:r>
          </w:p>
        </w:tc>
        <w:tc>
          <w:tcPr>
            <w:tcW w:type="dxa" w:w="208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25 mg/kg</w:t>
            </w:r>
          </w:p>
        </w:tc>
      </w:tr>
      <w:tr>
        <w:tc>
          <w:tcPr>
            <w:tcW w:type="dxa" w:w="31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Cmax (µg/mL)</w:t>
            </w:r>
          </w:p>
        </w:tc>
        <w:tc>
          <w:tcPr>
            <w:tcW w:type="dxa" w:w="20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14.2 ± 1.8</w:t>
            </w:r>
          </w:p>
        </w:tc>
        <w:tc>
          <w:tcPr>
            <w:tcW w:type="dxa" w:w="20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141 ± 14.3</w:t>
            </w:r>
          </w:p>
        </w:tc>
        <w:tc>
          <w:tcPr>
            <w:tcW w:type="dxa" w:w="20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705 ± 68</w:t>
            </w:r>
          </w:p>
        </w:tc>
      </w:tr>
      <w:tr>
        <w:tc>
          <w:tcPr>
            <w:tcW w:type="dxa" w:w="31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AUC0-∞ (µg·day/mL)</w:t>
            </w:r>
          </w:p>
        </w:tc>
        <w:tc>
          <w:tcPr>
            <w:tcW w:type="dxa" w:w="20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210 ± 28</w:t>
            </w:r>
          </w:p>
        </w:tc>
        <w:tc>
          <w:tcPr>
            <w:tcW w:type="dxa" w:w="20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2,180 ± 204</w:t>
            </w:r>
          </w:p>
        </w:tc>
        <w:tc>
          <w:tcPr>
            <w:tcW w:type="dxa" w:w="20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10,950 ± 890</w:t>
            </w:r>
          </w:p>
        </w:tc>
      </w:tr>
      <w:tr>
        <w:tc>
          <w:tcPr>
            <w:tcW w:type="dxa" w:w="31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t½ (days)</w:t>
            </w:r>
          </w:p>
        </w:tc>
        <w:tc>
          <w:tcPr>
            <w:tcW w:type="dxa" w:w="20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14.2 ± 1.4</w:t>
            </w:r>
          </w:p>
        </w:tc>
        <w:tc>
          <w:tcPr>
            <w:tcW w:type="dxa" w:w="20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16.8 ± 1.9</w:t>
            </w:r>
          </w:p>
        </w:tc>
        <w:tc>
          <w:tcPr>
            <w:tcW w:type="dxa" w:w="20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17.4 ± 2.1</w:t>
            </w:r>
          </w:p>
        </w:tc>
      </w:tr>
      <w:tr>
        <w:tc>
          <w:tcPr>
            <w:tcW w:type="dxa" w:w="31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Vss (mL/kg)</w:t>
            </w:r>
          </w:p>
        </w:tc>
        <w:tc>
          <w:tcPr>
            <w:tcW w:type="dxa" w:w="20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68.4 ± 8.2</w:t>
            </w:r>
          </w:p>
        </w:tc>
        <w:tc>
          <w:tcPr>
            <w:tcW w:type="dxa" w:w="20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72.1 ± 7.6</w:t>
            </w:r>
          </w:p>
        </w:tc>
        <w:tc>
          <w:tcPr>
            <w:tcW w:type="dxa" w:w="20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70.8 ± 9.1</w:t>
            </w:r>
          </w:p>
        </w:tc>
      </w:tr>
      <w:tr>
        <w:tc>
          <w:tcPr>
            <w:tcW w:type="dxa" w:w="31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CL (mL/day/kg)</w:t>
            </w:r>
          </w:p>
        </w:tc>
        <w:tc>
          <w:tcPr>
            <w:tcW w:type="dxa" w:w="20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2.38 ± 0.31</w:t>
            </w:r>
          </w:p>
        </w:tc>
        <w:tc>
          <w:tcPr>
            <w:tcW w:type="dxa" w:w="20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2.29 ± 0.27</w:t>
            </w:r>
          </w:p>
        </w:tc>
        <w:tc>
          <w:tcPr>
            <w:tcW w:type="dxa" w:w="20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2.28 ± 0.24</w:t>
            </w:r>
          </w:p>
        </w:tc>
      </w:tr>
      <w:tr>
        <w:tc>
          <w:tcPr>
            <w:tcW w:type="dxa" w:w="31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ADA Incidence</w:t>
            </w:r>
          </w:p>
        </w:tc>
        <w:tc>
          <w:tcPr>
            <w:tcW w:type="dxa" w:w="20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0/6 (0%)</w:t>
            </w:r>
          </w:p>
        </w:tc>
        <w:tc>
          <w:tcPr>
            <w:tcW w:type="dxa" w:w="20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0/6 (0%)</w:t>
            </w:r>
          </w:p>
        </w:tc>
        <w:tc>
          <w:tcPr>
            <w:tcW w:type="dxa" w:w="20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0/6 (0%)</w:t>
            </w:r>
          </w:p>
        </w:tc>
      </w:tr>
    </w:tbl>
    <w:p>
      <w:pPr>
        <w:spacing w:before="60" w:after="100" w:line="276" w:lineRule="auto"/>
        <w:jc w:val="left"/>
      </w:pPr>
      <w:r>
        <w:rPr>
          <w:rFonts w:ascii="Arial" w:cs="Arial" w:eastAsia="Arial" w:hAnsi="Arial"/>
          <w:b w:val="false"/>
          <w:bCs w:val="false"/>
          <w:i w:val="false"/>
          <w:iCs w:val="false"/>
          <w:color w:val="000000"/>
          <w:sz w:val="22"/>
          <w:szCs w:val="22"/>
        </w:rPr>
        <w:t xml:space="preserve">Allometric scaling from cynomolgus monkey to human predicts a human t½ of approximately 20–28 days and CL of ~0.22 mL/day/kg, consistent with typical IgG4 antibody pharmacokinetics. Target-mediated drug disposition (TMDD) was not apparent at therapeutic doses, supporting linear PK.</w:t>
      </w:r>
    </w:p>
    <w:p>
      <w:pPr>
        <w:pStyle w:val="Heading2"/>
        <w:pBdr>
          <w:bottom w:val="single" w:color="2E5FAC" w:sz="6"/>
        </w:pBdr>
        <w:spacing w:before="280" w:after="100"/>
      </w:pPr>
      <w:r>
        <w:rPr>
          <w:rFonts w:ascii="Arial" w:cs="Arial" w:eastAsia="Arial" w:hAnsi="Arial"/>
          <w:b/>
          <w:bCs/>
          <w:color w:val="1B3A6B"/>
          <w:sz w:val="26"/>
          <w:szCs w:val="26"/>
        </w:rPr>
        <w:t xml:space="preserve">2.5  Toxicology Summary</w:t>
      </w:r>
    </w:p>
    <w:p>
      <w:pPr>
        <w:pStyle w:val="Heading3"/>
        <w:spacing w:before="200" w:after="80"/>
      </w:pPr>
      <w:r>
        <w:rPr>
          <w:rFonts w:ascii="Arial" w:cs="Arial" w:eastAsia="Arial" w:hAnsi="Arial"/>
          <w:b/>
          <w:bCs/>
          <w:color w:val="2E5FAC"/>
          <w:sz w:val="24"/>
          <w:szCs w:val="24"/>
        </w:rPr>
        <w:t xml:space="preserve">2.5.1  Repeat-Dose Toxicology (GLP)</w:t>
      </w:r>
    </w:p>
    <w:p>
      <w:pPr>
        <w:spacing w:before="60" w:after="100" w:line="276" w:lineRule="auto"/>
        <w:jc w:val="left"/>
      </w:pPr>
      <w:r>
        <w:rPr>
          <w:rFonts w:ascii="Arial" w:cs="Arial" w:eastAsia="Arial" w:hAnsi="Arial"/>
          <w:b w:val="false"/>
          <w:bCs w:val="false"/>
          <w:i w:val="false"/>
          <w:iCs w:val="false"/>
          <w:color w:val="000000"/>
          <w:sz w:val="22"/>
          <w:szCs w:val="22"/>
        </w:rPr>
        <w:t xml:space="preserve">A 4-week GLP repeat-dose toxicology study was conducted in sexually mature cynomolgus monkeys (2M/2F per group in main cohort; 2M/2F recovery cohort) at doses of 0 (vehicle), 10, 50, and 150 mg/kg/week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620"/>
        <w:gridCol w:w="1620"/>
        <w:gridCol w:w="1500"/>
      </w:tblGrid>
      <w:tr>
        <w:trPr>
          <w:tblHeader/>
        </w:trPr>
        <w:tc>
          <w:tcPr>
            <w:tcW w:type="dxa" w:w="30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Finding</w:t>
            </w:r>
          </w:p>
        </w:tc>
        <w:tc>
          <w:tcPr>
            <w:tcW w:type="dxa" w:w="162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10 mg/kg/wk</w:t>
            </w:r>
          </w:p>
        </w:tc>
        <w:tc>
          <w:tcPr>
            <w:tcW w:type="dxa" w:w="162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50 mg/kg/wk</w:t>
            </w:r>
          </w:p>
        </w:tc>
        <w:tc>
          <w:tcPr>
            <w:tcW w:type="dxa" w:w="162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150 mg/kg/wk</w:t>
            </w:r>
          </w:p>
        </w:tc>
        <w:tc>
          <w:tcPr>
            <w:tcW w:type="dxa" w:w="15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Recovery</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Mortality</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None</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None</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None</w:t>
            </w:r>
          </w:p>
        </w:tc>
        <w:tc>
          <w:tcPr>
            <w:tcW w:type="dxa" w:w="15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N/A</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Body Weight</w:t>
            </w:r>
          </w:p>
        </w:tc>
        <w:tc>
          <w:tcPr>
            <w:tcW w:type="dxa" w:w="16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effect</w:t>
            </w:r>
          </w:p>
        </w:tc>
        <w:tc>
          <w:tcPr>
            <w:tcW w:type="dxa" w:w="16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effect</w:t>
            </w:r>
          </w:p>
        </w:tc>
        <w:tc>
          <w:tcPr>
            <w:tcW w:type="dxa" w:w="16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 5.2% (NS)</w:t>
            </w:r>
          </w:p>
        </w:tc>
        <w:tc>
          <w:tcPr>
            <w:tcW w:type="dxa" w:w="15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Recovered</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Clinical Signs</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None</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None</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Mild lethargy (2/4)</w:t>
            </w:r>
          </w:p>
        </w:tc>
        <w:tc>
          <w:tcPr>
            <w:tcW w:type="dxa" w:w="15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Resolved</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Hematology</w:t>
            </w:r>
          </w:p>
        </w:tc>
        <w:tc>
          <w:tcPr>
            <w:tcW w:type="dxa" w:w="16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effect</w:t>
            </w:r>
          </w:p>
        </w:tc>
        <w:tc>
          <w:tcPr>
            <w:tcW w:type="dxa" w:w="16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Minor ↑ lymphocytes</w:t>
            </w:r>
          </w:p>
        </w:tc>
        <w:tc>
          <w:tcPr>
            <w:tcW w:type="dxa" w:w="16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 lymphocytes, eosinophilia</w:t>
            </w:r>
          </w:p>
        </w:tc>
        <w:tc>
          <w:tcPr>
            <w:tcW w:type="dxa" w:w="15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Recovered</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Serum Chemistry</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effect</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effect</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Mild ↑ ALT (≤2× ULN)</w:t>
            </w:r>
          </w:p>
        </w:tc>
        <w:tc>
          <w:tcPr>
            <w:tcW w:type="dxa" w:w="15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Recovered</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Immunophenotyping</w:t>
            </w:r>
          </w:p>
        </w:tc>
        <w:tc>
          <w:tcPr>
            <w:tcW w:type="dxa" w:w="16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Minor T-cell activation</w:t>
            </w:r>
          </w:p>
        </w:tc>
        <w:tc>
          <w:tcPr>
            <w:tcW w:type="dxa" w:w="16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T-cell activation</w:t>
            </w:r>
          </w:p>
        </w:tc>
        <w:tc>
          <w:tcPr>
            <w:tcW w:type="dxa" w:w="16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Marked T-cell activation</w:t>
            </w:r>
          </w:p>
        </w:tc>
        <w:tc>
          <w:tcPr>
            <w:tcW w:type="dxa" w:w="15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Partially recovered</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Organ Weights</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effect</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effect</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 spleen (+18%)</w:t>
            </w:r>
          </w:p>
        </w:tc>
        <w:tc>
          <w:tcPr>
            <w:tcW w:type="dxa" w:w="15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Recovered</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Histopathology</w:t>
            </w:r>
          </w:p>
        </w:tc>
        <w:tc>
          <w:tcPr>
            <w:tcW w:type="dxa" w:w="16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None adverse</w:t>
            </w:r>
          </w:p>
        </w:tc>
        <w:tc>
          <w:tcPr>
            <w:tcW w:type="dxa" w:w="16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Lymphoid hyperplasia (spleen, LN)</w:t>
            </w:r>
          </w:p>
        </w:tc>
        <w:tc>
          <w:tcPr>
            <w:tcW w:type="dxa" w:w="16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Lymphoid hyperplasia (Grade 1)</w:t>
            </w:r>
          </w:p>
        </w:tc>
        <w:tc>
          <w:tcPr>
            <w:tcW w:type="dxa" w:w="15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Recovered</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NOAEL</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 mg/kg/wk</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w:t>
            </w:r>
          </w:p>
        </w:tc>
        <w:tc>
          <w:tcPr>
            <w:tcW w:type="dxa" w:w="16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w:t>
            </w:r>
          </w:p>
        </w:tc>
        <w:tc>
          <w:tcPr>
            <w:tcW w:type="dxa" w:w="15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w:t>
            </w:r>
          </w:p>
        </w:tc>
      </w:tr>
    </w:tbl>
    <w:p>
      <w:pPr>
        <w:spacing w:before="60" w:after="100" w:line="276" w:lineRule="auto"/>
        <w:jc w:val="left"/>
      </w:pPr>
      <w:r>
        <w:rPr>
          <w:rFonts w:ascii="Arial" w:cs="Arial" w:eastAsia="Arial" w:hAnsi="Arial"/>
          <w:b w:val="false"/>
          <w:bCs w:val="false"/>
          <w:i w:val="false"/>
          <w:iCs w:val="false"/>
          <w:color w:val="000000"/>
          <w:sz w:val="22"/>
          <w:szCs w:val="22"/>
        </w:rPr>
        <w:t xml:space="preserve">NOAEL: 10 mg/kg/week IV in cynomolgus monkeys. Findings at higher doses were consistent with pharmacological immune activation and were reversible upon discontinuation. No mortality, no organ damage beyond lymphoid hyperplasia at ≥50 mg/kg/week.</w:t>
      </w:r>
    </w:p>
    <w:p>
      <w:pPr>
        <w:spacing w:before="60" w:after="100" w:line="276" w:lineRule="auto"/>
        <w:jc w:val="left"/>
      </w:pPr>
      <w:r>
        <w:rPr>
          <w:rFonts w:ascii="Arial" w:cs="Arial" w:eastAsia="Arial" w:hAnsi="Arial"/>
          <w:b w:val="false"/>
          <w:bCs w:val="false"/>
          <w:i w:val="false"/>
          <w:iCs w:val="false"/>
          <w:color w:val="000000"/>
          <w:sz w:val="22"/>
          <w:szCs w:val="22"/>
        </w:rPr>
        <w:t xml:space="preserve">Human Equivalent Dose (HED): NOAEL of 10 mg/kg/week NHP = HED of 3.24 mg/kg/week (using body surface area conversion factor of 0.324 for monkey-to-human; ICH S9). Applying a minimum 10-fold safety factor from NOAEL-HED, the starting dose of 1 mg/kg Q3W is supported with &gt;9-fold margin to NOAEL-HED.</w:t>
      </w:r>
    </w:p>
    <w:p>
      <w:pPr>
        <w:pStyle w:val="Heading3"/>
        <w:spacing w:before="200" w:after="80"/>
      </w:pPr>
      <w:r>
        <w:rPr>
          <w:rFonts w:ascii="Arial" w:cs="Arial" w:eastAsia="Arial" w:hAnsi="Arial"/>
          <w:b/>
          <w:bCs/>
          <w:color w:val="2E5FAC"/>
          <w:sz w:val="24"/>
          <w:szCs w:val="24"/>
        </w:rPr>
        <w:t xml:space="preserve">2.5.2  Additional Toxicology Studies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Genotoxicity: Not applicable for biological products per ICH S6(R1). Standard Ames test battery waived with justification provided in Section 4.</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Carcinogenicity: Not required for initial IND filing per ICH S9 (oncology indication).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Reproductive and Developmental Toxicology (DART): Not required at IND stage per ICH S9; planned for Phase III.</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Tissue Cross-Reactivity (TCR): A GLP-compliant TCR study using Cervimab was conducted on a panel of 37 human tissues. Binding was observed in lymphoid tissues (spleen, lymph node, tonsil) consistent with PD-1 expression on lymphocytes — no unexpected off-target tissue staining detected.</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Local Tolerance: IV local tolerance was evaluated as part of the 4-week NHP GLP study; no injection site reactions observed.</w:t>
      </w:r>
    </w:p>
    <w:p>
      <w:pPr>
        <w:pStyle w:val="Heading2"/>
        <w:pBdr>
          <w:bottom w:val="single" w:color="2E5FAC" w:sz="6"/>
        </w:pBdr>
        <w:spacing w:before="280" w:after="100"/>
      </w:pPr>
      <w:r>
        <w:rPr>
          <w:rFonts w:ascii="Arial" w:cs="Arial" w:eastAsia="Arial" w:hAnsi="Arial"/>
          <w:b/>
          <w:bCs/>
          <w:color w:val="1B3A6B"/>
          <w:sz w:val="26"/>
          <w:szCs w:val="26"/>
        </w:rPr>
        <w:t xml:space="preserve">2.6  Clinical Trial Experience</w:t>
      </w:r>
    </w:p>
    <w:p>
      <w:pPr>
        <w:spacing w:before="60" w:after="100" w:line="276" w:lineRule="auto"/>
        <w:jc w:val="left"/>
      </w:pPr>
      <w:r>
        <w:rPr>
          <w:rFonts w:ascii="Arial" w:cs="Arial" w:eastAsia="Arial" w:hAnsi="Arial"/>
          <w:b w:val="false"/>
          <w:bCs w:val="false"/>
          <w:i w:val="false"/>
          <w:iCs w:val="false"/>
          <w:color w:val="000000"/>
          <w:sz w:val="22"/>
          <w:szCs w:val="22"/>
        </w:rPr>
        <w:t xml:space="preserve">As of the IB date, Cervimab has not been administered to humans. This IND application represents the first-in-human (FIH) filing. No prior clinical data are available for this compound. Reference to the extensive clinical experience with the PD-1 class (pembrolizumab, nivolumab) informs the expected safety and efficacy profile.</w:t>
      </w:r>
    </w:p>
    <w:p>
      <w:pPr>
        <w:pStyle w:val="Heading2"/>
        <w:pBdr>
          <w:bottom w:val="single" w:color="2E5FAC" w:sz="6"/>
        </w:pBdr>
        <w:spacing w:before="280" w:after="100"/>
      </w:pPr>
      <w:r>
        <w:rPr>
          <w:rFonts w:ascii="Arial" w:cs="Arial" w:eastAsia="Arial" w:hAnsi="Arial"/>
          <w:b/>
          <w:bCs/>
          <w:color w:val="1B3A6B"/>
          <w:sz w:val="26"/>
          <w:szCs w:val="26"/>
        </w:rPr>
        <w:t xml:space="preserve">2.7  Summary of Risks and Benefits</w:t>
      </w:r>
    </w:p>
    <w:p>
      <w:pPr>
        <w:spacing w:before="60" w:after="100" w:line="276" w:lineRule="auto"/>
        <w:jc w:val="left"/>
      </w:pPr>
      <w:r>
        <w:rPr>
          <w:rFonts w:ascii="Arial" w:cs="Arial" w:eastAsia="Arial" w:hAnsi="Arial"/>
          <w:b w:val="false"/>
          <w:bCs w:val="false"/>
          <w:i w:val="false"/>
          <w:iCs w:val="false"/>
          <w:color w:val="000000"/>
          <w:sz w:val="22"/>
          <w:szCs w:val="22"/>
        </w:rPr>
        <w:t xml:space="preserve">Based on the totality of preclinical evidence, the benefit-risk profile of Cervimab in the proposed dMMR/MSI-H mCRC population is considered favorable. The expected adverse effects are consistent with the established class effects of PD-1 inhibitors, including immune-related adverse events (irAEs) such as immune-mediated pneumonitis, colitis, hepatitis, endocrinopathies, and dermatitis. These events are manageable with established clinical protocols. The unmet medical need in later-line dMMR/MSI-H mCRC and the compelling preclinical evidence of tumor selectivity justify clinical evaluation.</w:t>
      </w:r>
    </w:p>
    <w:p>
      <w:pPr>
        <w:pBdr>
          <w:left w:val="single" w:color="C0392B" w:sz="12"/>
        </w:pBdr>
        <w:shd w:fill="FFF3F3" w:val="clear"/>
        <w:spacing w:before="60" w:after="60"/>
        <w:ind w:left="360"/>
      </w:pPr>
      <w:r>
        <w:rPr>
          <w:rFonts w:ascii="Arial" w:cs="Arial" w:eastAsia="Arial" w:hAnsi="Arial"/>
          <w:b/>
          <w:bCs/>
          <w:color w:val="C0392B"/>
          <w:sz w:val="20"/>
          <w:szCs w:val="20"/>
        </w:rPr>
        <w:t xml:space="preserve">NOTE: </w:t>
      </w:r>
      <w:r>
        <w:rPr>
          <w:rFonts w:ascii="Arial" w:cs="Arial" w:eastAsia="Arial" w:hAnsi="Arial"/>
          <w:i/>
          <w:iCs/>
          <w:color w:val="4A4A4A"/>
          <w:sz w:val="20"/>
          <w:szCs w:val="20"/>
        </w:rPr>
        <w:t xml:space="preserve">Investigators should familiarize themselves with the immune-mediated adverse event (irAE) management guidelines provided in the Clinical Protocol (Section 5) and in the companion Adverse Event Management Manual (CERV-AE-MGT-001).</w:t>
      </w:r>
    </w:p>
    <w:p>
      <w:pPr>
        <w:spacing w:before="0" w:after="0"/>
      </w:pPr>
      <w:r>
        <w:br w:type="page"/>
      </w:r>
    </w:p>
    <w:p>
      <w:pPr>
        <w:shd w:fill="1B3A6B" w:val="clear"/>
        <w:spacing w:before="480" w:after="480"/>
        <w:ind w:left="0" w:right="0"/>
        <w:jc w:val="center"/>
      </w:pPr>
      <w:r>
        <w:rPr>
          <w:rFonts w:ascii="Arial" w:cs="Arial" w:eastAsia="Arial" w:hAnsi="Arial"/>
          <w:b/>
          <w:bCs/>
          <w:color w:val="FFFFFF"/>
          <w:sz w:val="38"/>
          <w:szCs w:val="38"/>
        </w:rPr>
        <w:t xml:space="preserve">SECTION 3: CHEMISTRY, MANUFACTURING &amp; CONTROLS (CMC)</w:t>
      </w:r>
    </w:p>
    <w:p>
      <w:pPr>
        <w:pStyle w:val="Heading1"/>
        <w:shd w:fill="1B3A6B" w:val="clear"/>
        <w:spacing w:before="360" w:after="120"/>
        <w:ind w:left="200" w:right="200"/>
      </w:pPr>
      <w:r>
        <w:rPr>
          <w:rFonts w:ascii="Arial" w:cs="Arial" w:eastAsia="Arial" w:hAnsi="Arial"/>
          <w:b/>
          <w:bCs/>
          <w:color w:val="FFFFFF"/>
          <w:sz w:val="32"/>
          <w:szCs w:val="32"/>
        </w:rPr>
        <w:t xml:space="preserve">3. CMC Section — 21 CFR 312.23(a)(7)</w:t>
      </w:r>
    </w:p>
    <w:p>
      <w:pPr>
        <w:spacing w:before="60" w:after="100" w:line="276" w:lineRule="auto"/>
        <w:jc w:val="left"/>
      </w:pPr>
      <w:r>
        <w:rPr>
          <w:rFonts w:ascii="Arial" w:cs="Arial" w:eastAsia="Arial" w:hAnsi="Arial"/>
          <w:b w:val="false"/>
          <w:bCs w:val="false"/>
          <w:i w:val="false"/>
          <w:iCs w:val="false"/>
          <w:color w:val="000000"/>
          <w:sz w:val="22"/>
          <w:szCs w:val="22"/>
        </w:rPr>
        <w:t xml:space="preserve">This section provides a comprehensive description of the chemistry, manufacturing, and controls for Cervimab Drug Substance (DS) and Drug Product (DP), consistent with requirements of 21 CFR 312.23(a)(7) and ICH Q8, Q9, Q10 pharmaceutical development guidelines.</w:t>
      </w:r>
    </w:p>
    <w:p>
      <w:pPr>
        <w:pStyle w:val="Heading2"/>
        <w:pBdr>
          <w:bottom w:val="single" w:color="2E5FAC" w:sz="6"/>
        </w:pBdr>
        <w:spacing w:before="280" w:after="100"/>
      </w:pPr>
      <w:r>
        <w:rPr>
          <w:rFonts w:ascii="Arial" w:cs="Arial" w:eastAsia="Arial" w:hAnsi="Arial"/>
          <w:b/>
          <w:bCs/>
          <w:color w:val="1B3A6B"/>
          <w:sz w:val="26"/>
          <w:szCs w:val="26"/>
        </w:rPr>
        <w:t xml:space="preserve">3.1  Drug Substance — Cervimab DS</w:t>
      </w:r>
    </w:p>
    <w:p>
      <w:pPr>
        <w:pStyle w:val="Heading3"/>
        <w:spacing w:before="200" w:after="80"/>
      </w:pPr>
      <w:r>
        <w:rPr>
          <w:rFonts w:ascii="Arial" w:cs="Arial" w:eastAsia="Arial" w:hAnsi="Arial"/>
          <w:b/>
          <w:bCs/>
          <w:color w:val="2E5FAC"/>
          <w:sz w:val="24"/>
          <w:szCs w:val="24"/>
        </w:rPr>
        <w:t xml:space="preserve">3.1.1  Manufacturer and Facility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DS Manufacturer</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BioProcess Solutions, Inc. (BPSI)</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Facility Address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890 Biotech Boulevard, Research Triangle Park, NC 27709</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Facility Type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Licensed Biopharmaceutical Manufacturer (FDA-registered)</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Registration Number</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[FDA Establishment Registration Number]</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QA System</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ICH Q10 Pharmaceutical Quality System</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GMP Status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FDA-inspected; last inspection [DATE]; no open 483s</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Current Capacity</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2,000 L bioreactor (clinical manufacturing); 15,000 L (commercial scale planned)</w:t>
            </w:r>
          </w:p>
        </w:tc>
      </w:tr>
    </w:tbl>
    <w:p>
      <w:pPr>
        <w:pStyle w:val="Heading3"/>
        <w:spacing w:before="200" w:after="80"/>
      </w:pPr>
      <w:r>
        <w:rPr>
          <w:rFonts w:ascii="Arial" w:cs="Arial" w:eastAsia="Arial" w:hAnsi="Arial"/>
          <w:b/>
          <w:bCs/>
          <w:color w:val="2E5FAC"/>
          <w:sz w:val="24"/>
          <w:szCs w:val="24"/>
        </w:rPr>
        <w:t xml:space="preserve">3.1.2  Cell Line and Cell Banking</w:t>
      </w:r>
    </w:p>
    <w:p>
      <w:pPr>
        <w:spacing w:before="60" w:after="100" w:line="276" w:lineRule="auto"/>
        <w:jc w:val="left"/>
      </w:pPr>
      <w:r>
        <w:rPr>
          <w:rFonts w:ascii="Arial" w:cs="Arial" w:eastAsia="Arial" w:hAnsi="Arial"/>
          <w:b w:val="false"/>
          <w:bCs w:val="false"/>
          <w:i w:val="false"/>
          <w:iCs w:val="false"/>
          <w:color w:val="000000"/>
          <w:sz w:val="22"/>
          <w:szCs w:val="22"/>
        </w:rPr>
        <w:t xml:space="preserve">Cervimab is expressed from a recombinant Chinese Hamster Ovary (CHO-K1) cell line generated by stable transfection of expression vectors encoding the Cervimab heavy and light chain sequences. Cell line development, clonal selection (single-cell cloning, limiting dilution), and characterization were performed at Cervantes Biotherapeutics.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rPr>
          <w:tblHeader/>
        </w:trPr>
        <w:tc>
          <w:tcPr>
            <w:tcW w:type="dxa" w:w="24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Cell Bank Level</w:t>
            </w:r>
          </w:p>
        </w:tc>
        <w:tc>
          <w:tcPr>
            <w:tcW w:type="dxa" w:w="12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Vials</w:t>
            </w:r>
          </w:p>
        </w:tc>
        <w:tc>
          <w:tcPr>
            <w:tcW w:type="dxa" w:w="24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Storage Condition</w:t>
            </w:r>
          </w:p>
        </w:tc>
        <w:tc>
          <w:tcPr>
            <w:tcW w:type="dxa" w:w="33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Characterization Status</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Master Cell Bank (MCB)</w:t>
            </w:r>
          </w:p>
        </w:tc>
        <w:tc>
          <w:tcPr>
            <w:tcW w:type="dxa" w:w="1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200 vials</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-196°C (LN2 vapor phase)</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Complete (identity, purity, sterility, mycoplasma, adventitious agents)</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Working Cell Bank (WCB)</w:t>
            </w:r>
          </w:p>
        </w:tc>
        <w:tc>
          <w:tcPr>
            <w:tcW w:type="dxa" w:w="1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400 vials</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-196°C (LN2 vapor phase)</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Complete (identity, purity, sterility)</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End-of-Production Cells (EPC)</w:t>
            </w:r>
          </w:p>
        </w:tc>
        <w:tc>
          <w:tcPr>
            <w:tcW w:type="dxa" w:w="1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50 vials</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-196°C (LN2 vapor phase)</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Complete (genetic stability confirmed at 60+ doublings)</w:t>
            </w:r>
          </w:p>
        </w:tc>
      </w:tr>
    </w:tbl>
    <w:p>
      <w:pPr>
        <w:pStyle w:val="Heading3"/>
        <w:spacing w:before="200" w:after="80"/>
      </w:pPr>
      <w:r>
        <w:rPr>
          <w:rFonts w:ascii="Arial" w:cs="Arial" w:eastAsia="Arial" w:hAnsi="Arial"/>
          <w:b/>
          <w:bCs/>
          <w:color w:val="2E5FAC"/>
          <w:sz w:val="24"/>
          <w:szCs w:val="24"/>
        </w:rPr>
        <w:t xml:space="preserve">3.1.3  Upstream Manufacturing Process</w:t>
      </w:r>
    </w:p>
    <w:p>
      <w:pPr>
        <w:spacing w:before="60" w:after="100" w:line="276" w:lineRule="auto"/>
        <w:jc w:val="left"/>
      </w:pPr>
      <w:r>
        <w:rPr>
          <w:rFonts w:ascii="Arial" w:cs="Arial" w:eastAsia="Arial" w:hAnsi="Arial"/>
          <w:b w:val="false"/>
          <w:bCs w:val="false"/>
          <w:i w:val="false"/>
          <w:iCs w:val="false"/>
          <w:color w:val="000000"/>
          <w:sz w:val="22"/>
          <w:szCs w:val="22"/>
        </w:rPr>
        <w:t xml:space="preserve">Cervimab DS is produced using a fed-batch bioreactor process in CHO-K1 cells. The manufacturing process consists of the following sequential unit operations: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Thaw and Recovery: WCB vial thaw into T-flask, recovery in proprietary serum-free, chemically defined media.</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Seed Train Expansion: Progressive expansion through spinner flasks (125 mL → 250 mL → 1L) and WAVE bioreactor bags (10 L → 50 L) over approximately 10–14 days.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Production Bioreactor: Inoculation of 2,000 L stirred tank bioreactor (STR); fed-batch culture with proprietary nutrient feed strategy; 14-day run duration; controlled process parameters (pH 7.0–7.2, DO 30–50%, temperature 36.8–37.2°C).</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Harvest: Centrifugation (continuous disc stack) followed by depth filtration (0.45 µm + 0.2 µm) to produce clarified harvest.</w:t>
      </w:r>
    </w:p>
    <w:p>
      <w:pPr>
        <w:spacing w:before="60" w:after="100" w:line="276" w:lineRule="auto"/>
        <w:jc w:val="left"/>
      </w:pPr>
      <w:r>
        <w:rPr>
          <w:rFonts w:ascii="Arial" w:cs="Arial" w:eastAsia="Arial" w:hAnsi="Arial"/>
          <w:b w:val="false"/>
          <w:bCs w:val="false"/>
          <w:i w:val="false"/>
          <w:iCs w:val="false"/>
          <w:color w:val="000000"/>
          <w:sz w:val="22"/>
          <w:szCs w:val="22"/>
        </w:rPr>
        <w:t xml:space="preserve">Typical DS titer: 4.2–5.8 g/L (batch records). Consistent with industry norms for optimized CHO processes.</w:t>
      </w:r>
    </w:p>
    <w:p>
      <w:pPr>
        <w:pStyle w:val="Heading3"/>
        <w:spacing w:before="200" w:after="80"/>
      </w:pPr>
      <w:r>
        <w:rPr>
          <w:rFonts w:ascii="Arial" w:cs="Arial" w:eastAsia="Arial" w:hAnsi="Arial"/>
          <w:b/>
          <w:bCs/>
          <w:color w:val="2E5FAC"/>
          <w:sz w:val="24"/>
          <w:szCs w:val="24"/>
        </w:rPr>
        <w:t xml:space="preserve">3.1.4  Downstream Purification Process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2880"/>
        <w:gridCol w:w="1600"/>
      </w:tblGrid>
      <w:tr>
        <w:trPr>
          <w:tblHeader/>
        </w:trPr>
        <w:tc>
          <w:tcPr>
            <w:tcW w:type="dxa" w:w="48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Step</w:t>
            </w:r>
          </w:p>
        </w:tc>
        <w:tc>
          <w:tcPr>
            <w:tcW w:type="dxa" w:w="24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Unit Operation</w:t>
            </w:r>
          </w:p>
        </w:tc>
        <w:tc>
          <w:tcPr>
            <w:tcW w:type="dxa" w:w="288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Purpose</w:t>
            </w:r>
          </w:p>
        </w:tc>
        <w:tc>
          <w:tcPr>
            <w:tcW w:type="dxa" w:w="16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Typical Recovery</w:t>
            </w:r>
          </w:p>
        </w:tc>
      </w:tr>
      <w:tr>
        <w:tc>
          <w:tcPr>
            <w:tcW w:type="dxa" w:w="4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Protein A Affinity Chromatography (MabSelect SuRe)</w:t>
            </w:r>
          </w:p>
        </w:tc>
        <w:tc>
          <w:tcPr>
            <w:tcW w:type="dxa" w:w="28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Capture; remove HCPs, DNA, media components</w:t>
            </w:r>
          </w:p>
        </w:tc>
        <w:tc>
          <w:tcPr>
            <w:tcW w:type="dxa" w:w="1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≥95%</w:t>
            </w:r>
          </w:p>
        </w:tc>
      </w:tr>
      <w:tr>
        <w:tc>
          <w:tcPr>
            <w:tcW w:type="dxa" w:w="4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Viral Inactivation (Low pH Hold)</w:t>
            </w:r>
          </w:p>
        </w:tc>
        <w:tc>
          <w:tcPr>
            <w:tcW w:type="dxa" w:w="28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pH 3.6, 30 min — inactivate enveloped viruses</w:t>
            </w:r>
          </w:p>
        </w:tc>
        <w:tc>
          <w:tcPr>
            <w:tcW w:type="dxa" w:w="16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≥99%</w:t>
            </w:r>
          </w:p>
        </w:tc>
      </w:tr>
      <w:tr>
        <w:tc>
          <w:tcPr>
            <w:tcW w:type="dxa" w:w="4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3</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Cation Exchange Chromatography (CEX, SP Sepharose FF)</w:t>
            </w:r>
          </w:p>
        </w:tc>
        <w:tc>
          <w:tcPr>
            <w:tcW w:type="dxa" w:w="28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Remove HCP, aggregates, charge variants</w:t>
            </w:r>
          </w:p>
        </w:tc>
        <w:tc>
          <w:tcPr>
            <w:tcW w:type="dxa" w:w="1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≥88%</w:t>
            </w:r>
          </w:p>
        </w:tc>
      </w:tr>
      <w:tr>
        <w:tc>
          <w:tcPr>
            <w:tcW w:type="dxa" w:w="4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4</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Anion Exchange Chromatography (AEX, Q Sepharose FF)</w:t>
            </w:r>
          </w:p>
        </w:tc>
        <w:tc>
          <w:tcPr>
            <w:tcW w:type="dxa" w:w="28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Flow-through mode; remove DNA, endotoxin</w:t>
            </w:r>
          </w:p>
        </w:tc>
        <w:tc>
          <w:tcPr>
            <w:tcW w:type="dxa" w:w="16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≥94%</w:t>
            </w:r>
          </w:p>
        </w:tc>
      </w:tr>
      <w:tr>
        <w:tc>
          <w:tcPr>
            <w:tcW w:type="dxa" w:w="4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5</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Virus Filtration (Viresolve Pro)</w:t>
            </w:r>
          </w:p>
        </w:tc>
        <w:tc>
          <w:tcPr>
            <w:tcW w:type="dxa" w:w="28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Remove non-enveloped viruses; ≥4 log10 reduction</w:t>
            </w:r>
          </w:p>
        </w:tc>
        <w:tc>
          <w:tcPr>
            <w:tcW w:type="dxa" w:w="1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≥90%</w:t>
            </w:r>
          </w:p>
        </w:tc>
      </w:tr>
      <w:tr>
        <w:tc>
          <w:tcPr>
            <w:tcW w:type="dxa" w:w="4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6</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Ultrafiltration/Diafiltration (UF/DF)</w:t>
            </w:r>
          </w:p>
        </w:tc>
        <w:tc>
          <w:tcPr>
            <w:tcW w:type="dxa" w:w="288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Buffer exchange into DS formulation buffer; concentration</w:t>
            </w:r>
          </w:p>
        </w:tc>
        <w:tc>
          <w:tcPr>
            <w:tcW w:type="dxa" w:w="16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≥93%</w:t>
            </w:r>
          </w:p>
        </w:tc>
      </w:tr>
      <w:tr>
        <w:tc>
          <w:tcPr>
            <w:tcW w:type="dxa" w:w="4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7</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0.22 µm Sterilizing Filtration</w:t>
            </w:r>
          </w:p>
        </w:tc>
        <w:tc>
          <w:tcPr>
            <w:tcW w:type="dxa" w:w="288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Bioburden reduction; final sterile filtration</w:t>
            </w:r>
          </w:p>
        </w:tc>
        <w:tc>
          <w:tcPr>
            <w:tcW w:type="dxa" w:w="1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≥99%</w:t>
            </w:r>
          </w:p>
        </w:tc>
      </w:tr>
    </w:tbl>
    <w:p>
      <w:pPr>
        <w:pStyle w:val="Heading3"/>
        <w:spacing w:before="200" w:after="80"/>
      </w:pPr>
      <w:r>
        <w:rPr>
          <w:rFonts w:ascii="Arial" w:cs="Arial" w:eastAsia="Arial" w:hAnsi="Arial"/>
          <w:b/>
          <w:bCs/>
          <w:color w:val="2E5FAC"/>
          <w:sz w:val="24"/>
          <w:szCs w:val="24"/>
        </w:rPr>
        <w:t xml:space="preserve">3.1.5  Drug Substance Formulation and Specifications</w:t>
      </w:r>
    </w:p>
    <w:p>
      <w:pPr>
        <w:spacing w:before="60" w:after="100" w:line="276" w:lineRule="auto"/>
        <w:jc w:val="left"/>
      </w:pPr>
      <w:r>
        <w:rPr>
          <w:rFonts w:ascii="Arial" w:cs="Arial" w:eastAsia="Arial" w:hAnsi="Arial"/>
          <w:b w:val="false"/>
          <w:bCs w:val="false"/>
          <w:i w:val="false"/>
          <w:iCs w:val="false"/>
          <w:color w:val="000000"/>
          <w:sz w:val="22"/>
          <w:szCs w:val="22"/>
        </w:rPr>
        <w:t xml:space="preserve">Cervimab DS is formulated in 25 mM histidine/histidine-HCl buffer, pH 6.0, with 150 mM sucrose, 0.04% polysorbate 80 (PS-80). DS is stored in polypropylene cryogenic bottles at ≤-65°C in liquid nitrogen vapor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Test</w:t>
            </w:r>
          </w:p>
        </w:tc>
        <w:tc>
          <w:tcPr>
            <w:tcW w:type="dxa" w:w="30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Method</w:t>
            </w:r>
          </w:p>
        </w:tc>
        <w:tc>
          <w:tcPr>
            <w:tcW w:type="dxa" w:w="33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Acceptance Criteria</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Appearance</w:t>
            </w:r>
          </w:p>
        </w:tc>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Visual inspection</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Clear to slightly opalescent, colorless to pale yellow; essentially free of visible particles</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Identity (Protein)</w:t>
            </w:r>
          </w:p>
        </w:tc>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LC-MS peptide mapping; Western blot</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Consistent with reference standard</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Potency (PD-1 Binding)</w:t>
            </w:r>
          </w:p>
        </w:tc>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Cell-based PD-1/PD-L1 blocking ELISA (HTRF)</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70–130% relative to reference standard</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Purity (SEC-HPLC)</w:t>
            </w:r>
          </w:p>
        </w:tc>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Size exclusion chromatography</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≥98% monomer; ≤1.0% HMW species; ≤0.5% LMW species</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Purity (CE-SDS Reduced)</w:t>
            </w:r>
          </w:p>
        </w:tc>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Capillary electrophoresis-SDS</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HC ≥95%; LC ≥95% (relative area)</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Charge Heterogeneity (cIEF)</w:t>
            </w:r>
          </w:p>
        </w:tc>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Capillary isoelectric focusing</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Acidic variants ≤20%; basic variants ≤15%; main peak ≥65%</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Concentration (UV)</w:t>
            </w:r>
          </w:p>
        </w:tc>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A280 (ext. coefficient)</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9.5–10.5 mg/mL (DS) or per batch target</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Host Cell Protein (HCP)</w:t>
            </w:r>
          </w:p>
        </w:tc>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ELISA (process-specific assay)</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≤50 ppm</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Host Cell DNA (qPCR)</w:t>
            </w:r>
          </w:p>
        </w:tc>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Quantitative PCR</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 pg/mg</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Protein A Residuals</w:t>
            </w:r>
          </w:p>
        </w:tc>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Affinity ELISA</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≤5 ppm</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Endotoxin (LAL)</w:t>
            </w:r>
          </w:p>
        </w:tc>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Chromogenic LAL</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≤0.1 EU/mg</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Bioburden</w:t>
            </w:r>
          </w:p>
        </w:tc>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USP &lt;61&gt;</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 CFU/10 mL</w:t>
            </w:r>
          </w:p>
        </w:tc>
      </w:tr>
      <w:tr>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Sterility</w:t>
            </w:r>
          </w:p>
        </w:tc>
        <w:tc>
          <w:tcPr>
            <w:tcW w:type="dxa" w:w="30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USP &lt;71&gt; (final DP)</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growth</w:t>
            </w:r>
          </w:p>
        </w:tc>
      </w:tr>
      <w:tr>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Residual Solvents</w:t>
            </w:r>
          </w:p>
        </w:tc>
        <w:tc>
          <w:tcPr>
            <w:tcW w:type="dxa" w:w="30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GC headspace</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ICH Q3C limits</w:t>
            </w:r>
          </w:p>
        </w:tc>
      </w:tr>
    </w:tbl>
    <w:p>
      <w:pPr>
        <w:pStyle w:val="Heading2"/>
        <w:pBdr>
          <w:bottom w:val="single" w:color="2E5FAC" w:sz="6"/>
        </w:pBdr>
        <w:spacing w:before="280" w:after="100"/>
      </w:pPr>
      <w:r>
        <w:rPr>
          <w:rFonts w:ascii="Arial" w:cs="Arial" w:eastAsia="Arial" w:hAnsi="Arial"/>
          <w:b/>
          <w:bCs/>
          <w:color w:val="1B3A6B"/>
          <w:sz w:val="26"/>
          <w:szCs w:val="26"/>
        </w:rPr>
        <w:t xml:space="preserve">3.2  Drug Product — Cervimab DP</w:t>
      </w:r>
    </w:p>
    <w:p>
      <w:pPr>
        <w:pStyle w:val="Heading3"/>
        <w:spacing w:before="200" w:after="80"/>
      </w:pPr>
      <w:r>
        <w:rPr>
          <w:rFonts w:ascii="Arial" w:cs="Arial" w:eastAsia="Arial" w:hAnsi="Arial"/>
          <w:b/>
          <w:bCs/>
          <w:color w:val="2E5FAC"/>
          <w:sz w:val="24"/>
          <w:szCs w:val="24"/>
        </w:rPr>
        <w:t xml:space="preserve">3.2.1  Drug Product Description and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Container/Closure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20 mL Type I borosilicate glass vial with 20mm FM157/2 rubber stopper and aluminum crimp seal</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Fill Volume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 mL fill in 20 mL vial (overfill: 10.5 mL nominal)</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Concentration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 mg/mL Cervimab</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Vial Content</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100 mg/vial (labeled dose)</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Formulation Buffer</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25 mM L-histidine/L-histidine hydrochloride monohydrate, pH 6.0</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Excipients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Sucrose 90 mg/mL; Polysorbate 80 (PS-80) 0.4 mg/mL; Water for Injection (WFI) q.s.</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Route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IV infusion after dilution into 0.9% NaCl or 5% Dextrose</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Appearance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Sterile, clear to slightly opalescent, colorless to pale yellow liquid</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Storage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2–8°C (refrigerated); protect from light; do not freeze</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Shelf Life (Proposed)</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24 months at 2–8°C (supported by ongoing real-time stability data)</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In-Use Stability</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Diluted solution stable 24 hr at 2–8°C or 8 hr at room temperature</w:t>
            </w:r>
          </w:p>
        </w:tc>
      </w:tr>
    </w:tbl>
    <w:p>
      <w:pPr>
        <w:pStyle w:val="Heading3"/>
        <w:spacing w:before="200" w:after="80"/>
      </w:pPr>
      <w:r>
        <w:rPr>
          <w:rFonts w:ascii="Arial" w:cs="Arial" w:eastAsia="Arial" w:hAnsi="Arial"/>
          <w:b/>
          <w:bCs/>
          <w:color w:val="2E5FAC"/>
          <w:sz w:val="24"/>
          <w:szCs w:val="24"/>
        </w:rPr>
        <w:t xml:space="preserve">3.2.2  Drug Product Manufacturing Process</w:t>
      </w:r>
    </w:p>
    <w:p>
      <w:pPr>
        <w:spacing w:before="60" w:after="100" w:line="276" w:lineRule="auto"/>
        <w:jc w:val="left"/>
      </w:pPr>
      <w:r>
        <w:rPr>
          <w:rFonts w:ascii="Arial" w:cs="Arial" w:eastAsia="Arial" w:hAnsi="Arial"/>
          <w:b w:val="false"/>
          <w:bCs w:val="false"/>
          <w:i w:val="false"/>
          <w:iCs w:val="false"/>
          <w:color w:val="000000"/>
          <w:sz w:val="22"/>
          <w:szCs w:val="22"/>
        </w:rPr>
        <w:t xml:space="preserve">Drug Product manufacturing is performed at Clinical Biologics Manufacturing, LLC (CBM), Rockville, MD (FDA-registered). The DP manufacturing process is summarized:</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DS thaw and pooling in ISO Class 7 cleanroom.</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Compounding: Buffer preparation, excipient addition, pH adjustment (pH 6.0 ± 0.05), protein concentration adjustment.</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Sterile filtration: 0.22 µm Durapore membrane filter (validated).</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Aseptic fill/finish: Automated vial filling under ISO Class 5 LAF, 100% weight check, visual inspection.</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Stoppering, crimping, visual inspection (manual + automated AQL).</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Labeling, packaging, and quarantine pending QA release.</w:t>
      </w:r>
    </w:p>
    <w:p>
      <w:pPr>
        <w:pStyle w:val="Heading3"/>
        <w:spacing w:before="200" w:after="80"/>
      </w:pPr>
      <w:r>
        <w:rPr>
          <w:rFonts w:ascii="Arial" w:cs="Arial" w:eastAsia="Arial" w:hAnsi="Arial"/>
          <w:b/>
          <w:bCs/>
          <w:color w:val="2E5FAC"/>
          <w:sz w:val="24"/>
          <w:szCs w:val="24"/>
        </w:rPr>
        <w:t xml:space="preserve">3.2.3  Stability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40"/>
        <w:gridCol w:w="1560"/>
        <w:gridCol w:w="1320"/>
        <w:gridCol w:w="1440"/>
      </w:tblGrid>
      <w:tr>
        <w:trPr>
          <w:tblHeader/>
        </w:trPr>
        <w:tc>
          <w:tcPr>
            <w:tcW w:type="dxa" w:w="24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Storage Condition</w:t>
            </w:r>
          </w:p>
        </w:tc>
        <w:tc>
          <w:tcPr>
            <w:tcW w:type="dxa" w:w="12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Timepoint</w:t>
            </w:r>
          </w:p>
        </w:tc>
        <w:tc>
          <w:tcPr>
            <w:tcW w:type="dxa" w:w="144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Appearance</w:t>
            </w:r>
          </w:p>
        </w:tc>
        <w:tc>
          <w:tcPr>
            <w:tcW w:type="dxa" w:w="15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SEC Monomer %</w:t>
            </w:r>
          </w:p>
        </w:tc>
        <w:tc>
          <w:tcPr>
            <w:tcW w:type="dxa" w:w="132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Potency % RS</w:t>
            </w:r>
          </w:p>
        </w:tc>
        <w:tc>
          <w:tcPr>
            <w:tcW w:type="dxa" w:w="144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Status</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2–8°C (real-time)</w:t>
            </w:r>
          </w:p>
        </w:tc>
        <w:tc>
          <w:tcPr>
            <w:tcW w:type="dxa" w:w="1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0 mo</w:t>
            </w:r>
          </w:p>
        </w:tc>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Pass</w:t>
            </w:r>
          </w:p>
        </w:tc>
        <w:tc>
          <w:tcPr>
            <w:tcW w:type="dxa" w:w="15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99.1%</w:t>
            </w:r>
          </w:p>
        </w:tc>
        <w:tc>
          <w:tcPr>
            <w:tcW w:type="dxa" w:w="13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102%</w:t>
            </w:r>
          </w:p>
        </w:tc>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Pass</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2–8°C (real-time)</w:t>
            </w:r>
          </w:p>
        </w:tc>
        <w:tc>
          <w:tcPr>
            <w:tcW w:type="dxa" w:w="1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3 mo</w:t>
            </w:r>
          </w:p>
        </w:tc>
        <w:tc>
          <w:tcPr>
            <w:tcW w:type="dxa" w:w="14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Pass</w:t>
            </w:r>
          </w:p>
        </w:tc>
        <w:tc>
          <w:tcPr>
            <w:tcW w:type="dxa" w:w="15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98.9%</w:t>
            </w:r>
          </w:p>
        </w:tc>
        <w:tc>
          <w:tcPr>
            <w:tcW w:type="dxa" w:w="13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98%</w:t>
            </w:r>
          </w:p>
        </w:tc>
        <w:tc>
          <w:tcPr>
            <w:tcW w:type="dxa" w:w="14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Pass</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2–8°C (real-time)</w:t>
            </w:r>
          </w:p>
        </w:tc>
        <w:tc>
          <w:tcPr>
            <w:tcW w:type="dxa" w:w="1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6 mo</w:t>
            </w:r>
          </w:p>
        </w:tc>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Pass</w:t>
            </w:r>
          </w:p>
        </w:tc>
        <w:tc>
          <w:tcPr>
            <w:tcW w:type="dxa" w:w="15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98.7%</w:t>
            </w:r>
          </w:p>
        </w:tc>
        <w:tc>
          <w:tcPr>
            <w:tcW w:type="dxa" w:w="13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101%</w:t>
            </w:r>
          </w:p>
        </w:tc>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Pass</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2–8°C (real-time)</w:t>
            </w:r>
          </w:p>
        </w:tc>
        <w:tc>
          <w:tcPr>
            <w:tcW w:type="dxa" w:w="1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 mo</w:t>
            </w:r>
          </w:p>
        </w:tc>
        <w:tc>
          <w:tcPr>
            <w:tcW w:type="dxa" w:w="14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Pass</w:t>
            </w:r>
          </w:p>
        </w:tc>
        <w:tc>
          <w:tcPr>
            <w:tcW w:type="dxa" w:w="15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98.6%</w:t>
            </w:r>
          </w:p>
        </w:tc>
        <w:tc>
          <w:tcPr>
            <w:tcW w:type="dxa" w:w="13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99%</w:t>
            </w:r>
          </w:p>
        </w:tc>
        <w:tc>
          <w:tcPr>
            <w:tcW w:type="dxa" w:w="14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Pass</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2–8°C (real-time)</w:t>
            </w:r>
          </w:p>
        </w:tc>
        <w:tc>
          <w:tcPr>
            <w:tcW w:type="dxa" w:w="1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12 mo</w:t>
            </w:r>
          </w:p>
        </w:tc>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Pass</w:t>
            </w:r>
          </w:p>
        </w:tc>
        <w:tc>
          <w:tcPr>
            <w:tcW w:type="dxa" w:w="15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98.4%</w:t>
            </w:r>
          </w:p>
        </w:tc>
        <w:tc>
          <w:tcPr>
            <w:tcW w:type="dxa" w:w="13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97%</w:t>
            </w:r>
          </w:p>
        </w:tc>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Pass</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25°C/60% RH (accelerated)</w:t>
            </w:r>
          </w:p>
        </w:tc>
        <w:tc>
          <w:tcPr>
            <w:tcW w:type="dxa" w:w="1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3 mo</w:t>
            </w:r>
          </w:p>
        </w:tc>
        <w:tc>
          <w:tcPr>
            <w:tcW w:type="dxa" w:w="14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Pass</w:t>
            </w:r>
          </w:p>
        </w:tc>
        <w:tc>
          <w:tcPr>
            <w:tcW w:type="dxa" w:w="15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97.8%</w:t>
            </w:r>
          </w:p>
        </w:tc>
        <w:tc>
          <w:tcPr>
            <w:tcW w:type="dxa" w:w="13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95%</w:t>
            </w:r>
          </w:p>
        </w:tc>
        <w:tc>
          <w:tcPr>
            <w:tcW w:type="dxa" w:w="14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Pass</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40°C/75% RH (stress)</w:t>
            </w:r>
          </w:p>
        </w:tc>
        <w:tc>
          <w:tcPr>
            <w:tcW w:type="dxa" w:w="1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 mo</w:t>
            </w:r>
          </w:p>
        </w:tc>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Slight haze</w:t>
            </w:r>
          </w:p>
        </w:tc>
        <w:tc>
          <w:tcPr>
            <w:tcW w:type="dxa" w:w="15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95.1%</w:t>
            </w:r>
          </w:p>
        </w:tc>
        <w:tc>
          <w:tcPr>
            <w:tcW w:type="dxa" w:w="13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88%</w:t>
            </w:r>
          </w:p>
        </w:tc>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Informational only</w:t>
            </w:r>
          </w:p>
        </w:tc>
      </w:tr>
    </w:tbl>
    <w:p>
      <w:pPr>
        <w:spacing w:before="60" w:after="100" w:line="276" w:lineRule="auto"/>
        <w:jc w:val="left"/>
      </w:pPr>
      <w:r>
        <w:rPr>
          <w:rFonts w:ascii="Arial" w:cs="Arial" w:eastAsia="Arial" w:hAnsi="Arial"/>
          <w:b w:val="false"/>
          <w:bCs w:val="false"/>
          <w:i w:val="false"/>
          <w:iCs w:val="false"/>
          <w:color w:val="000000"/>
          <w:sz w:val="22"/>
          <w:szCs w:val="22"/>
        </w:rPr>
        <w:t xml:space="preserve">Real-time stability is ongoing at 2–8°C targeting 24-month shelf life. Data to date (12 months) confirm product stability within specifications. Stability program follows ICH Q1A(R2).</w:t>
      </w:r>
    </w:p>
    <w:p>
      <w:pPr>
        <w:pStyle w:val="Heading2"/>
        <w:pBdr>
          <w:bottom w:val="single" w:color="2E5FAC" w:sz="6"/>
        </w:pBdr>
        <w:spacing w:before="280" w:after="100"/>
      </w:pPr>
      <w:r>
        <w:rPr>
          <w:rFonts w:ascii="Arial" w:cs="Arial" w:eastAsia="Arial" w:hAnsi="Arial"/>
          <w:b/>
          <w:bCs/>
          <w:color w:val="1B3A6B"/>
          <w:sz w:val="26"/>
          <w:szCs w:val="26"/>
        </w:rPr>
        <w:t xml:space="preserve">3.3  Container Closure Integrity and Extractables/Leachables</w:t>
      </w:r>
    </w:p>
    <w:p>
      <w:pPr>
        <w:spacing w:before="60" w:after="100" w:line="276" w:lineRule="auto"/>
        <w:jc w:val="left"/>
      </w:pPr>
      <w:r>
        <w:rPr>
          <w:rFonts w:ascii="Arial" w:cs="Arial" w:eastAsia="Arial" w:hAnsi="Arial"/>
          <w:b w:val="false"/>
          <w:bCs w:val="false"/>
          <w:i w:val="false"/>
          <w:iCs w:val="false"/>
          <w:color w:val="000000"/>
          <w:sz w:val="22"/>
          <w:szCs w:val="22"/>
        </w:rPr>
        <w:t xml:space="preserve">Container closure integrity testing (CCIT) was performed using laser-based headspace analysis (LHS) per USP &lt;1207&gt; and deterministic methods per FDA guidance. All clinical batches passed CCIT testing. A full extractables and leachables (E&amp;L) assessment per BPSA guidelines is underway; interim analysis to date shows no safety-relevant leachables above threshold of toxicological concern (TTC).</w:t>
      </w:r>
    </w:p>
    <w:p>
      <w:pPr>
        <w:pStyle w:val="Heading2"/>
        <w:pBdr>
          <w:bottom w:val="single" w:color="2E5FAC" w:sz="6"/>
        </w:pBdr>
        <w:spacing w:before="280" w:after="100"/>
      </w:pPr>
      <w:r>
        <w:rPr>
          <w:rFonts w:ascii="Arial" w:cs="Arial" w:eastAsia="Arial" w:hAnsi="Arial"/>
          <w:b/>
          <w:bCs/>
          <w:color w:val="1B3A6B"/>
          <w:sz w:val="26"/>
          <w:szCs w:val="26"/>
        </w:rPr>
        <w:t xml:space="preserve">3.4  Adventitious Agent Safety</w:t>
      </w:r>
    </w:p>
    <w:p>
      <w:pPr>
        <w:spacing w:before="60" w:after="100" w:line="276" w:lineRule="auto"/>
        <w:jc w:val="left"/>
      </w:pPr>
      <w:r>
        <w:rPr>
          <w:rFonts w:ascii="Arial" w:cs="Arial" w:eastAsia="Arial" w:hAnsi="Arial"/>
          <w:b w:val="false"/>
          <w:bCs w:val="false"/>
          <w:i w:val="false"/>
          <w:iCs w:val="false"/>
          <w:color w:val="000000"/>
          <w:sz w:val="22"/>
          <w:szCs w:val="22"/>
        </w:rPr>
        <w:t xml:space="preserve">Viral safety of Cervimab DP is ensured through a comprehensive viral clearance strategy per ICH Q5A(R2):</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Raw material qualification: All bovine-derived materials used in cell culture are sourced from TSE/BSE-free countries (Australia); CoA and BSE compliance documentation on file.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Virus clearance studies (GLP): Scaled-down model studies validated clearance of ≥17 log10 for model viruses (MVM, XMuLV, SV40, Reo-3) across the downstream process (Protein A, low-pH inactivation, virus filtration).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Adventitious agent testing: MCB, WCB, and each DS lot tested per 9 CFR 113.26 and ICH Q5A — all negative to date.</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Mycoplasma testing: Negative (culture and PCR methods) for all cell banks and DS lots.</w:t>
      </w:r>
    </w:p>
    <w:p>
      <w:pPr>
        <w:spacing w:before="0" w:after="0"/>
      </w:pPr>
      <w:r>
        <w:br w:type="page"/>
      </w:r>
    </w:p>
    <w:p>
      <w:pPr>
        <w:shd w:fill="1B3A6B" w:val="clear"/>
        <w:spacing w:before="480" w:after="480"/>
        <w:ind w:left="0" w:right="0"/>
        <w:jc w:val="center"/>
      </w:pPr>
      <w:r>
        <w:rPr>
          <w:rFonts w:ascii="Arial" w:cs="Arial" w:eastAsia="Arial" w:hAnsi="Arial"/>
          <w:b/>
          <w:bCs/>
          <w:color w:val="FFFFFF"/>
          <w:sz w:val="38"/>
          <w:szCs w:val="38"/>
        </w:rPr>
        <w:t xml:space="preserve">SECTION 4: PHARMACOLOGY &amp; TOXICOLOGY</w:t>
      </w:r>
    </w:p>
    <w:p>
      <w:pPr>
        <w:pStyle w:val="Heading1"/>
        <w:shd w:fill="1B3A6B" w:val="clear"/>
        <w:spacing w:before="360" w:after="120"/>
        <w:ind w:left="200" w:right="200"/>
      </w:pPr>
      <w:r>
        <w:rPr>
          <w:rFonts w:ascii="Arial" w:cs="Arial" w:eastAsia="Arial" w:hAnsi="Arial"/>
          <w:b/>
          <w:bCs/>
          <w:color w:val="FFFFFF"/>
          <w:sz w:val="32"/>
          <w:szCs w:val="32"/>
        </w:rPr>
        <w:t xml:space="preserve">4. Pharmacology and Toxicology Section — 21 CFR 312.23(a)(8)</w:t>
      </w:r>
    </w:p>
    <w:p>
      <w:pPr>
        <w:spacing w:before="60" w:after="100" w:line="276" w:lineRule="auto"/>
        <w:jc w:val="left"/>
      </w:pPr>
      <w:r>
        <w:rPr>
          <w:rFonts w:ascii="Arial" w:cs="Arial" w:eastAsia="Arial" w:hAnsi="Arial"/>
          <w:b w:val="false"/>
          <w:bCs w:val="false"/>
          <w:i w:val="false"/>
          <w:iCs w:val="false"/>
          <w:color w:val="000000"/>
          <w:sz w:val="22"/>
          <w:szCs w:val="22"/>
        </w:rPr>
        <w:t xml:space="preserve">This section presents an integrated summary of the nonclinical pharmacology, pharmacokinetic, and toxicology data generated in support of the first-in-human (FIH) study of Cervimab. All pivotal studies were conducted in compliance with Good Laboratory Practice (GLP) regulations (21 CFR Part 58) unless otherwise stated. Non-GLP exploratory studies are clearly labeled.</w:t>
      </w:r>
    </w:p>
    <w:p>
      <w:pPr>
        <w:pStyle w:val="Heading2"/>
        <w:pBdr>
          <w:bottom w:val="single" w:color="2E5FAC" w:sz="6"/>
        </w:pBdr>
        <w:spacing w:before="280" w:after="100"/>
      </w:pPr>
      <w:r>
        <w:rPr>
          <w:rFonts w:ascii="Arial" w:cs="Arial" w:eastAsia="Arial" w:hAnsi="Arial"/>
          <w:b/>
          <w:bCs/>
          <w:color w:val="1B3A6B"/>
          <w:sz w:val="26"/>
          <w:szCs w:val="26"/>
        </w:rPr>
        <w:t xml:space="preserve">4.1  Primary Pharmacology</w:t>
      </w:r>
    </w:p>
    <w:p>
      <w:pPr>
        <w:pStyle w:val="Heading3"/>
        <w:spacing w:before="200" w:after="80"/>
      </w:pPr>
      <w:r>
        <w:rPr>
          <w:rFonts w:ascii="Arial" w:cs="Arial" w:eastAsia="Arial" w:hAnsi="Arial"/>
          <w:b/>
          <w:bCs/>
          <w:color w:val="2E5FAC"/>
          <w:sz w:val="24"/>
          <w:szCs w:val="24"/>
        </w:rPr>
        <w:t xml:space="preserve">4.1.1  Mechanism of Action — Molecular and Cellular Basis</w:t>
      </w:r>
    </w:p>
    <w:p>
      <w:pPr>
        <w:spacing w:before="60" w:after="100" w:line="276" w:lineRule="auto"/>
        <w:jc w:val="left"/>
      </w:pPr>
      <w:r>
        <w:rPr>
          <w:rFonts w:ascii="Arial" w:cs="Arial" w:eastAsia="Arial" w:hAnsi="Arial"/>
          <w:b w:val="false"/>
          <w:bCs w:val="false"/>
          <w:i w:val="false"/>
          <w:iCs w:val="false"/>
          <w:color w:val="000000"/>
          <w:sz w:val="22"/>
          <w:szCs w:val="22"/>
        </w:rPr>
        <w:t xml:space="preserve">PD-1 is expressed on the surface of activated T lymphocytes, regulatory T cells (Tregs), natural killer (NK) cells, B cells, and monocytes following activation. The PD-1 intracellular domain contains two tyrosine-based motifs: the immunoreceptor tyrosine-based inhibitory motif (ITIM) and immunoreceptor tyrosine-based switch motif (ITSM). Upon PD-L1/PD-L2 engagement, Src-family kinase-mediated phosphorylation of ITSM recruits SHP-1/SHP-2 phosphatases which dephosphorylate ZAP-70 and CD28, attenuating TCR-downstream signaling (PI3K/AKT, RAS/MAPK, PLCγ/PKCθ pathways) and suppressing T-cell proliferation, cytokine production, and cytolytic function.</w:t>
      </w:r>
    </w:p>
    <w:p>
      <w:pPr>
        <w:spacing w:before="60" w:after="100" w:line="276" w:lineRule="auto"/>
        <w:jc w:val="left"/>
      </w:pPr>
      <w:r>
        <w:rPr>
          <w:rFonts w:ascii="Arial" w:cs="Arial" w:eastAsia="Arial" w:hAnsi="Arial"/>
          <w:b w:val="false"/>
          <w:bCs w:val="false"/>
          <w:i w:val="false"/>
          <w:iCs w:val="false"/>
          <w:color w:val="000000"/>
          <w:sz w:val="22"/>
          <w:szCs w:val="22"/>
        </w:rPr>
        <w:t xml:space="preserve">Cervimab blocks the PD-1 extracellular domain at the C'D loop and FG loop interface — the region directly involved in PD-L1/PD-L2 docking — as confirmed by competitive binding ELISA and epitope mapping via hydrogen-deuterium exchange mass spectrometry (HDX-MS). Blockade prevents PD-1 signaling and restores effector T-cell function in vitro and in vivo.</w:t>
      </w:r>
    </w:p>
    <w:p>
      <w:pPr>
        <w:pStyle w:val="Heading3"/>
        <w:spacing w:before="200" w:after="80"/>
      </w:pPr>
      <w:r>
        <w:rPr>
          <w:rFonts w:ascii="Arial" w:cs="Arial" w:eastAsia="Arial" w:hAnsi="Arial"/>
          <w:b/>
          <w:bCs/>
          <w:color w:val="2E5FAC"/>
          <w:sz w:val="24"/>
          <w:szCs w:val="24"/>
        </w:rPr>
        <w:t xml:space="preserve">4.1.2  Comprehensive In Vitro Pharmacology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360"/>
        <w:gridCol w:w="1200"/>
      </w:tblGrid>
      <w:tr>
        <w:trPr>
          <w:tblHeader/>
        </w:trPr>
        <w:tc>
          <w:tcPr>
            <w:tcW w:type="dxa" w:w="24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Assay</w:t>
            </w:r>
          </w:p>
        </w:tc>
        <w:tc>
          <w:tcPr>
            <w:tcW w:type="dxa" w:w="24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Model/System</w:t>
            </w:r>
          </w:p>
        </w:tc>
        <w:tc>
          <w:tcPr>
            <w:tcW w:type="dxa" w:w="33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Result</w:t>
            </w:r>
          </w:p>
        </w:tc>
        <w:tc>
          <w:tcPr>
            <w:tcW w:type="dxa" w:w="12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GLP Status</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PD-1 Binding (SPR)</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Recombinant human PD-1-His (Biacore T200)</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KD = 0.82 nM; kon = 1.8×10⁵ M⁻¹s⁻¹; koff = 1.5×10⁻⁴ s⁻¹</w:t>
            </w:r>
          </w:p>
        </w:tc>
        <w:tc>
          <w:tcPr>
            <w:tcW w:type="dxa" w:w="1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Non-GLP</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Cyno PD-1 Binding (SPR)</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Recombinant cyno PD-1-His</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KD = 1.14 nM — confirms relevant tox species</w:t>
            </w:r>
          </w:p>
        </w:tc>
        <w:tc>
          <w:tcPr>
            <w:tcW w:type="dxa" w:w="1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Non-GLP</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PD-L1 Blocking (HTRF)</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Jurkat PD-1 reporter + CHO-PD-L1</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IC50 = 2.3 nM</w:t>
            </w:r>
          </w:p>
        </w:tc>
        <w:tc>
          <w:tcPr>
            <w:tcW w:type="dxa" w:w="1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Non-GLP</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PD-L2 Blocking (HTRF)</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Jurkat PD-1 reporter + CHO-PD-L2</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IC50 = 3.1 nM</w:t>
            </w:r>
          </w:p>
        </w:tc>
        <w:tc>
          <w:tcPr>
            <w:tcW w:type="dxa" w:w="1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Non-GLP</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MLR IL-2</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Allogeneic DC/CD4+ T-cell MLR, 6 donors</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EC50 = 1.8 nM; Emax = 4.3× vs. isotype</w:t>
            </w:r>
          </w:p>
        </w:tc>
        <w:tc>
          <w:tcPr>
            <w:tcW w:type="dxa" w:w="1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Non-GLP</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MLR IFN-γ</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Allogeneic DC/CD8+ T-cell MLR, 6 donors</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EC50 = 2.4 nM; Emax = 5.1× vs. isotype</w:t>
            </w:r>
          </w:p>
        </w:tc>
        <w:tc>
          <w:tcPr>
            <w:tcW w:type="dxa" w:w="1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Non-GLP</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T-cell Proliferation</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Anti-CD3/CD28 PBMC; Ki-67 flow cytometry</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Dose-dependent ↑ CD8+ and CD4+ Ki-67+ cells</w:t>
            </w:r>
          </w:p>
        </w:tc>
        <w:tc>
          <w:tcPr>
            <w:tcW w:type="dxa" w:w="1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Non-GLP</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Cytokine Release Assay</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Normal human PBMC, n=8 donors, immobilized Ab</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clinically relevant CRS risk at 1–100 µg/mL</w:t>
            </w:r>
          </w:p>
        </w:tc>
        <w:tc>
          <w:tcPr>
            <w:tcW w:type="dxa" w:w="1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GLP</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Selectivity Panel (85 targets)</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SPR panel; FACS binding panel</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off-target binding detected (KD &gt;1 µM for all)</w:t>
            </w:r>
          </w:p>
        </w:tc>
        <w:tc>
          <w:tcPr>
            <w:tcW w:type="dxa" w:w="1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Non-GLP</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ADCC (FcγRIIIa reporter)</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Jurkat-CD16 effector + CHO-PD-1 target</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Minimal ADCC (IgG4 isotype — expected)</w:t>
            </w:r>
          </w:p>
        </w:tc>
        <w:tc>
          <w:tcPr>
            <w:tcW w:type="dxa" w:w="1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Non-GLP</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CDC</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PD-1+ Raji cells + human complement</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complement activation detected</w:t>
            </w:r>
          </w:p>
        </w:tc>
        <w:tc>
          <w:tcPr>
            <w:tcW w:type="dxa" w:w="1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Non-GLP</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Tissue Cross-Reactivity (TCR)</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37-tissue human panel (IHC, GLP)</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Binding in lymphoid tissues only (PD-1 expression) — expected</w:t>
            </w:r>
          </w:p>
        </w:tc>
        <w:tc>
          <w:tcPr>
            <w:tcW w:type="dxa" w:w="1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GLP</w:t>
            </w:r>
          </w:p>
        </w:tc>
      </w:tr>
    </w:tbl>
    <w:p>
      <w:pPr>
        <w:pStyle w:val="Heading3"/>
        <w:spacing w:before="200" w:after="80"/>
      </w:pPr>
      <w:r>
        <w:rPr>
          <w:rFonts w:ascii="Arial" w:cs="Arial" w:eastAsia="Arial" w:hAnsi="Arial"/>
          <w:b/>
          <w:bCs/>
          <w:color w:val="2E5FAC"/>
          <w:sz w:val="24"/>
          <w:szCs w:val="24"/>
        </w:rPr>
        <w:t xml:space="preserve">4.1.3  In Vivo Pharmacology — Syngeneic Tumor Models (Non-GLP)</w:t>
      </w:r>
    </w:p>
    <w:p>
      <w:pPr>
        <w:spacing w:before="60" w:after="100" w:line="276" w:lineRule="auto"/>
        <w:jc w:val="left"/>
      </w:pPr>
      <w:r>
        <w:rPr>
          <w:rFonts w:ascii="Arial" w:cs="Arial" w:eastAsia="Arial" w:hAnsi="Arial"/>
          <w:b w:val="false"/>
          <w:bCs w:val="false"/>
          <w:i w:val="false"/>
          <w:iCs w:val="false"/>
          <w:color w:val="000000"/>
          <w:sz w:val="22"/>
          <w:szCs w:val="22"/>
        </w:rPr>
        <w:t xml:space="preserve">Due to lack of murine cross-reactivity, a validated surrogate anti-mouse PD-1 antibody (clone RMP1-14) was utilized as a pharmacological proxy. These studies established dose-response relationships and immunological biomarker profiles relevant to clinical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800"/>
        <w:gridCol w:w="2160"/>
        <w:gridCol w:w="4560"/>
      </w:tblGrid>
      <w:tr>
        <w:trPr>
          <w:tblHeader/>
        </w:trPr>
        <w:tc>
          <w:tcPr>
            <w:tcW w:type="dxa" w:w="84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Study</w:t>
            </w:r>
          </w:p>
        </w:tc>
        <w:tc>
          <w:tcPr>
            <w:tcW w:type="dxa" w:w="18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Model</w:t>
            </w:r>
          </w:p>
        </w:tc>
        <w:tc>
          <w:tcPr>
            <w:tcW w:type="dxa" w:w="21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Treatment</w:t>
            </w:r>
          </w:p>
        </w:tc>
        <w:tc>
          <w:tcPr>
            <w:tcW w:type="dxa" w:w="45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Key Finding</w:t>
            </w:r>
          </w:p>
        </w:tc>
      </w:tr>
      <w:tr>
        <w:tc>
          <w:tcPr>
            <w:tcW w:type="dxa" w:w="8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PK-001</w:t>
            </w:r>
          </w:p>
        </w:tc>
        <w:tc>
          <w:tcPr>
            <w:tcW w:type="dxa" w:w="18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C57BL/6 CT26-dMMR</w:t>
            </w:r>
          </w:p>
        </w:tc>
        <w:tc>
          <w:tcPr>
            <w:tcW w:type="dxa" w:w="21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3, 10, 30 mg/kg IP Q3D ×5</w:t>
            </w:r>
          </w:p>
        </w:tc>
        <w:tc>
          <w:tcPr>
            <w:tcW w:type="dxa" w:w="45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TGI: 61%, 87%, 89% vs. isotype (p&lt;0.001); 3/10 CR at 10 mg/kg</w:t>
            </w:r>
          </w:p>
        </w:tc>
      </w:tr>
      <w:tr>
        <w:tc>
          <w:tcPr>
            <w:tcW w:type="dxa" w:w="8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PK-002</w:t>
            </w:r>
          </w:p>
        </w:tc>
        <w:tc>
          <w:tcPr>
            <w:tcW w:type="dxa" w:w="18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C57BL/6 MC38 (MSS)</w:t>
            </w:r>
          </w:p>
        </w:tc>
        <w:tc>
          <w:tcPr>
            <w:tcW w:type="dxa" w:w="21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 mg/kg IP Q3D ×5</w:t>
            </w:r>
          </w:p>
        </w:tc>
        <w:tc>
          <w:tcPr>
            <w:tcW w:type="dxa" w:w="45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TGI: 28% (p=0.04) — lower sensitivity vs. dMMR, as expected</w:t>
            </w:r>
          </w:p>
        </w:tc>
      </w:tr>
      <w:tr>
        <w:tc>
          <w:tcPr>
            <w:tcW w:type="dxa" w:w="8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PK-003</w:t>
            </w:r>
          </w:p>
        </w:tc>
        <w:tc>
          <w:tcPr>
            <w:tcW w:type="dxa" w:w="18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Re-challenge (CR mice)</w:t>
            </w:r>
          </w:p>
        </w:tc>
        <w:tc>
          <w:tcPr>
            <w:tcW w:type="dxa" w:w="21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CT26-dMMR re-injection Day 60</w:t>
            </w:r>
          </w:p>
        </w:tc>
        <w:tc>
          <w:tcPr>
            <w:tcW w:type="dxa" w:w="45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5/5 CR mice rejected tumor; 0/5 naïve control rejected — immune memory confirmed</w:t>
            </w:r>
          </w:p>
        </w:tc>
      </w:tr>
      <w:tr>
        <w:tc>
          <w:tcPr>
            <w:tcW w:type="dxa" w:w="8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PK-004</w:t>
            </w:r>
          </w:p>
        </w:tc>
        <w:tc>
          <w:tcPr>
            <w:tcW w:type="dxa" w:w="18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CT26-dMMR</w:t>
            </w:r>
          </w:p>
        </w:tc>
        <w:tc>
          <w:tcPr>
            <w:tcW w:type="dxa" w:w="21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Combo w/ mFOLFOX6 (subtherapeutic)</w:t>
            </w:r>
          </w:p>
        </w:tc>
        <w:tc>
          <w:tcPr>
            <w:tcW w:type="dxa" w:w="45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Synergistic TGI (91%) vs. either arm alone (43%, 62%); rational for chemo combo in clinic</w:t>
            </w:r>
          </w:p>
        </w:tc>
      </w:tr>
      <w:tr>
        <w:tc>
          <w:tcPr>
            <w:tcW w:type="dxa" w:w="8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PK-005</w:t>
            </w:r>
          </w:p>
        </w:tc>
        <w:tc>
          <w:tcPr>
            <w:tcW w:type="dxa" w:w="18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CT26-dMMR, IHC panel</w:t>
            </w:r>
          </w:p>
        </w:tc>
        <w:tc>
          <w:tcPr>
            <w:tcW w:type="dxa" w:w="21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 mg/kg at Day 7, 14, 21</w:t>
            </w:r>
          </w:p>
        </w:tc>
        <w:tc>
          <w:tcPr>
            <w:tcW w:type="dxa" w:w="45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 CD8+ TIL (4.8×), ↑ granzyme B, ↓ FoxP3+ Tregs, ↑ PD-L1 upregulation (adaptive resistance)</w:t>
            </w:r>
          </w:p>
        </w:tc>
      </w:tr>
    </w:tbl>
    <w:p>
      <w:pPr>
        <w:pStyle w:val="Heading2"/>
        <w:pBdr>
          <w:bottom w:val="single" w:color="2E5FAC" w:sz="6"/>
        </w:pBdr>
        <w:spacing w:before="280" w:after="100"/>
      </w:pPr>
      <w:r>
        <w:rPr>
          <w:rFonts w:ascii="Arial" w:cs="Arial" w:eastAsia="Arial" w:hAnsi="Arial"/>
          <w:b/>
          <w:bCs/>
          <w:color w:val="1B3A6B"/>
          <w:sz w:val="26"/>
          <w:szCs w:val="26"/>
        </w:rPr>
        <w:t xml:space="preserve">4.2  Secondary and Safety Pharmacology</w:t>
      </w:r>
    </w:p>
    <w:p>
      <w:pPr>
        <w:pStyle w:val="Heading3"/>
        <w:spacing w:before="200" w:after="80"/>
      </w:pPr>
      <w:r>
        <w:rPr>
          <w:rFonts w:ascii="Arial" w:cs="Arial" w:eastAsia="Arial" w:hAnsi="Arial"/>
          <w:b/>
          <w:bCs/>
          <w:color w:val="2E5FAC"/>
          <w:sz w:val="24"/>
          <w:szCs w:val="24"/>
        </w:rPr>
        <w:t xml:space="preserve">4.2.1  CNS Safety Pharmacology — Irwin Battery (Non-GLP)</w:t>
      </w:r>
    </w:p>
    <w:p>
      <w:pPr>
        <w:spacing w:before="60" w:after="100" w:line="276" w:lineRule="auto"/>
        <w:jc w:val="left"/>
      </w:pPr>
      <w:r>
        <w:rPr>
          <w:rFonts w:ascii="Arial" w:cs="Arial" w:eastAsia="Arial" w:hAnsi="Arial"/>
          <w:b w:val="false"/>
          <w:bCs w:val="false"/>
          <w:i w:val="false"/>
          <w:iCs w:val="false"/>
          <w:color w:val="000000"/>
          <w:sz w:val="22"/>
          <w:szCs w:val="22"/>
        </w:rPr>
        <w:t xml:space="preserve">A modified Irwin battery was incorporated into the single-dose escalation NHP PK study. No clinically meaningful CNS effects (tremor, ataxia, sedation, convulsions, altered reflexes) were observed at any dose level (5, 25, 100 mg/kg IV) up to 72 hours post-dose.</w:t>
      </w:r>
    </w:p>
    <w:p>
      <w:pPr>
        <w:pStyle w:val="Heading3"/>
        <w:spacing w:before="200" w:after="80"/>
      </w:pPr>
      <w:r>
        <w:rPr>
          <w:rFonts w:ascii="Arial" w:cs="Arial" w:eastAsia="Arial" w:hAnsi="Arial"/>
          <w:b/>
          <w:bCs/>
          <w:color w:val="2E5FAC"/>
          <w:sz w:val="24"/>
          <w:szCs w:val="24"/>
        </w:rPr>
        <w:t xml:space="preserve">4.2.2  Cardiovascular Safety Pharmacology — Telemetry (GLP)</w:t>
      </w:r>
    </w:p>
    <w:p>
      <w:pPr>
        <w:spacing w:before="60" w:after="100" w:line="276" w:lineRule="auto"/>
        <w:jc w:val="left"/>
      </w:pPr>
      <w:r>
        <w:rPr>
          <w:rFonts w:ascii="Arial" w:cs="Arial" w:eastAsia="Arial" w:hAnsi="Arial"/>
          <w:b w:val="false"/>
          <w:bCs w:val="false"/>
          <w:i w:val="false"/>
          <w:iCs w:val="false"/>
          <w:color w:val="000000"/>
          <w:sz w:val="22"/>
          <w:szCs w:val="22"/>
        </w:rPr>
        <w:t xml:space="preserve">Cardiovascular safety was assessed in telemetered cynomolgus monkeys (n=4/sex) receiving single IV doses of Cervimab at 0, 5, 50, and 150 mg/kg. Continuous ECG, heart rate, blood pressure, and body temperature were monitored for 48 hours post-dose. No drug-related effects on QTc interval (ΔQTcF &lt;5 ms at all doses), heart rate, systolic/diastolic BP, or body temperature were observed. Findings are consistent with the expected pharmacological activity of a non-FcγR-engaging IgG4 antibody.</w:t>
      </w:r>
    </w:p>
    <w:p>
      <w:pPr>
        <w:pStyle w:val="Heading3"/>
        <w:spacing w:before="200" w:after="80"/>
      </w:pPr>
      <w:r>
        <w:rPr>
          <w:rFonts w:ascii="Arial" w:cs="Arial" w:eastAsia="Arial" w:hAnsi="Arial"/>
          <w:b/>
          <w:bCs/>
          <w:color w:val="2E5FAC"/>
          <w:sz w:val="24"/>
          <w:szCs w:val="24"/>
        </w:rPr>
        <w:t xml:space="preserve">4.2.3  Respiratory Safety Pharmacology</w:t>
      </w:r>
    </w:p>
    <w:p>
      <w:pPr>
        <w:spacing w:before="60" w:after="100" w:line="276" w:lineRule="auto"/>
        <w:jc w:val="left"/>
      </w:pPr>
      <w:r>
        <w:rPr>
          <w:rFonts w:ascii="Arial" w:cs="Arial" w:eastAsia="Arial" w:hAnsi="Arial"/>
          <w:b w:val="false"/>
          <w:bCs w:val="false"/>
          <w:i w:val="false"/>
          <w:iCs w:val="false"/>
          <w:color w:val="000000"/>
          <w:sz w:val="22"/>
          <w:szCs w:val="22"/>
        </w:rPr>
        <w:t xml:space="preserve">Respiratory rate and tidal volume were assessed in the NHP GLP toxicology study. No drug-related respiratory effects were observed. A plethysmography study was not conducted; this is considered acceptable per ICH S7A guidance for large molecules with demonstrated lack of respiratory toxicity in the toxicology program.</w:t>
      </w:r>
    </w:p>
    <w:p>
      <w:pPr>
        <w:pStyle w:val="Heading2"/>
        <w:pBdr>
          <w:bottom w:val="single" w:color="2E5FAC" w:sz="6"/>
        </w:pBdr>
        <w:spacing w:before="280" w:after="100"/>
      </w:pPr>
      <w:r>
        <w:rPr>
          <w:rFonts w:ascii="Arial" w:cs="Arial" w:eastAsia="Arial" w:hAnsi="Arial"/>
          <w:b/>
          <w:bCs/>
          <w:color w:val="1B3A6B"/>
          <w:sz w:val="26"/>
          <w:szCs w:val="26"/>
        </w:rPr>
        <w:t xml:space="preserve">4.3  Pharmacokinetics and Drug Metabolism</w:t>
      </w:r>
    </w:p>
    <w:p>
      <w:pPr>
        <w:pStyle w:val="Heading3"/>
        <w:spacing w:before="200" w:after="80"/>
      </w:pPr>
      <w:r>
        <w:rPr>
          <w:rFonts w:ascii="Arial" w:cs="Arial" w:eastAsia="Arial" w:hAnsi="Arial"/>
          <w:b/>
          <w:bCs/>
          <w:color w:val="2E5FAC"/>
          <w:sz w:val="24"/>
          <w:szCs w:val="24"/>
        </w:rPr>
        <w:t xml:space="preserve">4.3.1  Single-Dose IV PK — Cynomolgus Monkey (Non-GLP)</w:t>
      </w:r>
    </w:p>
    <w:p>
      <w:pPr>
        <w:spacing w:before="60" w:after="100" w:line="276" w:lineRule="auto"/>
        <w:jc w:val="left"/>
      </w:pPr>
      <w:r>
        <w:rPr>
          <w:rFonts w:ascii="Arial" w:cs="Arial" w:eastAsia="Arial" w:hAnsi="Arial"/>
          <w:b w:val="false"/>
          <w:bCs w:val="false"/>
          <w:i w:val="false"/>
          <w:iCs w:val="false"/>
          <w:color w:val="000000"/>
          <w:sz w:val="22"/>
          <w:szCs w:val="22"/>
        </w:rPr>
        <w:t xml:space="preserve">Non-compartmental analysis (NCA) of serum PK profiles from a 3-dose group NHP single-dose study confirmed linear, dose-proportional PK in the 0.5–25 mg/kg range. Mean half-life of 14–17 days is consistent with typical IgG4 FcRn-recycling kinetics. Low volume of distribution (~70 mL/kg) is consistent with restriction to vascular/lymphatic compartments.</w:t>
      </w:r>
    </w:p>
    <w:p>
      <w:pPr>
        <w:pStyle w:val="Heading3"/>
        <w:spacing w:before="200" w:after="80"/>
      </w:pPr>
      <w:r>
        <w:rPr>
          <w:rFonts w:ascii="Arial" w:cs="Arial" w:eastAsia="Arial" w:hAnsi="Arial"/>
          <w:b/>
          <w:bCs/>
          <w:color w:val="2E5FAC"/>
          <w:sz w:val="24"/>
          <w:szCs w:val="24"/>
        </w:rPr>
        <w:t xml:space="preserve">4.3.2  Repeat-Dose PK — 4-Week GLP NHP Study</w:t>
      </w:r>
    </w:p>
    <w:p>
      <w:pPr>
        <w:spacing w:before="60" w:after="100" w:line="276" w:lineRule="auto"/>
        <w:jc w:val="left"/>
      </w:pPr>
      <w:r>
        <w:rPr>
          <w:rFonts w:ascii="Arial" w:cs="Arial" w:eastAsia="Arial" w:hAnsi="Arial"/>
          <w:b w:val="false"/>
          <w:bCs w:val="false"/>
          <w:i w:val="false"/>
          <w:iCs w:val="false"/>
          <w:color w:val="000000"/>
          <w:sz w:val="22"/>
          <w:szCs w:val="22"/>
        </w:rPr>
        <w:t xml:space="preserve">Serum PK samples were collected pre-dose and at defined timepoints throughout the 4-week GLP toxicology study. Cervimab showed dose-proportional exposure (Cmax and AUC) at 10, 50, and 150 mg/kg/week. Accumulation ratio (Day 28/Day 1 AUC) was 2.8–3.2-fold, consistent with the predicted accumulation based on t½ and Q1W dosing frequency. No apparent target-mediated drug disposition was observed. ADA incidence was 0% across all groups and timepoints.</w:t>
      </w:r>
    </w:p>
    <w:p>
      <w:pPr>
        <w:pStyle w:val="Heading3"/>
        <w:spacing w:before="200" w:after="80"/>
      </w:pPr>
      <w:r>
        <w:rPr>
          <w:rFonts w:ascii="Arial" w:cs="Arial" w:eastAsia="Arial" w:hAnsi="Arial"/>
          <w:b/>
          <w:bCs/>
          <w:color w:val="2E5FAC"/>
          <w:sz w:val="24"/>
          <w:szCs w:val="24"/>
        </w:rPr>
        <w:t xml:space="preserve">4.3.3  Distribution and Metabolism</w:t>
      </w:r>
    </w:p>
    <w:p>
      <w:pPr>
        <w:spacing w:before="60" w:after="100" w:line="276" w:lineRule="auto"/>
        <w:jc w:val="left"/>
      </w:pPr>
      <w:r>
        <w:rPr>
          <w:rFonts w:ascii="Arial" w:cs="Arial" w:eastAsia="Arial" w:hAnsi="Arial"/>
          <w:b w:val="false"/>
          <w:bCs w:val="false"/>
          <w:i w:val="false"/>
          <w:iCs w:val="false"/>
          <w:color w:val="000000"/>
          <w:sz w:val="22"/>
          <w:szCs w:val="22"/>
        </w:rPr>
        <w:t xml:space="preserve">As a therapeutic IgG4 monoclonal antibody, Cervimab is expected to be distributed primarily in blood and lymphatic tissues. Tissue distribution studies were not conducted but are considered not required at this stage per ICH S6(R1). Catabolism follows physiological proteolysis of IgG molecules to amino acids and peptides. No dedicated metabolism studies (CYP, DDI) are required for biologics per FDA/ICH guidance. Drug-drug interaction potential via CYP enzymes is considered negligible.</w:t>
      </w:r>
    </w:p>
    <w:p>
      <w:pPr>
        <w:pStyle w:val="Heading3"/>
        <w:spacing w:before="200" w:after="80"/>
      </w:pPr>
      <w:r>
        <w:rPr>
          <w:rFonts w:ascii="Arial" w:cs="Arial" w:eastAsia="Arial" w:hAnsi="Arial"/>
          <w:b/>
          <w:bCs/>
          <w:color w:val="2E5FAC"/>
          <w:sz w:val="24"/>
          <w:szCs w:val="24"/>
        </w:rPr>
        <w:t xml:space="preserve">4.3.4  Allometric Scaling and Human PK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rPr>
          <w:tblHeader/>
        </w:trPr>
        <w:tc>
          <w:tcPr>
            <w:tcW w:type="dxa" w:w="26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PK Parameter</w:t>
            </w:r>
          </w:p>
        </w:tc>
        <w:tc>
          <w:tcPr>
            <w:tcW w:type="dxa" w:w="24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Cynomolgus Monkey (Observed)</w:t>
            </w:r>
          </w:p>
        </w:tc>
        <w:tc>
          <w:tcPr>
            <w:tcW w:type="dxa" w:w="24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Human (Predicted)</w:t>
            </w:r>
          </w:p>
        </w:tc>
        <w:tc>
          <w:tcPr>
            <w:tcW w:type="dxa" w:w="19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Prediction Method</w:t>
            </w:r>
          </w:p>
        </w:tc>
      </w:tr>
      <w:tr>
        <w:tc>
          <w:tcPr>
            <w:tcW w:type="dxa" w:w="2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t½</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16.8 days</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22–28 days</w:t>
            </w:r>
          </w:p>
        </w:tc>
        <w:tc>
          <w:tcPr>
            <w:tcW w:type="dxa" w:w="1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Fixed-exponent allometric scaling (b=0.85)</w:t>
            </w:r>
          </w:p>
        </w:tc>
      </w:tr>
      <w:tr>
        <w:tc>
          <w:tcPr>
            <w:tcW w:type="dxa" w:w="26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CL</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2.3 mL/day/kg</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0.18–0.24 mL/day/kg</w:t>
            </w:r>
          </w:p>
        </w:tc>
        <w:tc>
          <w:tcPr>
            <w:tcW w:type="dxa" w:w="1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Allometric scaling; FcRn correction</w:t>
            </w:r>
          </w:p>
        </w:tc>
      </w:tr>
      <w:tr>
        <w:tc>
          <w:tcPr>
            <w:tcW w:type="dxa" w:w="2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Vss</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71 mL/kg</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60–80 mL/kg</w:t>
            </w:r>
          </w:p>
        </w:tc>
        <w:tc>
          <w:tcPr>
            <w:tcW w:type="dxa" w:w="1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Direct scaling (plasma + interstitial volumes)</w:t>
            </w:r>
          </w:p>
        </w:tc>
      </w:tr>
      <w:tr>
        <w:tc>
          <w:tcPr>
            <w:tcW w:type="dxa" w:w="26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Cmax (1 mg/kg IV)</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18–24 µg/mL</w:t>
            </w:r>
          </w:p>
        </w:tc>
        <w:tc>
          <w:tcPr>
            <w:tcW w:type="dxa" w:w="1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Population PK simulation</w:t>
            </w:r>
          </w:p>
        </w:tc>
      </w:tr>
      <w:tr>
        <w:tc>
          <w:tcPr>
            <w:tcW w:type="dxa" w:w="2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AUC0-tau (1 mg/kg, Q3W)</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w:t>
            </w:r>
          </w:p>
        </w:tc>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1,800–2,200 µg·day/mL</w:t>
            </w:r>
          </w:p>
        </w:tc>
        <w:tc>
          <w:tcPr>
            <w:tcW w:type="dxa" w:w="1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Population PK simulation</w:t>
            </w:r>
          </w:p>
        </w:tc>
      </w:tr>
      <w:tr>
        <w:tc>
          <w:tcPr>
            <w:tcW w:type="dxa" w:w="26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Trough (Ctrough, Q3W SS)</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w:t>
            </w:r>
          </w:p>
        </w:tc>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8–14 µg/mL</w:t>
            </w:r>
          </w:p>
        </w:tc>
        <w:tc>
          <w:tcPr>
            <w:tcW w:type="dxa" w:w="1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Population PK simulation; above PD-1 saturation threshold ~0.5 µg/mL</w:t>
            </w:r>
          </w:p>
        </w:tc>
      </w:tr>
    </w:tbl>
    <w:p>
      <w:pPr>
        <w:pStyle w:val="Heading2"/>
        <w:pBdr>
          <w:bottom w:val="single" w:color="2E5FAC" w:sz="6"/>
        </w:pBdr>
        <w:spacing w:before="280" w:after="100"/>
      </w:pPr>
      <w:r>
        <w:rPr>
          <w:rFonts w:ascii="Arial" w:cs="Arial" w:eastAsia="Arial" w:hAnsi="Arial"/>
          <w:b/>
          <w:bCs/>
          <w:color w:val="1B3A6B"/>
          <w:sz w:val="26"/>
          <w:szCs w:val="26"/>
        </w:rPr>
        <w:t xml:space="preserve">4.4  Toxicology Program</w:t>
      </w:r>
    </w:p>
    <w:p>
      <w:pPr>
        <w:pStyle w:val="Heading3"/>
        <w:spacing w:before="200" w:after="80"/>
      </w:pPr>
      <w:r>
        <w:rPr>
          <w:rFonts w:ascii="Arial" w:cs="Arial" w:eastAsia="Arial" w:hAnsi="Arial"/>
          <w:b/>
          <w:bCs/>
          <w:color w:val="2E5FAC"/>
          <w:sz w:val="24"/>
          <w:szCs w:val="24"/>
        </w:rPr>
        <w:t xml:space="preserve">4.4.1  Species Selection Rationale</w:t>
      </w:r>
    </w:p>
    <w:p>
      <w:pPr>
        <w:spacing w:before="60" w:after="100" w:line="276" w:lineRule="auto"/>
        <w:jc w:val="left"/>
      </w:pPr>
      <w:r>
        <w:rPr>
          <w:rFonts w:ascii="Arial" w:cs="Arial" w:eastAsia="Arial" w:hAnsi="Arial"/>
          <w:b w:val="false"/>
          <w:bCs w:val="false"/>
          <w:i w:val="false"/>
          <w:iCs w:val="false"/>
          <w:color w:val="000000"/>
          <w:sz w:val="22"/>
          <w:szCs w:val="22"/>
        </w:rPr>
        <w:t xml:space="preserve">Cynomolgus monkey (Macaca fascicularis) was selected as the sole toxicology species based on: (1) comparable binding affinity of Cervimab to cynomolgus PD-1 (KD = 1.14 nM) versus human PD-1 (KD = 0.82 nM); (2) high PD-1 sequence homology between cynomolgus and human PD-1 (&gt;96% amino acid identity); (3) confirmation of pharmacological activity (T-cell activation biomarkers) in cynomolgus PBMCs ex vivo; and (4) lack of cross-reactivity with rodent PD-1. Use of a single species is justified per ICH S6(R1) based on pharmacological relevance and is consistent with the regulatory approach accepted for approved PD-1 inhibitors.</w:t>
      </w:r>
    </w:p>
    <w:p>
      <w:pPr>
        <w:pStyle w:val="Heading3"/>
        <w:spacing w:before="200" w:after="80"/>
      </w:pPr>
      <w:r>
        <w:rPr>
          <w:rFonts w:ascii="Arial" w:cs="Arial" w:eastAsia="Arial" w:hAnsi="Arial"/>
          <w:b/>
          <w:bCs/>
          <w:color w:val="2E5FAC"/>
          <w:sz w:val="24"/>
          <w:szCs w:val="24"/>
        </w:rPr>
        <w:t xml:space="preserve">4.4.2  Pivotal 4-Week GLP Repeat-Dose Toxicology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Study Number</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CERV-TOX-001</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GLP Status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Compliant with 21 CFR Part 58</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CRO</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Covance Laboratories, Inc., Madison, WI</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Species</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Cynomolgus Monkey (Macaca fascicularis), sexually mature</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Group Design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Vehicle control (n=4M/4F); 10 mg/kg/wk (n=4M/4F + 2M/2F recovery); 50 mg/kg/wk (n=4M/4F + 2M/2F recovery); 150 mg/kg/wk (n=4M/4F + 2M/2F recovery)</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Route/Frequency</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IV bolus infusion (15 min), once weekly × 4 weeks (5 doses)</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Recovery Period</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4 weeks (recovery cohort)</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NOAEL</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 mg/kg/week IV (5 doses total)</w:t>
            </w:r>
          </w:p>
        </w:tc>
      </w:tr>
    </w:tbl>
    <w:p>
      <w:pPr>
        <w:spacing w:before="60" w:after="100" w:line="276" w:lineRule="auto"/>
        <w:jc w:val="left"/>
      </w:pPr>
      <w:r>
        <w:rPr>
          <w:rFonts w:ascii="Arial" w:cs="Arial" w:eastAsia="Arial" w:hAnsi="Arial"/>
          <w:b w:val="false"/>
          <w:bCs w:val="false"/>
          <w:i w:val="false"/>
          <w:iCs w:val="false"/>
          <w:color w:val="000000"/>
          <w:sz w:val="22"/>
          <w:szCs w:val="22"/>
        </w:rPr>
        <w:t xml:space="preserve">Key observations at NOAEL (10 mg/kg/wk): No adverse findings. Minor T-cell activation in peripheral blood (flow cytometry) consistent with pharmacological activity of PD-1 inhibition. No histopathological changes. Normal organ weights. Full GLP pathology report available in the full nonclinical study report (NSR CERV-TOX-001).</w:t>
      </w:r>
    </w:p>
    <w:p>
      <w:pPr>
        <w:spacing w:before="60" w:after="100" w:line="276" w:lineRule="auto"/>
        <w:jc w:val="left"/>
      </w:pPr>
      <w:r>
        <w:rPr>
          <w:rFonts w:ascii="Arial" w:cs="Arial" w:eastAsia="Arial" w:hAnsi="Arial"/>
          <w:b w:val="false"/>
          <w:bCs w:val="false"/>
          <w:i w:val="false"/>
          <w:iCs w:val="false"/>
          <w:color w:val="000000"/>
          <w:sz w:val="22"/>
          <w:szCs w:val="22"/>
        </w:rPr>
        <w:t xml:space="preserve">Key observations at 50 mg/kg/wk: Lymphoid hyperplasia in spleen and lymph nodes (Grade 1, all animals) at end of treatment; resolved to minimal/absent in recovery animals. Peripheral lymphocytosis and mild eosinophilia. Consistent with immune activation. No adverse organ toxicity. ALT elevations (≤1.5× ULN) noted in 2/4 males; fully reversed at recovery.</w:t>
      </w:r>
    </w:p>
    <w:p>
      <w:pPr>
        <w:spacing w:before="60" w:after="100" w:line="276" w:lineRule="auto"/>
        <w:jc w:val="left"/>
      </w:pPr>
      <w:r>
        <w:rPr>
          <w:rFonts w:ascii="Arial" w:cs="Arial" w:eastAsia="Arial" w:hAnsi="Arial"/>
          <w:b w:val="false"/>
          <w:bCs w:val="false"/>
          <w:i w:val="false"/>
          <w:iCs w:val="false"/>
          <w:color w:val="000000"/>
          <w:sz w:val="22"/>
          <w:szCs w:val="22"/>
        </w:rPr>
        <w:t xml:space="preserve">Key observations at 150 mg/kg/wk: All findings described for 50 mg/kg/wk group, with greater severity. Additionally: mild weight loss (5.2% vs. control, not statistically significant), two animals with transient mild lethargy (Days 8–10, resolved spontaneously), elevated splenic weight (+18%), and Grade 1-2 lymphoid hyperplasia affecting multiple tissues. All findings reversed at recovery. No mortality, no evidence of autoimmune tissue injury.</w:t>
      </w:r>
    </w:p>
    <w:p>
      <w:pPr>
        <w:pStyle w:val="Heading3"/>
        <w:spacing w:before="200" w:after="80"/>
      </w:pPr>
      <w:r>
        <w:rPr>
          <w:rFonts w:ascii="Arial" w:cs="Arial" w:eastAsia="Arial" w:hAnsi="Arial"/>
          <w:b/>
          <w:bCs/>
          <w:color w:val="2E5FAC"/>
          <w:sz w:val="24"/>
          <w:szCs w:val="24"/>
        </w:rPr>
        <w:t xml:space="preserve">4.4.3  Safety Margin Assessment and Starting Dose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Parameter</w:t>
            </w:r>
          </w:p>
        </w:tc>
        <w:tc>
          <w:tcPr>
            <w:tcW w:type="dxa" w:w="28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Value</w:t>
            </w:r>
          </w:p>
        </w:tc>
        <w:tc>
          <w:tcPr>
            <w:tcW w:type="dxa" w:w="33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Basis</w:t>
            </w:r>
          </w:p>
        </w:tc>
      </w:tr>
      <w:tr>
        <w:tc>
          <w:tcPr>
            <w:tcW w:type="dxa" w:w="3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NOAEL (NHP, GLP)</w:t>
            </w:r>
          </w:p>
        </w:tc>
        <w:tc>
          <w:tcPr>
            <w:tcW w:type="dxa" w:w="28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10 mg/kg/week (×5 doses)</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4-week GLP NHP study</w:t>
            </w:r>
          </w:p>
        </w:tc>
      </w:tr>
      <w:tr>
        <w:tc>
          <w:tcPr>
            <w:tcW w:type="dxa" w:w="3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HED (NOAEL)</w:t>
            </w:r>
          </w:p>
        </w:tc>
        <w:tc>
          <w:tcPr>
            <w:tcW w:type="dxa" w:w="28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3.24 mg/kg/week</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ICH S9 body surface area conversion (NHP→human factor: 0.324)</w:t>
            </w:r>
          </w:p>
        </w:tc>
      </w:tr>
      <w:tr>
        <w:tc>
          <w:tcPr>
            <w:tcW w:type="dxa" w:w="3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Proposed Starting Dose</w:t>
            </w:r>
          </w:p>
        </w:tc>
        <w:tc>
          <w:tcPr>
            <w:tcW w:type="dxa" w:w="28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 mg/kg Q3W (= 0.33 mg/kg/week)</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FDA Phase I design; conservative</w:t>
            </w:r>
          </w:p>
        </w:tc>
      </w:tr>
      <w:tr>
        <w:tc>
          <w:tcPr>
            <w:tcW w:type="dxa" w:w="3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Safety Factor (NOAEL-HED / Starting dose)</w:t>
            </w:r>
          </w:p>
        </w:tc>
        <w:tc>
          <w:tcPr>
            <w:tcW w:type="dxa" w:w="28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~9.8-fold (vs. HED/week)</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Exceeds minimum 10× factor per FDA guidance for oncology</w:t>
            </w:r>
          </w:p>
        </w:tc>
      </w:tr>
      <w:tr>
        <w:tc>
          <w:tcPr>
            <w:tcW w:type="dxa" w:w="32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Therapeutic Dose (est.)</w:t>
            </w:r>
          </w:p>
        </w:tc>
        <w:tc>
          <w:tcPr>
            <w:tcW w:type="dxa" w:w="28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3–10 mg/kg Q3W (Cohorts 2–5)</w:t>
            </w:r>
          </w:p>
        </w:tc>
        <w:tc>
          <w:tcPr>
            <w:tcW w:type="dxa" w:w="33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Based on PK/PD modeling; PD-1 saturation target</w:t>
            </w:r>
          </w:p>
        </w:tc>
      </w:tr>
      <w:tr>
        <w:tc>
          <w:tcPr>
            <w:tcW w:type="dxa" w:w="32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Safety Factor at MTD est.</w:t>
            </w:r>
          </w:p>
        </w:tc>
        <w:tc>
          <w:tcPr>
            <w:tcW w:type="dxa" w:w="28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&gt;4-fold</w:t>
            </w:r>
          </w:p>
        </w:tc>
        <w:tc>
          <w:tcPr>
            <w:tcW w:type="dxa" w:w="33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Conservative estimate based on NHP NOAEL</w:t>
            </w:r>
          </w:p>
        </w:tc>
      </w:tr>
    </w:tbl>
    <w:p>
      <w:pPr>
        <w:pBdr>
          <w:left w:val="single" w:color="C0392B" w:sz="12"/>
        </w:pBdr>
        <w:shd w:fill="FFF3F3" w:val="clear"/>
        <w:spacing w:before="60" w:after="60"/>
        <w:ind w:left="360"/>
      </w:pPr>
      <w:r>
        <w:rPr>
          <w:rFonts w:ascii="Arial" w:cs="Arial" w:eastAsia="Arial" w:hAnsi="Arial"/>
          <w:b/>
          <w:bCs/>
          <w:color w:val="C0392B"/>
          <w:sz w:val="20"/>
          <w:szCs w:val="20"/>
        </w:rPr>
        <w:t xml:space="preserve">NOTE: </w:t>
      </w:r>
      <w:r>
        <w:rPr>
          <w:rFonts w:ascii="Arial" w:cs="Arial" w:eastAsia="Arial" w:hAnsi="Arial"/>
          <w:i/>
          <w:iCs/>
          <w:color w:val="4A4A4A"/>
          <w:sz w:val="20"/>
          <w:szCs w:val="20"/>
        </w:rPr>
        <w:t xml:space="preserve">The FDA-recommended approach for first-in-human oncology biologics (FDA Draft Guidance, Estimating Maximum Safe Starting Dose, 2005; ICH S9) supports the proposed 1 mg/kg Q3W starting dose based on the NOAEL-HED with appropriate safety factor.</w:t>
      </w:r>
    </w:p>
    <w:p>
      <w:pPr>
        <w:pStyle w:val="Heading3"/>
        <w:spacing w:before="200" w:after="80"/>
      </w:pPr>
      <w:r>
        <w:rPr>
          <w:rFonts w:ascii="Arial" w:cs="Arial" w:eastAsia="Arial" w:hAnsi="Arial"/>
          <w:b/>
          <w:bCs/>
          <w:color w:val="2E5FAC"/>
          <w:sz w:val="24"/>
          <w:szCs w:val="24"/>
        </w:rPr>
        <w:t xml:space="preserve">4.4.4  Additional Nonclinical Toxicology Studies</w:t>
      </w:r>
    </w:p>
    <w:p>
      <w:pPr>
        <w:spacing w:before="60" w:after="100" w:line="276" w:lineRule="auto"/>
        <w:jc w:val="left"/>
      </w:pPr>
      <w:r>
        <w:rPr>
          <w:rFonts w:ascii="Arial" w:cs="Arial" w:eastAsia="Arial" w:hAnsi="Arial"/>
          <w:b w:val="false"/>
          <w:bCs w:val="false"/>
          <w:i w:val="false"/>
          <w:iCs w:val="false"/>
          <w:color w:val="000000"/>
          <w:sz w:val="22"/>
          <w:szCs w:val="22"/>
        </w:rPr>
        <w:t xml:space="preserve">Genotoxicity: Not applicable for biological products (humanized IgG4 mAb) per ICH S6(R1). Genotoxicity testing waived with justification.</w:t>
      </w:r>
    </w:p>
    <w:p>
      <w:pPr>
        <w:spacing w:before="60" w:after="100" w:line="276" w:lineRule="auto"/>
        <w:jc w:val="left"/>
      </w:pPr>
      <w:r>
        <w:rPr>
          <w:rFonts w:ascii="Arial" w:cs="Arial" w:eastAsia="Arial" w:hAnsi="Arial"/>
          <w:b w:val="false"/>
          <w:bCs w:val="false"/>
          <w:i w:val="false"/>
          <w:iCs w:val="false"/>
          <w:color w:val="000000"/>
          <w:sz w:val="22"/>
          <w:szCs w:val="22"/>
        </w:rPr>
        <w:t xml:space="preserve">Carcinogenicity: Not required prior to Phase I in patients with malignancies per ICH S9. Carcinogenicity assessment will be conducted post-approval if required.</w:t>
      </w:r>
    </w:p>
    <w:p>
      <w:pPr>
        <w:spacing w:before="60" w:after="100" w:line="276" w:lineRule="auto"/>
        <w:jc w:val="left"/>
      </w:pPr>
      <w:r>
        <w:rPr>
          <w:rFonts w:ascii="Arial" w:cs="Arial" w:eastAsia="Arial" w:hAnsi="Arial"/>
          <w:b w:val="false"/>
          <w:bCs w:val="false"/>
          <w:i w:val="false"/>
          <w:iCs w:val="false"/>
          <w:color w:val="000000"/>
          <w:sz w:val="22"/>
          <w:szCs w:val="22"/>
        </w:rPr>
        <w:t xml:space="preserve">Reproductive/Developmental Toxicology (DART): Fertility and early embryonic development (FEED) and embryo-fetal development (EFD) studies not required at Phase I per ICH S9 for oncology indications. DART program planned for Phase III IND amendment.</w:t>
      </w:r>
    </w:p>
    <w:p>
      <w:pPr>
        <w:spacing w:before="60" w:after="100" w:line="276" w:lineRule="auto"/>
        <w:jc w:val="left"/>
      </w:pPr>
      <w:r>
        <w:rPr>
          <w:rFonts w:ascii="Arial" w:cs="Arial" w:eastAsia="Arial" w:hAnsi="Arial"/>
          <w:b w:val="false"/>
          <w:bCs w:val="false"/>
          <w:i w:val="false"/>
          <w:iCs w:val="false"/>
          <w:color w:val="000000"/>
          <w:sz w:val="22"/>
          <w:szCs w:val="22"/>
        </w:rPr>
        <w:t xml:space="preserve">Local Tolerance: Assessed in the GLP NHP IV study; no injection site reactions, erythema, or swelling observed.</w:t>
      </w:r>
    </w:p>
    <w:p>
      <w:pPr>
        <w:spacing w:before="60" w:after="100" w:line="276" w:lineRule="auto"/>
        <w:jc w:val="left"/>
      </w:pPr>
      <w:r>
        <w:rPr>
          <w:rFonts w:ascii="Arial" w:cs="Arial" w:eastAsia="Arial" w:hAnsi="Arial"/>
          <w:b w:val="false"/>
          <w:bCs w:val="false"/>
          <w:i w:val="false"/>
          <w:iCs w:val="false"/>
          <w:color w:val="000000"/>
          <w:sz w:val="22"/>
          <w:szCs w:val="22"/>
        </w:rPr>
        <w:t xml:space="preserve">Immunotoxicology: T-cell dependent antibody response (TDAR) and NK cell function assessed in NHP as part of the GLP tox study; findings consistent with immune activation rather than immunosuppression (pharmacologically expected for PD-1 inhibition).</w:t>
      </w:r>
    </w:p>
    <w:p>
      <w:pPr>
        <w:spacing w:before="60" w:after="100" w:line="276" w:lineRule="auto"/>
        <w:jc w:val="left"/>
      </w:pPr>
      <w:r>
        <w:rPr>
          <w:rFonts w:ascii="Arial" w:cs="Arial" w:eastAsia="Arial" w:hAnsi="Arial"/>
          <w:b w:val="false"/>
          <w:bCs w:val="false"/>
          <w:i w:val="false"/>
          <w:iCs w:val="false"/>
          <w:color w:val="000000"/>
          <w:sz w:val="22"/>
          <w:szCs w:val="22"/>
        </w:rPr>
        <w:t xml:space="preserve">Phototoxicity: Not applicable (biological molecule; not expected to absorb UV/visible light).</w:t>
      </w:r>
    </w:p>
    <w:p>
      <w:pPr>
        <w:spacing w:before="0" w:after="0"/>
      </w:pPr>
      <w:r>
        <w:br w:type="page"/>
      </w:r>
    </w:p>
    <w:p>
      <w:pPr>
        <w:shd w:fill="1B3A6B" w:val="clear"/>
        <w:spacing w:before="480" w:after="480"/>
        <w:ind w:left="0" w:right="0"/>
        <w:jc w:val="center"/>
      </w:pPr>
      <w:r>
        <w:rPr>
          <w:rFonts w:ascii="Arial" w:cs="Arial" w:eastAsia="Arial" w:hAnsi="Arial"/>
          <w:b/>
          <w:bCs/>
          <w:color w:val="FFFFFF"/>
          <w:sz w:val="38"/>
          <w:szCs w:val="38"/>
        </w:rPr>
        <w:t xml:space="preserve">SECTION 5: CLINICAL PROTOCOL SYNOPSIS</w:t>
      </w:r>
    </w:p>
    <w:p>
      <w:pPr>
        <w:pStyle w:val="Heading1"/>
        <w:shd w:fill="1B3A6B" w:val="clear"/>
        <w:spacing w:before="360" w:after="120"/>
        <w:ind w:left="200" w:right="200"/>
      </w:pPr>
      <w:r>
        <w:rPr>
          <w:rFonts w:ascii="Arial" w:cs="Arial" w:eastAsia="Arial" w:hAnsi="Arial"/>
          <w:b/>
          <w:bCs/>
          <w:color w:val="FFFFFF"/>
          <w:sz w:val="32"/>
          <w:szCs w:val="32"/>
        </w:rPr>
        <w:t xml:space="preserve">5. Clinical Protocol Synopsis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Protocol Number</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CERV-CRC-001</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Protocol Version / Date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Version 1.0 / [DATE]</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EudraCT / ClinicalTrials.gov</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[To be assigned]; NCT[to be assigned]</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Phase</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Phase I/II</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Sponsor</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Cervantes Biotherapeutics, Inc.</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IND Number</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[To be assigned by FDA]</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Investigational Drug</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Cervimab (Anti-PD-1 humanized IgG4 monoclonal antibody)</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Study Population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Adults with confirmed dMMR/MSI-H metastatic colorectal cancer</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Estimated Total Enrollment</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~144 patients (Part A: ~24; Part B: ~120)</w:t>
            </w:r>
          </w:p>
        </w:tc>
      </w:tr>
      <w:tr>
        <w:tc>
          <w:tcPr>
            <w:tcW w:type="dxa" w:w="3240"/>
            <w:tcBorders>
              <w:top w:val="single" w:color="D0D5DE" w:sz="4"/>
              <w:left w:val="single" w:color="D0D5DE" w:sz="4"/>
              <w:bottom w:val="single" w:color="D0D5DE" w:sz="4"/>
              <w:right w:val="single" w:color="D0D5DE" w:sz="4"/>
            </w:tcBorders>
            <w:shd w:fill="D6E4F7" w:val="clear"/>
            <w:tcMar>
              <w:top w:type="dxa" w:w="80"/>
              <w:left w:type="dxa" w:w="160"/>
              <w:bottom w:type="dxa" w:w="80"/>
              <w:right w:type="dxa" w:w="80"/>
            </w:tcMar>
          </w:tcPr>
          <w:p>
            <w:pPr>
              <w:spacing w:before="0" w:after="120" w:line="276" w:lineRule="auto"/>
              <w:jc w:val="left"/>
            </w:pPr>
            <w:r>
              <w:rPr>
                <w:rFonts w:ascii="Arial" w:cs="Arial" w:eastAsia="Arial" w:hAnsi="Arial"/>
                <w:b/>
                <w:bCs/>
                <w:i w:val="false"/>
                <w:iCs w:val="false"/>
                <w:color w:val="1B3A6B"/>
                <w:sz w:val="20"/>
                <w:szCs w:val="20"/>
              </w:rPr>
              <w:t xml:space="preserve">Study Duration</w:t>
            </w:r>
          </w:p>
        </w:tc>
        <w:tc>
          <w:tcPr>
            <w:tcW w:type="dxa" w:w="6120"/>
            <w:tcBorders>
              <w:top w:val="single" w:color="D0D5DE" w:sz="4"/>
              <w:left w:val="single" w:color="D0D5DE" w:sz="4"/>
              <w:bottom w:val="single" w:color="D0D5DE" w:sz="4"/>
              <w:right w:val="single" w:color="D0D5DE" w:sz="4"/>
            </w:tcBorders>
            <w:tcMar>
              <w:top w:type="dxa" w:w="80"/>
              <w:left w:type="dxa" w:w="160"/>
              <w:bottom w:type="dxa" w:w="80"/>
              <w:right w:type="dxa" w:w="80"/>
            </w:tcMar>
          </w:tcPr>
          <w:p>
            <w:pPr>
              <w:spacing w:before="0" w:after="120" w:line="276" w:lineRule="auto"/>
              <w:jc w:val="left"/>
            </w:pPr>
            <w:r>
              <w:rPr>
                <w:rFonts w:ascii="Arial" w:cs="Arial" w:eastAsia="Arial" w:hAnsi="Arial"/>
                <w:b w:val="false"/>
                <w:bCs w:val="false"/>
                <w:i w:val="false"/>
                <w:iCs w:val="false"/>
                <w:color w:val="000000"/>
                <w:sz w:val="20"/>
                <w:szCs w:val="20"/>
              </w:rPr>
              <w:t xml:space="preserve">36 months enrollment + 24 months follow-up</w:t>
            </w:r>
          </w:p>
        </w:tc>
      </w:tr>
    </w:tbl>
    <w:p>
      <w:pPr>
        <w:pStyle w:val="Heading2"/>
        <w:pBdr>
          <w:bottom w:val="single" w:color="2E5FAC" w:sz="6"/>
        </w:pBdr>
        <w:spacing w:before="280" w:after="100"/>
      </w:pPr>
      <w:r>
        <w:rPr>
          <w:rFonts w:ascii="Arial" w:cs="Arial" w:eastAsia="Arial" w:hAnsi="Arial"/>
          <w:b/>
          <w:bCs/>
          <w:color w:val="1B3A6B"/>
          <w:sz w:val="26"/>
          <w:szCs w:val="26"/>
        </w:rPr>
        <w:t xml:space="preserve">5.1  Study Title</w:t>
      </w:r>
    </w:p>
    <w:p>
      <w:pPr>
        <w:spacing w:before="60" w:after="100" w:line="276" w:lineRule="auto"/>
        <w:jc w:val="left"/>
      </w:pPr>
      <w:r>
        <w:rPr>
          <w:rFonts w:ascii="Arial" w:cs="Arial" w:eastAsia="Arial" w:hAnsi="Arial"/>
          <w:b/>
          <w:bCs/>
          <w:i w:val="false"/>
          <w:iCs w:val="false"/>
          <w:color w:val="000000"/>
          <w:sz w:val="22"/>
          <w:szCs w:val="22"/>
        </w:rPr>
        <w:t xml:space="preserve">A Phase I/II, Open-Label, Multicenter, Dose-Escalation and Cohort Expansion Study to Evaluate the Safety, Tolerability, Pharmacokinetics, and Antitumor Activity of Cervimab in Adult Patients with dMMR/MSI-H Metastatic Colorectal Cancer (CERVICAL-001).</w:t>
      </w:r>
    </w:p>
    <w:p>
      <w:pPr>
        <w:pStyle w:val="Heading2"/>
        <w:pBdr>
          <w:bottom w:val="single" w:color="2E5FAC" w:sz="6"/>
        </w:pBdr>
        <w:spacing w:before="280" w:after="100"/>
      </w:pPr>
      <w:r>
        <w:rPr>
          <w:rFonts w:ascii="Arial" w:cs="Arial" w:eastAsia="Arial" w:hAnsi="Arial"/>
          <w:b/>
          <w:bCs/>
          <w:color w:val="1B3A6B"/>
          <w:sz w:val="26"/>
          <w:szCs w:val="26"/>
        </w:rPr>
        <w:t xml:space="preserve">5.2  Study Objectives and Endpoints</w:t>
      </w:r>
    </w:p>
    <w:p>
      <w:pPr>
        <w:pStyle w:val="Heading3"/>
        <w:spacing w:before="200" w:after="80"/>
      </w:pPr>
      <w:r>
        <w:rPr>
          <w:rFonts w:ascii="Arial" w:cs="Arial" w:eastAsia="Arial" w:hAnsi="Arial"/>
          <w:b/>
          <w:bCs/>
          <w:color w:val="2E5FAC"/>
          <w:sz w:val="24"/>
          <w:szCs w:val="24"/>
        </w:rPr>
        <w:t xml:space="preserve">5.2.1  Part A — Dose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rPr>
          <w:tblHeader/>
        </w:trPr>
        <w:tc>
          <w:tcPr>
            <w:tcW w:type="dxa" w:w="144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Objective Type</w:t>
            </w:r>
          </w:p>
        </w:tc>
        <w:tc>
          <w:tcPr>
            <w:tcW w:type="dxa" w:w="312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Objective</w:t>
            </w:r>
          </w:p>
        </w:tc>
        <w:tc>
          <w:tcPr>
            <w:tcW w:type="dxa" w:w="48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Endpoint</w:t>
            </w:r>
          </w:p>
        </w:tc>
      </w:tr>
      <w:tr>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Primary</w:t>
            </w:r>
          </w:p>
        </w:tc>
        <w:tc>
          <w:tcPr>
            <w:tcW w:type="dxa" w:w="31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Determine maximum tolerated dose (MTD) and/or recommended Phase II dose (RP2D)</w:t>
            </w:r>
          </w:p>
        </w:tc>
        <w:tc>
          <w:tcPr>
            <w:tcW w:type="dxa" w:w="48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DLT rate in each dose cohort; MTD defined as the highest dose with &lt;33% DLT rate</w:t>
            </w:r>
          </w:p>
        </w:tc>
      </w:tr>
      <w:tr>
        <w:tc>
          <w:tcPr>
            <w:tcW w:type="dxa" w:w="14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Primary</w:t>
            </w:r>
          </w:p>
        </w:tc>
        <w:tc>
          <w:tcPr>
            <w:tcW w:type="dxa" w:w="31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Evaluate safety and tolerability across dose levels</w:t>
            </w:r>
          </w:p>
        </w:tc>
        <w:tc>
          <w:tcPr>
            <w:tcW w:type="dxa" w:w="48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Incidence, type, severity (CTCAE v5.0), and causality of AEs, SAEs, and irAEs</w:t>
            </w:r>
          </w:p>
        </w:tc>
      </w:tr>
      <w:tr>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Secondary</w:t>
            </w:r>
          </w:p>
        </w:tc>
        <w:tc>
          <w:tcPr>
            <w:tcW w:type="dxa" w:w="31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Characterize single- and multiple-dose pharmacokinetics of Cervimab</w:t>
            </w:r>
          </w:p>
        </w:tc>
        <w:tc>
          <w:tcPr>
            <w:tcW w:type="dxa" w:w="48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Cmax, AUC0-tau, t½, CL, Vss, Ctrough; PK at each dose level</w:t>
            </w:r>
          </w:p>
        </w:tc>
      </w:tr>
      <w:tr>
        <w:tc>
          <w:tcPr>
            <w:tcW w:type="dxa" w:w="14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Secondary</w:t>
            </w:r>
          </w:p>
        </w:tc>
        <w:tc>
          <w:tcPr>
            <w:tcW w:type="dxa" w:w="31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Assess immunogenicity</w:t>
            </w:r>
          </w:p>
        </w:tc>
        <w:tc>
          <w:tcPr>
            <w:tcW w:type="dxa" w:w="48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Incidence of anti-drug antibodies (ADA) by electrochemiluminescence assay</w:t>
            </w:r>
          </w:p>
        </w:tc>
      </w:tr>
      <w:tr>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Secondary</w:t>
            </w:r>
          </w:p>
        </w:tc>
        <w:tc>
          <w:tcPr>
            <w:tcW w:type="dxa" w:w="312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Evaluate preliminary antitumor activity</w:t>
            </w:r>
          </w:p>
        </w:tc>
        <w:tc>
          <w:tcPr>
            <w:tcW w:type="dxa" w:w="48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ORR by RECIST 1.1; DCR; tumor measurements at each response assessment</w:t>
            </w:r>
          </w:p>
        </w:tc>
      </w:tr>
      <w:tr>
        <w:tc>
          <w:tcPr>
            <w:tcW w:type="dxa" w:w="14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Exploratory</w:t>
            </w:r>
          </w:p>
        </w:tc>
        <w:tc>
          <w:tcPr>
            <w:tcW w:type="dxa" w:w="312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Characterize pharmacodynamic (PD) biomarkers</w:t>
            </w:r>
          </w:p>
        </w:tc>
        <w:tc>
          <w:tcPr>
            <w:tcW w:type="dxa" w:w="48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PD-1 receptor occupancy (RO) on peripheral T cells; T-cell activation markers; tumor biopsies (PD-L1, TIL, CD8)</w:t>
            </w:r>
          </w:p>
        </w:tc>
      </w:tr>
    </w:tbl>
    <w:p>
      <w:pPr>
        <w:pStyle w:val="Heading3"/>
        <w:spacing w:before="200" w:after="80"/>
      </w:pPr>
      <w:r>
        <w:rPr>
          <w:rFonts w:ascii="Arial" w:cs="Arial" w:eastAsia="Arial" w:hAnsi="Arial"/>
          <w:b/>
          <w:bCs/>
          <w:color w:val="2E5FAC"/>
          <w:sz w:val="24"/>
          <w:szCs w:val="24"/>
        </w:rPr>
        <w:t xml:space="preserve">5.2.2  Part B — Expansion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960"/>
        <w:gridCol w:w="4960"/>
      </w:tblGrid>
      <w:tr>
        <w:trPr>
          <w:tblHeader/>
        </w:trPr>
        <w:tc>
          <w:tcPr>
            <w:tcW w:type="dxa" w:w="144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Objective Type</w:t>
            </w:r>
          </w:p>
        </w:tc>
        <w:tc>
          <w:tcPr>
            <w:tcW w:type="dxa" w:w="29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Objective</w:t>
            </w:r>
          </w:p>
        </w:tc>
        <w:tc>
          <w:tcPr>
            <w:tcW w:type="dxa" w:w="49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Endpoint</w:t>
            </w:r>
          </w:p>
        </w:tc>
      </w:tr>
      <w:tr>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Primary</w:t>
            </w:r>
          </w:p>
        </w:tc>
        <w:tc>
          <w:tcPr>
            <w:tcW w:type="dxa" w:w="2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Evaluate antitumor activity at RP2D</w:t>
            </w:r>
          </w:p>
        </w:tc>
        <w:tc>
          <w:tcPr>
            <w:tcW w:type="dxa" w:w="4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Confirmed ORR per RECIST 1.1 (blinded independent central review, BICR)</w:t>
            </w:r>
          </w:p>
        </w:tc>
      </w:tr>
      <w:tr>
        <w:tc>
          <w:tcPr>
            <w:tcW w:type="dxa" w:w="14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Secondary</w:t>
            </w:r>
          </w:p>
        </w:tc>
        <w:tc>
          <w:tcPr>
            <w:tcW w:type="dxa" w:w="2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Duration of response (DOR)</w:t>
            </w:r>
          </w:p>
        </w:tc>
        <w:tc>
          <w:tcPr>
            <w:tcW w:type="dxa" w:w="4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Time from first documented CR/PR to progression or death</w:t>
            </w:r>
          </w:p>
        </w:tc>
      </w:tr>
      <w:tr>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Secondary</w:t>
            </w:r>
          </w:p>
        </w:tc>
        <w:tc>
          <w:tcPr>
            <w:tcW w:type="dxa" w:w="2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Progression-free survival (PFS)</w:t>
            </w:r>
          </w:p>
        </w:tc>
        <w:tc>
          <w:tcPr>
            <w:tcW w:type="dxa" w:w="4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Time from first dose to radiographic progression (BICR) or death from any cause</w:t>
            </w:r>
          </w:p>
        </w:tc>
      </w:tr>
      <w:tr>
        <w:tc>
          <w:tcPr>
            <w:tcW w:type="dxa" w:w="14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Secondary</w:t>
            </w:r>
          </w:p>
        </w:tc>
        <w:tc>
          <w:tcPr>
            <w:tcW w:type="dxa" w:w="2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Disease control rate (DCR)</w:t>
            </w:r>
          </w:p>
        </w:tc>
        <w:tc>
          <w:tcPr>
            <w:tcW w:type="dxa" w:w="4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 patients with CR + PR + SD ≥12 weeks</w:t>
            </w:r>
          </w:p>
        </w:tc>
      </w:tr>
      <w:tr>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Secondary</w:t>
            </w:r>
          </w:p>
        </w:tc>
        <w:tc>
          <w:tcPr>
            <w:tcW w:type="dxa" w:w="2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Overall survival (OS) — preliminary</w:t>
            </w:r>
          </w:p>
        </w:tc>
        <w:tc>
          <w:tcPr>
            <w:tcW w:type="dxa" w:w="4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Time from first dose to death from any cause (interim at data cutoff)</w:t>
            </w:r>
          </w:p>
        </w:tc>
      </w:tr>
      <w:tr>
        <w:tc>
          <w:tcPr>
            <w:tcW w:type="dxa" w:w="144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Secondary</w:t>
            </w:r>
          </w:p>
        </w:tc>
        <w:tc>
          <w:tcPr>
            <w:tcW w:type="dxa" w:w="2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Patient-reported outcomes (PRO)</w:t>
            </w:r>
          </w:p>
        </w:tc>
        <w:tc>
          <w:tcPr>
            <w:tcW w:type="dxa" w:w="4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EORTC QLQ-C30 + CR29 module at Cycles 1, 3, 5, 9 and EOT</w:t>
            </w:r>
          </w:p>
        </w:tc>
      </w:tr>
      <w:tr>
        <w:tc>
          <w:tcPr>
            <w:tcW w:type="dxa" w:w="144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Exploratory</w:t>
            </w:r>
          </w:p>
        </w:tc>
        <w:tc>
          <w:tcPr>
            <w:tcW w:type="dxa" w:w="2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Correlative biomarkers</w:t>
            </w:r>
          </w:p>
        </w:tc>
        <w:tc>
          <w:tcPr>
            <w:tcW w:type="dxa" w:w="4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Baseline MSI-H confirmation; TMB; PD-L1 CPS; T-cell repertoire (TCR-seq); ctDNA kinetics</w:t>
            </w:r>
          </w:p>
        </w:tc>
      </w:tr>
    </w:tbl>
    <w:p>
      <w:pPr>
        <w:pStyle w:val="Heading2"/>
        <w:pBdr>
          <w:bottom w:val="single" w:color="2E5FAC" w:sz="6"/>
        </w:pBdr>
        <w:spacing w:before="280" w:after="100"/>
      </w:pPr>
      <w:r>
        <w:rPr>
          <w:rFonts w:ascii="Arial" w:cs="Arial" w:eastAsia="Arial" w:hAnsi="Arial"/>
          <w:b/>
          <w:bCs/>
          <w:color w:val="1B3A6B"/>
          <w:sz w:val="26"/>
          <w:szCs w:val="26"/>
        </w:rPr>
        <w:t xml:space="preserve">5.3  Study Population</w:t>
      </w:r>
    </w:p>
    <w:p>
      <w:pPr>
        <w:pStyle w:val="Heading3"/>
        <w:spacing w:before="200" w:after="80"/>
      </w:pPr>
      <w:r>
        <w:rPr>
          <w:rFonts w:ascii="Arial" w:cs="Arial" w:eastAsia="Arial" w:hAnsi="Arial"/>
          <w:b/>
          <w:bCs/>
          <w:color w:val="2E5FAC"/>
          <w:sz w:val="24"/>
          <w:szCs w:val="24"/>
        </w:rPr>
        <w:t xml:space="preserve">5.3.1  Key Inclusion Criteria</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Age ≥18 years at time of informed consent.</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Histologically or cytologically confirmed colorectal adenocarcinoma with metastatic (Stage IV) disease per AJCC 8th edition.</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Documented dMMR status (by IHC showing loss of ≥1 MMR protein: MLH1, MSH2, MSH6, PMS2) OR MSI-H status (by PCR or NGS panel in a CLIA-certified laboratory).</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Prior treatment with ≥2 standard systemic regimens for mCRC (e.g., fluoropyrimidine-based ± oxaliplatin, irinotecan, bevacizumab, cetuximab/panitumumab [if RAS/BRAF WT]) OR documented intolerance to standard therapy. Patients may be previously immunotherapy-naive OR may have received prior PD-1/PD-L1 therapy (to be enrolled in separate expansion cohorts in Part B).</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Measurable disease per RECIST v1.1 (≥1 target lesion ≥10 mm by CT or MRI; ≥1 lymph node ≥15 mm short axis).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ECOG Performance Status 0 or 1.</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Adequate organ function: ANC ≥1,500/µL; platelets ≥100,000/µL; Hgb ≥9.0 g/dL; Cr ≤1.5× ULN (or CrCl ≥45 mL/min); ALT/AST ≤2.5× ULN (≤5× ULN for liver metastases); total bilirubin ≤1.5× ULN.</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Adequate tumor tissue (archival FFPE or fresh biopsy) available for correlative biomarker studies.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Life expectancy ≥12 weeks.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Women of childbearing potential (WOCBP): negative serum pregnancy test within 72 hours of first dose; agreement to use highly effective contraception for the duration of the study + 150 days after last dose.</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Written informed consent obtained prior to any study-related procedures.</w:t>
      </w:r>
    </w:p>
    <w:p>
      <w:pPr>
        <w:pStyle w:val="Heading3"/>
        <w:spacing w:before="200" w:after="80"/>
      </w:pPr>
      <w:r>
        <w:rPr>
          <w:rFonts w:ascii="Arial" w:cs="Arial" w:eastAsia="Arial" w:hAnsi="Arial"/>
          <w:b/>
          <w:bCs/>
          <w:color w:val="2E5FAC"/>
          <w:sz w:val="24"/>
          <w:szCs w:val="24"/>
        </w:rPr>
        <w:t xml:space="preserve">5.3.2  Key Exclusion Criteria</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Any prior PD-1/PD-L1 or CTLA-4 inhibitor therapy (checkpoint-naive cohort only; see Part B expansion cohort design for io-pretreated cohort criteria).</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Active, known, or suspected autoimmune disease requiring systemic treatment within the past 2 years. Vitiligo, type 1 diabetes, residual hypothyroidism requiring hormone replacement, psoriasis not requiring systemic treatment, and conditions not expected to recur in the absence of an external trigger are permitted.</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Active interstitial lung disease or pneumonitis (any grade), or prior grade ≥2 immune-mediated pneumonitis with prior immunotherapy.</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Known active central nervous system (CNS) metastases or carcinomatous meningitis. Patients with previously treated, radiologically stable, asymptomatic brain metastases who are not requiring steroids for ≥14 days may be eligible (per investigator assessment).</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Receipt of systemic anti-cancer therapy, radiotherapy, or investigational agent within 3 weeks (or 5 half-lives, whichever is shorter) prior to first dose.</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Receipt of systemic corticosteroids or other immunosuppressive medications at prednisone-equivalent ≥10 mg/day within 14 days prior to first dose (physiologic replacement doses are permitted).</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Major surgical procedure within 28 days prior to first dose.</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Active hepatitis B (HBsAg+) or hepatitis C (anti-HCV+) infection (PCR-confirmed).</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Known HIV infection with CD4+ count &lt;350 cells/µL or AIDS-defining condition.</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Pregnancy or breastfeeding.</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Prior allogeneic bone marrow or solid organ transplantation.</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Any other condition, disease, or serious concurrent illness that, in the investigator's opinion, would impair the patient's ability to receive the study drug safely or comply with study requirements.</w:t>
      </w:r>
    </w:p>
    <w:p>
      <w:pPr>
        <w:pStyle w:val="Heading2"/>
        <w:pBdr>
          <w:bottom w:val="single" w:color="2E5FAC" w:sz="6"/>
        </w:pBdr>
        <w:spacing w:before="280" w:after="100"/>
      </w:pPr>
      <w:r>
        <w:rPr>
          <w:rFonts w:ascii="Arial" w:cs="Arial" w:eastAsia="Arial" w:hAnsi="Arial"/>
          <w:b/>
          <w:bCs/>
          <w:color w:val="1B3A6B"/>
          <w:sz w:val="26"/>
          <w:szCs w:val="26"/>
        </w:rPr>
        <w:t xml:space="preserve">5.4  Study Design</w:t>
      </w:r>
    </w:p>
    <w:p>
      <w:pPr>
        <w:pStyle w:val="Heading3"/>
        <w:spacing w:before="200" w:after="80"/>
      </w:pPr>
      <w:r>
        <w:rPr>
          <w:rFonts w:ascii="Arial" w:cs="Arial" w:eastAsia="Arial" w:hAnsi="Arial"/>
          <w:b/>
          <w:bCs/>
          <w:color w:val="2E5FAC"/>
          <w:sz w:val="24"/>
          <w:szCs w:val="24"/>
        </w:rPr>
        <w:t xml:space="preserve">5.4.1  Overall Design</w:t>
      </w:r>
    </w:p>
    <w:p>
      <w:pPr>
        <w:spacing w:before="60" w:after="100" w:line="276" w:lineRule="auto"/>
        <w:jc w:val="left"/>
      </w:pPr>
      <w:r>
        <w:rPr>
          <w:rFonts w:ascii="Arial" w:cs="Arial" w:eastAsia="Arial" w:hAnsi="Arial"/>
          <w:b w:val="false"/>
          <w:bCs w:val="false"/>
          <w:i w:val="false"/>
          <w:iCs w:val="false"/>
          <w:color w:val="000000"/>
          <w:sz w:val="22"/>
          <w:szCs w:val="22"/>
        </w:rPr>
        <w:t xml:space="preserve">CERVICAL-001 is a Phase I/II, multicenter, open-label study comprised of two sequential parts: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Part A (Dose Escalation): Modified 3+3 design with a modified toxicity probability interval (mTPI-2) statistical model overlaid for dose-escalation decisions. Up to 6 planned dose levels: 1 mg/kg, 3 mg/kg, 6 mg/kg, 10 mg/kg Q3W, and flat doses of 400 mg Q3W and 800 mg Q6W.</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Part B (Expansion): Three parallel cohorts at the RP2D: Cohort B1 (checkpoint-naive, ≥2 prior lines, n~40), Cohort B2 (checkpoint-pretreated, prior PD-1 failure, n~40), Cohort B3 (first-line, in combination with modified FOLFOX6, n~40).</w:t>
      </w:r>
    </w:p>
    <w:p>
      <w:pPr>
        <w:pStyle w:val="Heading3"/>
        <w:spacing w:before="200" w:after="80"/>
      </w:pPr>
      <w:r>
        <w:rPr>
          <w:rFonts w:ascii="Arial" w:cs="Arial" w:eastAsia="Arial" w:hAnsi="Arial"/>
          <w:b/>
          <w:bCs/>
          <w:color w:val="2E5FAC"/>
          <w:sz w:val="24"/>
          <w:szCs w:val="24"/>
        </w:rPr>
        <w:t xml:space="preserve">5.4.2  Dose-Limiting Toxicity (DLT) Definition</w:t>
      </w:r>
    </w:p>
    <w:p>
      <w:pPr>
        <w:spacing w:before="60" w:after="100" w:line="276" w:lineRule="auto"/>
        <w:jc w:val="left"/>
      </w:pPr>
      <w:r>
        <w:rPr>
          <w:rFonts w:ascii="Arial" w:cs="Arial" w:eastAsia="Arial" w:hAnsi="Arial"/>
          <w:b w:val="false"/>
          <w:bCs w:val="false"/>
          <w:i w:val="false"/>
          <w:iCs w:val="false"/>
          <w:color w:val="000000"/>
          <w:sz w:val="22"/>
          <w:szCs w:val="22"/>
        </w:rPr>
        <w:t xml:space="preserve">DLTs are assessed during the DLT evaluation period (first 21 days / Cycle 1). DLTs are defined as any of the following drug-related adverse events (per CTCAE v5.0) occurring during the DLT window, not attributable to disease progression, concurrent illness, or concomitant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DLT Category</w:t>
            </w:r>
          </w:p>
        </w:tc>
        <w:tc>
          <w:tcPr>
            <w:tcW w:type="dxa" w:w="69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Defining Criteria</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Hematologic</w:t>
            </w:r>
          </w:p>
        </w:tc>
        <w:tc>
          <w:tcPr>
            <w:tcW w:type="dxa" w:w="6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Grade 4 neutropenia lasting &gt;7 days; Grade 3/4 febrile neutropenia; Grade 4 thrombocytopenia; Grade 3 thrombocytopenia with bleeding</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Non-Hematologic (general)</w:t>
            </w:r>
          </w:p>
        </w:tc>
        <w:tc>
          <w:tcPr>
            <w:tcW w:type="dxa" w:w="6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Any Grade ≥3 non-hematologic toxicity, excluding Grade 3 nausea/vomiting/diarrhea adequately controlled with standard antiemetics within 72 hr; Grade 3 fatigue lasting &lt;7 days; Grade 3 laboratory abnormalities without clinical sequelae if resolved to ≤Grade 1 within 14 days</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Immune-Related (irAE)</w:t>
            </w:r>
          </w:p>
        </w:tc>
        <w:tc>
          <w:tcPr>
            <w:tcW w:type="dxa" w:w="6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Any Grade ≥3 irAE (pneumonitis, colitis, hepatitis, nephritis, myocarditis, encephalitis, hypophysitis) requiring systemic corticosteroids; any Grade 4 irAE</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Infusion-Related Reaction (IRR)</w:t>
            </w:r>
          </w:p>
        </w:tc>
        <w:tc>
          <w:tcPr>
            <w:tcW w:type="dxa" w:w="6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Any Grade ≥3 IRR despite adequate premedication</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Missed Dosing</w:t>
            </w:r>
          </w:p>
        </w:tc>
        <w:tc>
          <w:tcPr>
            <w:tcW w:type="dxa" w:w="6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Inability to administer Cycle 2, Day 1 dose within 14 days of scheduled date due to drug-related AE</w:t>
            </w:r>
          </w:p>
        </w:tc>
      </w:tr>
    </w:tbl>
    <w:p>
      <w:pPr>
        <w:pStyle w:val="Heading3"/>
        <w:spacing w:before="200" w:after="80"/>
      </w:pPr>
      <w:r>
        <w:rPr>
          <w:rFonts w:ascii="Arial" w:cs="Arial" w:eastAsia="Arial" w:hAnsi="Arial"/>
          <w:b/>
          <w:bCs/>
          <w:color w:val="2E5FAC"/>
          <w:sz w:val="24"/>
          <w:szCs w:val="24"/>
        </w:rPr>
        <w:t xml:space="preserve">5.4.3  Treatment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Parameter</w:t>
            </w:r>
          </w:p>
        </w:tc>
        <w:tc>
          <w:tcPr>
            <w:tcW w:type="dxa" w:w="69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Details</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Drug</w:t>
            </w:r>
          </w:p>
        </w:tc>
        <w:tc>
          <w:tcPr>
            <w:tcW w:type="dxa" w:w="6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Cervimab IV infusion (diluted in 0.9% NaCl or 5% Dextrose)</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Infusion Duration</w:t>
            </w:r>
          </w:p>
        </w:tc>
        <w:tc>
          <w:tcPr>
            <w:tcW w:type="dxa" w:w="6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60 minutes (±15 minutes); subsequent infusions may be shortened to 30 min if no infusion reactions in Cycles 1–2</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Cycle Length</w:t>
            </w:r>
          </w:p>
        </w:tc>
        <w:tc>
          <w:tcPr>
            <w:tcW w:type="dxa" w:w="6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21 days (Q3W dosing); Cohort 6 flat dose 800 mg Q6W (42-day cycle)</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Number of Cycles</w:t>
            </w:r>
          </w:p>
        </w:tc>
        <w:tc>
          <w:tcPr>
            <w:tcW w:type="dxa" w:w="6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Up to 35 cycles (approximately 2 years); continued until PD, unacceptable toxicity, withdrawal of consent, or investigator/sponsor decision</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Premedication</w:t>
            </w:r>
          </w:p>
        </w:tc>
        <w:tc>
          <w:tcPr>
            <w:tcW w:type="dxa" w:w="6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Acetaminophen 650 mg PO + diphenhydramine 25 mg IV 30–60 min prior to first 2 infusions; subsequent infusions at investigator discretion based on prior tolerability</w:t>
            </w:r>
          </w:p>
        </w:tc>
      </w:tr>
      <w:tr>
        <w:tc>
          <w:tcPr>
            <w:tcW w:type="dxa" w:w="24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Dose Modifications</w:t>
            </w:r>
          </w:p>
        </w:tc>
        <w:tc>
          <w:tcPr>
            <w:tcW w:type="dxa" w:w="69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No dose reductions permitted; dose delays up to 14 days for Grade ≥2 treatment-related toxicity; permanent discontinuation for Grade 4 non-hematologic irAE or recurrence of Grade 3 irAE</w:t>
            </w:r>
          </w:p>
        </w:tc>
      </w:tr>
      <w:tr>
        <w:tc>
          <w:tcPr>
            <w:tcW w:type="dxa" w:w="24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irAE Management</w:t>
            </w:r>
          </w:p>
        </w:tc>
        <w:tc>
          <w:tcPr>
            <w:tcW w:type="dxa" w:w="69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Per SITC/ASCO immunotherapy irAE management guidelines and companion Cervimab irAE Management Manual (CERV-AE-MGT-001)</w:t>
            </w:r>
          </w:p>
        </w:tc>
      </w:tr>
    </w:tbl>
    <w:p>
      <w:pPr>
        <w:pStyle w:val="Heading2"/>
        <w:pBdr>
          <w:bottom w:val="single" w:color="2E5FAC" w:sz="6"/>
        </w:pBdr>
        <w:spacing w:before="280" w:after="100"/>
      </w:pPr>
      <w:r>
        <w:rPr>
          <w:rFonts w:ascii="Arial" w:cs="Arial" w:eastAsia="Arial" w:hAnsi="Arial"/>
          <w:b/>
          <w:bCs/>
          <w:color w:val="1B3A6B"/>
          <w:sz w:val="26"/>
          <w:szCs w:val="26"/>
        </w:rPr>
        <w:t xml:space="preserve">5.5  Efficacy Assessments</w:t>
      </w:r>
    </w:p>
    <w:p>
      <w:pPr>
        <w:spacing w:before="60" w:after="100" w:line="276" w:lineRule="auto"/>
        <w:jc w:val="left"/>
      </w:pPr>
      <w:r>
        <w:rPr>
          <w:rFonts w:ascii="Arial" w:cs="Arial" w:eastAsia="Arial" w:hAnsi="Arial"/>
          <w:b w:val="false"/>
          <w:bCs w:val="false"/>
          <w:i w:val="false"/>
          <w:iCs w:val="false"/>
          <w:color w:val="000000"/>
          <w:sz w:val="22"/>
          <w:szCs w:val="22"/>
        </w:rPr>
        <w:t xml:space="preserve">Tumor assessments will be performed per RECIST v1.1 using CT (preferred) or MRI (if CT contraindicated) of the chest, abdomen, and pelvis. Imaging schedule: Baseline (within 28 days of Day 1), then every 6 weeks (±1 week) for the first 24 weeks, then every 12 weeks. Brain MRI at baseline if clinically indicated.</w:t>
      </w:r>
    </w:p>
    <w:p>
      <w:pPr>
        <w:spacing w:before="60" w:after="100" w:line="276" w:lineRule="auto"/>
        <w:jc w:val="left"/>
      </w:pPr>
      <w:r>
        <w:rPr>
          <w:rFonts w:ascii="Arial" w:cs="Arial" w:eastAsia="Arial" w:hAnsi="Arial"/>
          <w:b w:val="false"/>
          <w:bCs w:val="false"/>
          <w:i w:val="false"/>
          <w:iCs w:val="false"/>
          <w:color w:val="000000"/>
          <w:sz w:val="22"/>
          <w:szCs w:val="22"/>
        </w:rPr>
        <w:t xml:space="preserve">Response categories: Complete Response (CR), Partial Response (PR), Stable Disease (SD), Progressive Disease (PD), Not Evaluable (NE). Response confirmation: CR and PR require confirmation on repeat imaging ≥4 weeks after initial response assessment.</w:t>
      </w:r>
    </w:p>
    <w:p>
      <w:pPr>
        <w:spacing w:before="60" w:after="100" w:line="276" w:lineRule="auto"/>
        <w:jc w:val="left"/>
      </w:pPr>
      <w:r>
        <w:rPr>
          <w:rFonts w:ascii="Arial" w:cs="Arial" w:eastAsia="Arial" w:hAnsi="Arial"/>
          <w:b w:val="false"/>
          <w:bCs w:val="false"/>
          <w:i w:val="false"/>
          <w:iCs w:val="false"/>
          <w:color w:val="000000"/>
          <w:sz w:val="22"/>
          <w:szCs w:val="22"/>
        </w:rPr>
        <w:t xml:space="preserve">Pseudoprogression management: Atypical response patterns (initial apparent progression followed by response) may occur with immunotherapy. Patients with ECOG PS deterioration attributed to disease progression and/or clinical decline will be discontinued; patients with stable/improving clinical status may continue treatment with repeat confirmatory imaging 4–6 weeks after suspected initial PD.</w:t>
      </w:r>
    </w:p>
    <w:p>
      <w:pPr>
        <w:pStyle w:val="Heading2"/>
        <w:pBdr>
          <w:bottom w:val="single" w:color="2E5FAC" w:sz="6"/>
        </w:pBdr>
        <w:spacing w:before="280" w:after="100"/>
      </w:pPr>
      <w:r>
        <w:rPr>
          <w:rFonts w:ascii="Arial" w:cs="Arial" w:eastAsia="Arial" w:hAnsi="Arial"/>
          <w:b/>
          <w:bCs/>
          <w:color w:val="1B3A6B"/>
          <w:sz w:val="26"/>
          <w:szCs w:val="26"/>
        </w:rPr>
        <w:t xml:space="preserve">5.6  Safety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Assessment</w:t>
            </w:r>
          </w:p>
        </w:tc>
        <w:tc>
          <w:tcPr>
            <w:tcW w:type="dxa" w:w="5760"/>
            <w:tcBorders>
              <w:top w:val="single" w:color="2E5FAC" w:sz="6"/>
              <w:left w:val="single" w:color="2E5FAC" w:sz="6"/>
              <w:bottom w:val="single" w:color="2E5FAC" w:sz="6"/>
              <w:right w:val="single" w:color="2E5FAC" w:sz="6"/>
            </w:tcBorders>
            <w:shd w:fill="1B3A6B" w:val="clear"/>
            <w:tcMar>
              <w:top w:type="dxa" w:w="80"/>
              <w:left w:type="dxa" w:w="120"/>
              <w:bottom w:type="dxa" w:w="80"/>
              <w:right w:type="dxa" w:w="120"/>
            </w:tcMar>
            <w:vAlign w:val="center"/>
          </w:tcPr>
          <w:p>
            <w:pPr>
              <w:spacing w:before="0" w:after="120" w:line="276" w:lineRule="auto"/>
              <w:jc w:val="center"/>
            </w:pPr>
            <w:r>
              <w:rPr>
                <w:rFonts w:ascii="Arial" w:cs="Arial" w:eastAsia="Arial" w:hAnsi="Arial"/>
                <w:b/>
                <w:bCs/>
                <w:i w:val="false"/>
                <w:iCs w:val="false"/>
                <w:color w:val="FFFFFF"/>
                <w:sz w:val="20"/>
                <w:szCs w:val="20"/>
              </w:rPr>
              <w:t xml:space="preserve">Frequency</w:t>
            </w:r>
          </w:p>
        </w:tc>
      </w:tr>
      <w:tr>
        <w:tc>
          <w:tcPr>
            <w:tcW w:type="dxa" w:w="3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Physical Examination</w:t>
            </w:r>
          </w:p>
        </w:tc>
        <w:tc>
          <w:tcPr>
            <w:tcW w:type="dxa" w:w="57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Day 1 of each cycle; EOT; 30-day safety follow-up</w:t>
            </w:r>
          </w:p>
        </w:tc>
      </w:tr>
      <w:tr>
        <w:tc>
          <w:tcPr>
            <w:tcW w:type="dxa" w:w="36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Vital Signs</w:t>
            </w:r>
          </w:p>
        </w:tc>
        <w:tc>
          <w:tcPr>
            <w:tcW w:type="dxa" w:w="57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Day 1 of each cycle (pre-infusion and 1 hr, 4 hr post-infusion)</w:t>
            </w:r>
          </w:p>
        </w:tc>
      </w:tr>
      <w:tr>
        <w:tc>
          <w:tcPr>
            <w:tcW w:type="dxa" w:w="3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ECOG Performance Status</w:t>
            </w:r>
          </w:p>
        </w:tc>
        <w:tc>
          <w:tcPr>
            <w:tcW w:type="dxa" w:w="57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Day 1 of each cycle</w:t>
            </w:r>
          </w:p>
        </w:tc>
      </w:tr>
      <w:tr>
        <w:tc>
          <w:tcPr>
            <w:tcW w:type="dxa" w:w="36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Hematology (CBC, differential, platelets)</w:t>
            </w:r>
          </w:p>
        </w:tc>
        <w:tc>
          <w:tcPr>
            <w:tcW w:type="dxa" w:w="57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Day 1 of each cycle; additional per clinical indication</w:t>
            </w:r>
          </w:p>
        </w:tc>
      </w:tr>
      <w:tr>
        <w:tc>
          <w:tcPr>
            <w:tcW w:type="dxa" w:w="3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Chemistry (CMP, LFTs, lipase, amylase)</w:t>
            </w:r>
          </w:p>
        </w:tc>
        <w:tc>
          <w:tcPr>
            <w:tcW w:type="dxa" w:w="57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Day 1 of each cycle; additional per clinical indication</w:t>
            </w:r>
          </w:p>
        </w:tc>
      </w:tr>
      <w:tr>
        <w:tc>
          <w:tcPr>
            <w:tcW w:type="dxa" w:w="36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Thyroid Function (TSH, free T4)</w:t>
            </w:r>
          </w:p>
        </w:tc>
        <w:tc>
          <w:tcPr>
            <w:tcW w:type="dxa" w:w="57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Day 1, then every other cycle (Q6W) and as clinically indicated</w:t>
            </w:r>
          </w:p>
        </w:tc>
      </w:tr>
      <w:tr>
        <w:tc>
          <w:tcPr>
            <w:tcW w:type="dxa" w:w="3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Cortisol/ACTH (AM cortisol)</w:t>
            </w:r>
          </w:p>
        </w:tc>
        <w:tc>
          <w:tcPr>
            <w:tcW w:type="dxa" w:w="57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Baseline; if adrenal insufficiency suspected clinically</w:t>
            </w:r>
          </w:p>
        </w:tc>
      </w:tr>
      <w:tr>
        <w:tc>
          <w:tcPr>
            <w:tcW w:type="dxa" w:w="36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Urinalysis</w:t>
            </w:r>
          </w:p>
        </w:tc>
        <w:tc>
          <w:tcPr>
            <w:tcW w:type="dxa" w:w="57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Day 1 of each cycle</w:t>
            </w:r>
          </w:p>
        </w:tc>
      </w:tr>
      <w:tr>
        <w:tc>
          <w:tcPr>
            <w:tcW w:type="dxa" w:w="3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12-Lead ECG</w:t>
            </w:r>
          </w:p>
        </w:tc>
        <w:tc>
          <w:tcPr>
            <w:tcW w:type="dxa" w:w="57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Baseline; Day 1 Cycle 2; Day 1 Cycle 4; additional as clinically indicated</w:t>
            </w:r>
          </w:p>
        </w:tc>
      </w:tr>
      <w:tr>
        <w:tc>
          <w:tcPr>
            <w:tcW w:type="dxa" w:w="36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ADA/Immunogenicity sampling</w:t>
            </w:r>
          </w:p>
        </w:tc>
        <w:tc>
          <w:tcPr>
            <w:tcW w:type="dxa" w:w="57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Baseline, Day 1 Cycles 2, 4, 8, 13; EOT; 90-day follow-up</w:t>
            </w:r>
          </w:p>
        </w:tc>
      </w:tr>
      <w:tr>
        <w:tc>
          <w:tcPr>
            <w:tcW w:type="dxa" w:w="360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PK sampling</w:t>
            </w:r>
          </w:p>
        </w:tc>
        <w:tc>
          <w:tcPr>
            <w:tcW w:type="dxa" w:w="5760"/>
            <w:tcBorders>
              <w:top w:val="single" w:color="D0D5DE" w:sz="4"/>
              <w:left w:val="single" w:color="D0D5DE" w:sz="4"/>
              <w:bottom w:val="single" w:color="D0D5DE" w:sz="4"/>
              <w:right w:val="single" w:color="D0D5DE" w:sz="4"/>
            </w:tcBorders>
            <w:shd w:fill="FFFFFF"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Part A: intensive (pre-dose; EOI; 1, 4, 8, 24, 72, 168 hr post; trough); Part B: sparse sampling per PopPK design</w:t>
            </w:r>
          </w:p>
        </w:tc>
      </w:tr>
      <w:tr>
        <w:tc>
          <w:tcPr>
            <w:tcW w:type="dxa" w:w="360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Adverse Event Monitoring</w:t>
            </w:r>
          </w:p>
        </w:tc>
        <w:tc>
          <w:tcPr>
            <w:tcW w:type="dxa" w:w="5760"/>
            <w:tcBorders>
              <w:top w:val="single" w:color="D0D5DE" w:sz="4"/>
              <w:left w:val="single" w:color="D0D5DE" w:sz="4"/>
              <w:bottom w:val="single" w:color="D0D5DE" w:sz="4"/>
              <w:right w:val="single" w:color="D0D5DE" w:sz="4"/>
            </w:tcBorders>
            <w:shd w:fill="F2F4F7" w:val="clear"/>
            <w:tcMar>
              <w:top w:type="dxa" w:w="80"/>
              <w:left w:type="dxa" w:w="120"/>
              <w:bottom w:type="dxa" w:w="80"/>
              <w:right w:type="dxa" w:w="120"/>
            </w:tcMar>
          </w:tcPr>
          <w:p>
            <w:pPr>
              <w:spacing w:before="0" w:after="120" w:line="276" w:lineRule="auto"/>
              <w:jc w:val="left"/>
            </w:pPr>
            <w:r>
              <w:rPr>
                <w:rFonts w:ascii="Arial" w:cs="Arial" w:eastAsia="Arial" w:hAnsi="Arial"/>
                <w:b w:val="false"/>
                <w:bCs w:val="false"/>
                <w:i w:val="false"/>
                <w:iCs w:val="false"/>
                <w:color w:val="000000"/>
                <w:sz w:val="20"/>
                <w:szCs w:val="20"/>
              </w:rPr>
              <w:t xml:space="preserve">Continuous; SAE reporting within 24 hr of awareness per 21 CFR 312.32</w:t>
            </w:r>
          </w:p>
        </w:tc>
      </w:tr>
    </w:tbl>
    <w:p>
      <w:pPr>
        <w:pStyle w:val="Heading2"/>
        <w:pBdr>
          <w:bottom w:val="single" w:color="2E5FAC" w:sz="6"/>
        </w:pBdr>
        <w:spacing w:before="280" w:after="100"/>
      </w:pPr>
      <w:r>
        <w:rPr>
          <w:rFonts w:ascii="Arial" w:cs="Arial" w:eastAsia="Arial" w:hAnsi="Arial"/>
          <w:b/>
          <w:bCs/>
          <w:color w:val="1B3A6B"/>
          <w:sz w:val="26"/>
          <w:szCs w:val="26"/>
        </w:rPr>
        <w:t xml:space="preserve">5.7  Pharmacokinetic and Pharmacodynamic Assessments</w:t>
      </w:r>
    </w:p>
    <w:p>
      <w:pPr>
        <w:spacing w:before="60" w:after="100" w:line="276" w:lineRule="auto"/>
        <w:jc w:val="left"/>
      </w:pPr>
      <w:r>
        <w:rPr>
          <w:rFonts w:ascii="Arial" w:cs="Arial" w:eastAsia="Arial" w:hAnsi="Arial"/>
          <w:b w:val="false"/>
          <w:bCs w:val="false"/>
          <w:i w:val="false"/>
          <w:iCs w:val="false"/>
          <w:color w:val="000000"/>
          <w:sz w:val="22"/>
          <w:szCs w:val="22"/>
        </w:rPr>
        <w:t xml:space="preserve">Full PK sampling in Part A (Cycle 1 and Cycle 3 intensive) will enable non-compartmental analysis (NCA) and development of a population PK (PopPK) model. Sparse sampling in Part B will contribute to PopPK model refinement. PopPK analysis will be performed using NONMEM v7.5.</w:t>
      </w:r>
    </w:p>
    <w:p>
      <w:pPr>
        <w:spacing w:before="60" w:after="100" w:line="276" w:lineRule="auto"/>
        <w:jc w:val="left"/>
      </w:pPr>
      <w:r>
        <w:rPr>
          <w:rFonts w:ascii="Arial" w:cs="Arial" w:eastAsia="Arial" w:hAnsi="Arial"/>
          <w:b w:val="false"/>
          <w:bCs w:val="false"/>
          <w:i w:val="false"/>
          <w:iCs w:val="false"/>
          <w:color w:val="000000"/>
          <w:sz w:val="22"/>
          <w:szCs w:val="22"/>
        </w:rPr>
        <w:t xml:space="preserve">PD assessments: PD-1 receptor occupancy (RO) on peripheral T cells (CD4+ and CD8+) will be measured by flow cytometry using an Fc-silent anti-PD-1 antibody that competes with Cervimab binding. Target RO &gt;80% is the PD target. Additional T-cell activation markers (Ki-67, granzyme B, HLA-DR) will be assessed on PBMC samples. Tumor biopsies (mandatory at baseline; optional on-treatment biopsy at Cycle 2 Day 1) will be evaluated for PD-L1 (SP142 IHC assay, CPS scoring), CD8+ TIL density, and mutational biomarkers (TMB, MSI confirmation).</w:t>
      </w:r>
    </w:p>
    <w:p>
      <w:pPr>
        <w:pStyle w:val="Heading2"/>
        <w:pBdr>
          <w:bottom w:val="single" w:color="2E5FAC" w:sz="6"/>
        </w:pBdr>
        <w:spacing w:before="280" w:after="100"/>
      </w:pPr>
      <w:r>
        <w:rPr>
          <w:rFonts w:ascii="Arial" w:cs="Arial" w:eastAsia="Arial" w:hAnsi="Arial"/>
          <w:b/>
          <w:bCs/>
          <w:color w:val="1B3A6B"/>
          <w:sz w:val="26"/>
          <w:szCs w:val="26"/>
        </w:rPr>
        <w:t xml:space="preserve">5.8  Statistical Considerations</w:t>
      </w:r>
    </w:p>
    <w:p>
      <w:pPr>
        <w:pStyle w:val="Heading3"/>
        <w:spacing w:before="200" w:after="80"/>
      </w:pPr>
      <w:r>
        <w:rPr>
          <w:rFonts w:ascii="Arial" w:cs="Arial" w:eastAsia="Arial" w:hAnsi="Arial"/>
          <w:b/>
          <w:bCs/>
          <w:color w:val="2E5FAC"/>
          <w:sz w:val="24"/>
          <w:szCs w:val="24"/>
        </w:rPr>
        <w:t xml:space="preserve">5.8.1  Sample Size Rationale</w:t>
      </w:r>
    </w:p>
    <w:p>
      <w:pPr>
        <w:spacing w:before="60" w:after="100" w:line="276" w:lineRule="auto"/>
        <w:jc w:val="left"/>
      </w:pPr>
      <w:r>
        <w:rPr>
          <w:rFonts w:ascii="Arial" w:cs="Arial" w:eastAsia="Arial" w:hAnsi="Arial"/>
          <w:b w:val="false"/>
          <w:bCs w:val="false"/>
          <w:i w:val="false"/>
          <w:iCs w:val="false"/>
          <w:color w:val="000000"/>
          <w:sz w:val="22"/>
          <w:szCs w:val="22"/>
        </w:rPr>
        <w:t xml:space="preserve">Part A: The 3+3 design with mTPI-2 overlay will enroll approximately 3–6 patients per dose cohort. A total of 18–30 patients across 5–6 cohorts are expected.</w:t>
      </w:r>
    </w:p>
    <w:p>
      <w:pPr>
        <w:spacing w:before="60" w:after="100" w:line="276" w:lineRule="auto"/>
        <w:jc w:val="left"/>
      </w:pPr>
      <w:r>
        <w:rPr>
          <w:rFonts w:ascii="Arial" w:cs="Arial" w:eastAsia="Arial" w:hAnsi="Arial"/>
          <w:b w:val="false"/>
          <w:bCs w:val="false"/>
          <w:i w:val="false"/>
          <w:iCs w:val="false"/>
          <w:color w:val="000000"/>
          <w:sz w:val="22"/>
          <w:szCs w:val="22"/>
        </w:rPr>
        <w:t xml:space="preserve">Part B: Each expansion cohort (B1, B2, B3) targets approximately 40 patients. Based on published data for PD-1 inhibitors in dMMR/MSI-H mCRC (e.g., pembrolizumab: ORR ~33% in ≥2L; ~45% in 1L), assuming a target ORR of ≥35% (≥2L checkpoint-naive, B1), with a null hypothesis ORR of ≤15%, and using a one-stage Flemings design (α = 0.05, 1-β = 0.80), a sample size of 40 evaluable patients per cohort is required. This provides ≥80% power to detect a clinically meaningful ORR.</w:t>
      </w:r>
    </w:p>
    <w:p>
      <w:pPr>
        <w:pStyle w:val="Heading3"/>
        <w:spacing w:before="200" w:after="80"/>
      </w:pPr>
      <w:r>
        <w:rPr>
          <w:rFonts w:ascii="Arial" w:cs="Arial" w:eastAsia="Arial" w:hAnsi="Arial"/>
          <w:b/>
          <w:bCs/>
          <w:color w:val="2E5FAC"/>
          <w:sz w:val="24"/>
          <w:szCs w:val="24"/>
        </w:rPr>
        <w:t xml:space="preserve">5.8.2  Analysis Populations</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Safety Population: All patients who receive any dose of Cervimab.</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DLT Evaluable Population (Part A): All patients completing the DLT evaluation window without a protocol violation affecting DLT assessment.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Efficacy Evaluable Population (Part B): All patients receiving ≥1 dose of Cervimab at RP2D and having ≥1 post-baseline tumor assessment.</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PK Analysis Population: All patients with ≥1 measurable post-dose PK concentration.</w:t>
      </w:r>
    </w:p>
    <w:p>
      <w:pPr>
        <w:pStyle w:val="ListParagraph"/>
        <w:numPr>
          <w:ilvl w:val="0"/>
          <w:numId w:val="2"/>
        </w:numPr>
        <w:spacing w:before="40" w:after="40"/>
      </w:pPr>
      <w:r>
        <w:rPr>
          <w:rFonts w:ascii="Arial" w:cs="Arial" w:eastAsia="Arial" w:hAnsi="Arial"/>
          <w:b w:val="false"/>
          <w:bCs w:val="false"/>
          <w:i w:val="false"/>
          <w:iCs w:val="false"/>
          <w:color w:val="000000"/>
          <w:sz w:val="22"/>
          <w:szCs w:val="22"/>
        </w:rPr>
        <w:t xml:space="preserve">Full Analysis Set (FAS): All enrolled and dosed patients.</w:t>
      </w:r>
    </w:p>
    <w:p>
      <w:pPr>
        <w:pStyle w:val="Heading3"/>
        <w:spacing w:before="200" w:after="80"/>
      </w:pPr>
      <w:r>
        <w:rPr>
          <w:rFonts w:ascii="Arial" w:cs="Arial" w:eastAsia="Arial" w:hAnsi="Arial"/>
          <w:b/>
          <w:bCs/>
          <w:color w:val="2E5FAC"/>
          <w:sz w:val="24"/>
          <w:szCs w:val="24"/>
        </w:rPr>
        <w:t xml:space="preserve">5.8.3  Primary Efficacy Analysis</w:t>
      </w:r>
    </w:p>
    <w:p>
      <w:pPr>
        <w:spacing w:before="60" w:after="100" w:line="276" w:lineRule="auto"/>
        <w:jc w:val="left"/>
      </w:pPr>
      <w:r>
        <w:rPr>
          <w:rFonts w:ascii="Arial" w:cs="Arial" w:eastAsia="Arial" w:hAnsi="Arial"/>
          <w:b w:val="false"/>
          <w:bCs w:val="false"/>
          <w:i w:val="false"/>
          <w:iCs w:val="false"/>
          <w:color w:val="000000"/>
          <w:sz w:val="22"/>
          <w:szCs w:val="22"/>
        </w:rPr>
        <w:t xml:space="preserve">ORR (Part B) will be estimated with 95% exact binomial confidence intervals (Clopper-Pearson method). Response data will be based on BICR assessment per RECIST 1.1. Secondary endpoints will be estimated using Kaplan-Meier methodology (PFS, DOR, OS). Exploratory biomarker analyses will use logistic regression, Cox proportional hazards, and Spearman correlation as appropriate.</w:t>
      </w:r>
    </w:p>
    <w:p>
      <w:pPr>
        <w:pStyle w:val="Heading2"/>
        <w:pBdr>
          <w:bottom w:val="single" w:color="2E5FAC" w:sz="6"/>
        </w:pBdr>
        <w:spacing w:before="280" w:after="100"/>
      </w:pPr>
      <w:r>
        <w:rPr>
          <w:rFonts w:ascii="Arial" w:cs="Arial" w:eastAsia="Arial" w:hAnsi="Arial"/>
          <w:b/>
          <w:bCs/>
          <w:color w:val="1B3A6B"/>
          <w:sz w:val="26"/>
          <w:szCs w:val="26"/>
        </w:rPr>
        <w:t xml:space="preserve">5.9  Ethical Considerations and Regulatory Compliance</w:t>
      </w:r>
    </w:p>
    <w:p>
      <w:pPr>
        <w:spacing w:before="60" w:after="100" w:line="276" w:lineRule="auto"/>
        <w:jc w:val="left"/>
      </w:pPr>
      <w:r>
        <w:rPr>
          <w:rFonts w:ascii="Arial" w:cs="Arial" w:eastAsia="Arial" w:hAnsi="Arial"/>
          <w:b w:val="false"/>
          <w:bCs w:val="false"/>
          <w:i w:val="false"/>
          <w:iCs w:val="false"/>
          <w:color w:val="000000"/>
          <w:sz w:val="22"/>
          <w:szCs w:val="22"/>
        </w:rPr>
        <w:t xml:space="preserve">This study will be conducted in accordance with the Declaration of Helsinki, ICH E6(R2) Good Clinical Practice guidelines, 21 CFR Parts 50, 54, 56, and 312, and all applicable local regulations. Prior to study initiation at each site, IRB/IEC approval will be obtained. Informed consent will be obtained from all patients using a consent process that ensures comprehension and voluntary participation. An independent Data Safety Monitoring Board (DSMB) will review unblinded safety data at pre-specified intervals to provide oversight of patient safety throughout the study.</w:t>
      </w:r>
    </w:p>
    <w:p>
      <w:pPr>
        <w:pStyle w:val="Heading2"/>
        <w:pBdr>
          <w:bottom w:val="single" w:color="2E5FAC" w:sz="6"/>
        </w:pBdr>
        <w:spacing w:before="280" w:after="100"/>
      </w:pPr>
      <w:r>
        <w:rPr>
          <w:rFonts w:ascii="Arial" w:cs="Arial" w:eastAsia="Arial" w:hAnsi="Arial"/>
          <w:b/>
          <w:bCs/>
          <w:color w:val="1B3A6B"/>
          <w:sz w:val="26"/>
          <w:szCs w:val="26"/>
        </w:rPr>
        <w:t xml:space="preserve">5.10  Publication Policy</w:t>
      </w:r>
    </w:p>
    <w:p>
      <w:pPr>
        <w:spacing w:before="60" w:after="100" w:line="276" w:lineRule="auto"/>
        <w:jc w:val="left"/>
      </w:pPr>
      <w:r>
        <w:rPr>
          <w:rFonts w:ascii="Arial" w:cs="Arial" w:eastAsia="Arial" w:hAnsi="Arial"/>
          <w:b w:val="false"/>
          <w:bCs w:val="false"/>
          <w:i w:val="false"/>
          <w:iCs w:val="false"/>
          <w:color w:val="000000"/>
          <w:sz w:val="22"/>
          <w:szCs w:val="22"/>
        </w:rPr>
        <w:t xml:space="preserve">Results from this study will be reported to ClinicalTrials.gov within 1 year of study completion and submitted for peer-reviewed publication. Authorship criteria will follow ICMJE guidelines. Patient anonymity will be protected in all publications.</w:t>
      </w:r>
    </w:p>
    <w:p>
      <w:pPr>
        <w:spacing w:before="0" w:after="0"/>
      </w:pPr>
      <w:r>
        <w:br w:type="page"/>
      </w:r>
    </w:p>
    <w:p>
      <w:pPr>
        <w:shd w:fill="1B3A6B" w:val="clear"/>
        <w:spacing w:before="480" w:after="480"/>
        <w:ind w:left="0" w:right="0"/>
        <w:jc w:val="center"/>
      </w:pPr>
      <w:r>
        <w:rPr>
          <w:rFonts w:ascii="Arial" w:cs="Arial" w:eastAsia="Arial" w:hAnsi="Arial"/>
          <w:b/>
          <w:bCs/>
          <w:color w:val="FFFFFF"/>
          <w:sz w:val="38"/>
          <w:szCs w:val="38"/>
        </w:rPr>
        <w:t xml:space="preserve">SECTION 6: REFERENCES &amp; REGULATORY HISTORY</w:t>
      </w:r>
    </w:p>
    <w:p>
      <w:pPr>
        <w:pStyle w:val="Heading1"/>
        <w:shd w:fill="1B3A6B" w:val="clear"/>
        <w:spacing w:before="360" w:after="120"/>
        <w:ind w:left="200" w:right="200"/>
      </w:pPr>
      <w:r>
        <w:rPr>
          <w:rFonts w:ascii="Arial" w:cs="Arial" w:eastAsia="Arial" w:hAnsi="Arial"/>
          <w:b/>
          <w:bCs/>
          <w:color w:val="FFFFFF"/>
          <w:sz w:val="32"/>
          <w:szCs w:val="32"/>
        </w:rPr>
        <w:t xml:space="preserve">6. References</w:t>
      </w:r>
    </w:p>
    <w:p>
      <w:pPr>
        <w:pStyle w:val="Heading2"/>
        <w:pBdr>
          <w:bottom w:val="single" w:color="2E5FAC" w:sz="6"/>
        </w:pBdr>
        <w:spacing w:before="280" w:after="100"/>
      </w:pPr>
      <w:r>
        <w:rPr>
          <w:rFonts w:ascii="Arial" w:cs="Arial" w:eastAsia="Arial" w:hAnsi="Arial"/>
          <w:b/>
          <w:bCs/>
          <w:color w:val="1B3A6B"/>
          <w:sz w:val="26"/>
          <w:szCs w:val="26"/>
        </w:rPr>
        <w:t xml:space="preserve">6.1  Key Regulatory References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U.S. Food and Drug Administration. Guidance for Industry: Investigators, Sponsors, IRBs. Content and Format of INDs for Phase 1 Studies of Drugs, Including Well-Characterized, Therapeutic, Biotechnology-Derived Products. 1995.</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21 CFR Part 312 — Investigational New Drug Application. Electronic Code of Federal Regulations.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21 CFR Parts 210/211 — Current Good Manufacturing Practice. Electronic Code of Federal Regulations.</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ICH Guideline E6(R2) — Good Clinical Practice: Integrated Addendum to ICH E6(R1). 2016.</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ICH Guideline S6(R1) — Preclinical Safety Evaluation of Biotechnology-Derived Pharmaceuticals. 2011.</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ICH Guideline S7A — Safety Pharmacology Studies for Human Pharmaceuticals. 2000.</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ICH Guideline S9 — Nonclinical Evaluation for Anticancer Pharmaceuticals. 2009.</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ICH Guideline Q8(R2) — Pharmaceutical Development. 2009.</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ICH Guideline Q5A(R2) — Viral Safety Evaluation of Biotechnology Products Derived from Cell Lines of Human or Animal Origin. 2023 (Revised).</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U.S. FDA Guidance for Industry: Estimating the Maximum Safe Starting Dose in Initial Clinical Trials for Therapeutics in Adult Healthy Volunteers. 2005.</w:t>
      </w:r>
    </w:p>
    <w:p>
      <w:pPr>
        <w:pStyle w:val="Heading2"/>
        <w:pBdr>
          <w:bottom w:val="single" w:color="2E5FAC" w:sz="6"/>
        </w:pBdr>
        <w:spacing w:before="280" w:after="100"/>
      </w:pPr>
      <w:r>
        <w:rPr>
          <w:rFonts w:ascii="Arial" w:cs="Arial" w:eastAsia="Arial" w:hAnsi="Arial"/>
          <w:b/>
          <w:bCs/>
          <w:color w:val="1B3A6B"/>
          <w:sz w:val="26"/>
          <w:szCs w:val="26"/>
        </w:rPr>
        <w:t xml:space="preserve">6.2  Key Clinical Literature</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Le DT, Durham JN, Smith KN, et al. Mismatch repair deficiency predicts response of solid tumors to PD-1 blockade. Science. 2017;357(6349):409-413.</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André T, Shiu KK, Kim TW, et al. Pembrolizumab in microsatellite-instability-high advanced colorectal cancer. N Engl J Med. 2020;383(23):2207-2218.</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Overman MJ, Lonardi S, Wong KYM, et al. Durable clinical benefit with nivolumab plus ipilimumab in DNA mismatch repair-deficient/microsatellite instability-high metastatic colorectal cancer. J Clin Oncol. 2018;36(8):773-779.</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Siegel RL, Miller KD, Wagle NS, Jemal A. Cancer statistics, 2023. CA Cancer J Clin. 2023;73(1):17-48.</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Ribas A, Wolchok JD. Cancer immunotherapy using checkpoint blockade. Science. 2018;359(6382):1350-1355.</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FDA Breakthrough Therapy Designation Guidance. US FDA. 2019.</w:t>
      </w:r>
    </w:p>
    <w:p>
      <w:pPr>
        <w:pStyle w:val="ListParagraph"/>
        <w:numPr>
          <w:ilvl w:val="0"/>
          <w:numId w:val="3"/>
        </w:numPr>
        <w:spacing w:before="40" w:after="40"/>
      </w:pPr>
      <w:r>
        <w:rPr>
          <w:rFonts w:ascii="Arial" w:cs="Arial" w:eastAsia="Arial" w:hAnsi="Arial"/>
          <w:b w:val="false"/>
          <w:bCs w:val="false"/>
          <w:i w:val="false"/>
          <w:iCs w:val="false"/>
          <w:color w:val="000000"/>
          <w:sz w:val="22"/>
          <w:szCs w:val="22"/>
        </w:rPr>
        <w:t xml:space="preserve">Chen L, Han X. Anti-PD-1/PD-L1 therapy of human cancer: past, present, and future. J Clin Invest. 2015;125(9):3384-3391.</w:t>
      </w:r>
    </w:p>
    <w:p>
      <w:pPr>
        <w:spacing w:before="360" w:after="0"/>
      </w:pPr>
      <w:r>
        <w:rPr>
          <w:rFonts w:ascii="Arial" w:cs="Arial" w:eastAsia="Arial" w:hAnsi="Arial"/>
          <w:b w:val="false"/>
          <w:bCs w:val="false"/>
          <w:i w:val="false"/>
          <w:iCs w:val="false"/>
          <w:color w:val="000000"/>
          <w:sz w:val="22"/>
          <w:szCs w:val="22"/>
        </w:rPr>
        <w:t xml:space="preserve"/>
      </w:r>
    </w:p>
    <w:p>
      <w:pPr>
        <w:pBdr>
          <w:top w:val="single" w:color="2E5FAC" w:sz="4"/>
          <w:bottom w:val="single" w:color="2E5FAC" w:sz="4"/>
        </w:pBdr>
        <w:spacing w:before="200" w:after="200"/>
        <w:jc w:val="center"/>
      </w:pPr>
      <w:r>
        <w:rPr>
          <w:rFonts w:ascii="Arial" w:cs="Arial" w:eastAsia="Arial" w:hAnsi="Arial"/>
          <w:i/>
          <w:iCs/>
          <w:color w:val="4A4A4A"/>
          <w:sz w:val="18"/>
          <w:szCs w:val="18"/>
        </w:rPr>
        <w:t xml:space="preserve">END OF DOCUMENT — CONFIDENTIAL &amp; PROPRIETARY — CERVANTES BIOTHERAPEUTICS, INC.</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6"/>
      </w:pBdr>
      <w:spacing w:before="60" w:after="0"/>
      <w:jc w:val="center"/>
    </w:pPr>
    <w:r>
      <w:rPr>
        <w:rFonts w:ascii="Arial" w:cs="Arial" w:eastAsia="Arial" w:hAnsi="Arial"/>
        <w:b w:val="false"/>
        <w:bCs w:val="false"/>
        <w:i w:val="false"/>
        <w:iCs w:val="false"/>
        <w:color w:val="4A4A4A"/>
        <w:sz w:val="16"/>
        <w:szCs w:val="16"/>
      </w:rPr>
      <w:t xml:space="preserve">CERV-IND-001 v1.0  |  DRAFT — FOR REGULATORY REVIEW ONLY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6"/>
      </w:pBdr>
      <w:spacing w:before="0" w:after="60"/>
    </w:pPr>
    <w:r>
      <w:rPr>
        <w:rFonts w:ascii="Arial" w:cs="Arial" w:eastAsia="Arial" w:hAnsi="Arial"/>
        <w:b w:val="false"/>
        <w:bCs w:val="false"/>
        <w:i w:val="false"/>
        <w:iCs w:val="false"/>
        <w:color w:val="4A4A4A"/>
        <w:sz w:val="16"/>
        <w:szCs w:val="16"/>
      </w:rPr>
      <w:t xml:space="preserve">CONFIDENTIAL — CERVANTES BIOTHERAPEUTICS, INC.   |   CERVIMAB IND APPLICATION   |   21 CFR Part 312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B3A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5FA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2026-03-16T13:09:03.463Z</dcterms:created>
  <dcterms:modified xsi:type="dcterms:W3CDTF">2026-03-16T13:09:03.464Z</dcterms:modified>
</cp:coreProperties>
</file>

<file path=docProps/custom.xml><?xml version="1.0" encoding="utf-8"?>
<Properties xmlns="http://schemas.openxmlformats.org/officeDocument/2006/custom-properties" xmlns:vt="http://schemas.openxmlformats.org/officeDocument/2006/docPropsVTypes"/>
</file>