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PHASE 2a REGULATORY DOCUMENT PACKAGE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CERVIMAB — CVB-CRC-201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Anti-PD-1 Inhibitor for dMMR/MSI-H Metastatic Colorectal Cancer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Cervi Therapeutics, Inc. | Cambridge, MA | IND #XXXXX | 01 March 2025</w:t>
      </w:r>
    </w:p>
    <w:p>
      <w:r>
        <w:t xml:space="preserve"/>
      </w:r>
    </w:p>
    <w:p>
      <w:pPr>
        <w:pStyle w:val="Heading1"/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DOCUMENT PACKAGE INDEX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01 — Phase 2a Protocol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01_CVB-CRC-201_Protocol_v1.0.docx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Final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02 — Informed Consent 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02_CVB-CRC-201_ICF_v1.0.docx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Final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03 — eCRF Design Specification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03_CVB-CRC-201_eCRF_Design_v1.0.docx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Final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04 — Statistical Analysis Plan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04_CVB-CRC-201_SAP_v1.0.docx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Final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05 — Clinical Study Report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05_CVB-CRC-201_CSR_v1.0.docx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Final v1.0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REGULATORY ALIGNMENT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documents in this package were prepared in accordance with applicable US FDA regulations and international guidelines: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Governing Regulation(s)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Key Standards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CFR 312.23 (IND); 21 CFR 312.60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ICH E6(R2) GCP; ICH E8(R1); Simon 2-stage design; RECIST v1.1; CTCAE v5.0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Informed Consent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CFR Part 50; 45 CFR Part 46 (Common Rule); HIPAA (45 CFR Parts 160/164)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Declaration of Helsinki; ICH E6(R2); FDA Guidance: Informed Consent (2019)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eCRF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CFR Part 11 (Electronic Records); ICH E6(R2) Section 5.5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CDISC CDASH v2.1; Oncology TA User Guide v1.0; MedDRA v26.0; CTCAE v5.0; ALCOA+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Statistical Analysis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CFR 312.23; FDA Statistical Guidance on Clinical Trials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ICH E9(R1); ICH E10; Simon Optimal Design; Clopper-Pearson CI; Kaplan-Meier; RECIST 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Clinical Study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CFR 314.50 (NDA); 21 CFR 601.2 (BLA)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ICH E3 (CSR Structure); ICH E6(R2); CDISC SDTM/ADaM for submission datasets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STUDY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Drug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Cervimab — Fully Humanized IgG4 Anti-PD-1 Monoclonal Antibody (S228P stabilized)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Dose /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mg IV every 3 weeks (Q3W); up to 32 cycles (~24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Previously treated dMMR/MSI-H Metastatic Colorectal Cancer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Study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Open-label, single-arm, multicenter; Simon Optimal 2-stage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Sample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evaluable (Stage 1: N=19; Stage 2: N=21)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Primary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ORR by BICR per RECIST v1.1; reject H0 (ORR&lt;=20%) if &gt;=13 responses in 40 patients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Key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DoR, PFS, OS, DCR, Safety (CTCAE v5.0)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Key Inclusion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dMMR/MSI-H confirmed (IHC or molecular); measurable disease; ECOG PS 0-1; &gt;=1 prior 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Key Exclusion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 anti-PD-1/PD-L1; active autoimmune disease; active IBD; systemic steroids &gt;10 mg/d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9"/>
                <w:szCs w:val="19"/>
              </w:rPr>
              <w:t xml:space="preserve">Key Phase 2a Results (CSR)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ORR = 42.5% (17/40; 95% CI: 27.0%, 59.1%) — H0 REJECTED (p=0.011) | Median DoR: NR | Median PFS: 8.3 months | 12-mo OS: 79.8% | No treatment-related deaths</w:t>
            </w:r>
          </w:p>
        </w:tc>
      </w:tr>
    </w:tbl>
    <w:p>
      <w:r>
        <w:t xml:space="preserve"/>
      </w:r>
    </w:p>
    <w:sectPr>
      <w:headerReference w:type="default" r:id="rId6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7375E"/>
        <w:sz w:val="18"/>
        <w:szCs w:val="18"/>
      </w:rPr>
      <w:t xml:space="preserve">CERVIMAB (CVB-CRC-201) — PHASE 2a DOCUMENT PACKAGE INDEX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80"/>
      <w:outlineLvl w:val="0"/>
    </w:pPr>
    <w:rPr>
      <w:rFonts w:ascii="Arial" w:cs="Arial" w:eastAsia="Arial" w:hAnsi="Arial"/>
      <w:b/>
      <w:bCs/>
      <w:color w:val="1737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2026-03-16T13:58:00.302Z</dcterms:created>
  <dcterms:modified xsi:type="dcterms:W3CDTF">2026-03-16T13:58:00.303Z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