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80" w:after="120"/>
        <w:jc w:val="center"/>
      </w:pPr>
      <w:r>
        <w:rPr>
          <w:rFonts w:ascii="Arial" w:cs="Arial" w:eastAsia="Arial" w:hAnsi="Arial"/>
          <w:b/>
          <w:bCs/>
          <w:color w:val="17375E"/>
          <w:sz w:val="40"/>
          <w:szCs w:val="40"/>
        </w:rPr>
        <w:t xml:space="preserve">STATISTICAL ANALYSIS PLAN</w:t>
      </w:r>
    </w:p>
    <w:p>
      <w:pPr>
        <w:spacing w:before="0" w:after="120"/>
        <w:jc w:val="center"/>
      </w:pPr>
      <w:r>
        <w:rPr>
          <w:rFonts w:ascii="Arial" w:cs="Arial" w:eastAsia="Arial" w:hAnsi="Arial"/>
          <w:b/>
          <w:bCs/>
          <w:color w:val="1F4E79"/>
          <w:sz w:val="26"/>
          <w:szCs w:val="26"/>
        </w:rPr>
        <w:t xml:space="preserve">Phase 2a Study of Cervimab in dMMR/MSI-H Metastatic Colorectal Cancer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Parameter</w:t>
            </w:r>
          </w:p>
        </w:tc>
        <w:tc>
          <w:tcPr>
            <w:tcW w:type="dxa" w:w="63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Protocol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CVB-CRC-201</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Document Type</w:t>
            </w:r>
          </w:p>
        </w:tc>
        <w:tc>
          <w:tcPr>
            <w:tcW w:type="dxa" w:w="63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Statistical Analysis Plan (SAP)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Sponsor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Cervi Therapeutics, Inc.</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Statistician</w:t>
            </w:r>
          </w:p>
        </w:tc>
        <w:tc>
          <w:tcPr>
            <w:tcW w:type="dxa" w:w="63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John A. Smith, PhD, Senior Biostatistician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Statistical Programming Lead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Mary L. Chen, SAS Programming Lead</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Version</w:t>
            </w:r>
          </w:p>
        </w:tc>
        <w:tc>
          <w:tcPr>
            <w:tcW w:type="dxa" w:w="63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01 March 2025</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Software</w:t>
            </w:r>
          </w:p>
        </w:tc>
        <w:tc>
          <w:tcPr>
            <w:tcW w:type="dxa" w:w="63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SAS v9.4 (primary); R v4.3.1 (sensitivity/exploratory)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FINAL — approved prior to database lock</w:t>
            </w:r>
          </w:p>
        </w:tc>
      </w:tr>
    </w:tbl>
    <w:p>
      <w:r>
        <w:t xml:space="preserve"/>
      </w:r>
    </w:p>
    <w:p>
      <w:pPr>
        <w:spacing w:before="60" w:after="60"/>
        <w:jc w:val="center"/>
      </w:pPr>
      <w:r>
        <w:rPr>
          <w:rFonts w:ascii="Arial" w:cs="Arial" w:eastAsia="Arial" w:hAnsi="Arial"/>
          <w:b/>
          <w:bCs/>
          <w:color w:val="CC0000"/>
          <w:sz w:val="18"/>
          <w:szCs w:val="18"/>
        </w:rPr>
        <w:t xml:space="preserve">IMPORTANT: This SAP is finalized before database lock and unblinding. Any post-hoc analyses added after the primary analysis will be clearly identified as such.</w:t>
      </w:r>
    </w:p>
    <w:p>
      <w:pPr>
        <w:pageBreakBefore/>
      </w:pPr>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1. INTRODUCTION</w:t>
      </w:r>
    </w:p>
    <w:p>
      <w:pPr>
        <w:pStyle w:val="Heading2"/>
        <w:spacing w:before="200" w:after="80"/>
      </w:pPr>
      <w:r>
        <w:rPr>
          <w:rFonts w:ascii="Arial" w:cs="Arial" w:eastAsia="Arial" w:hAnsi="Arial"/>
          <w:b/>
          <w:bCs/>
          <w:color w:val="1F4E79"/>
          <w:sz w:val="24"/>
          <w:szCs w:val="24"/>
        </w:rPr>
        <w:t xml:space="preserve">1.1 Purpose</w:t>
      </w:r>
    </w:p>
    <w:p>
      <w:pPr>
        <w:spacing w:before="60" w:after="80"/>
      </w:pPr>
      <w:r>
        <w:rPr>
          <w:rFonts w:ascii="Arial" w:cs="Arial" w:eastAsia="Arial" w:hAnsi="Arial"/>
          <w:sz w:val="20"/>
          <w:szCs w:val="20"/>
        </w:rPr>
        <w:t xml:space="preserve">This Statistical Analysis Plan (SAP) describes the planned statistical analyses for the CVB-CRC-201 clinical study. It is intended to pre-specify all primary, secondary, and key exploratory analyses to be performed in order to minimize potential bias and ensure transparency of the analytical approach. This SAP was finalized and approved prior to database lock and unblinding of the primary efficacy data.</w:t>
      </w:r>
    </w:p>
    <w:p>
      <w:pPr>
        <w:spacing w:before="60" w:after="80"/>
      </w:pPr>
      <w:r>
        <w:rPr>
          <w:rFonts w:ascii="Arial" w:cs="Arial" w:eastAsia="Arial" w:hAnsi="Arial"/>
          <w:sz w:val="20"/>
          <w:szCs w:val="20"/>
        </w:rPr>
        <w:t xml:space="preserve">This SAP should be read in conjunction with the study protocol (Version 1.0, 01 March 2025) and the Data Management Plan. In case of any discrepancy between this SAP and the protocol, the SAP takes precedence for the purposes of statistical analysis.</w:t>
      </w:r>
    </w:p>
    <w:p>
      <w:pPr>
        <w:pStyle w:val="Heading2"/>
        <w:spacing w:before="200" w:after="80"/>
      </w:pPr>
      <w:r>
        <w:rPr>
          <w:rFonts w:ascii="Arial" w:cs="Arial" w:eastAsia="Arial" w:hAnsi="Arial"/>
          <w:b/>
          <w:bCs/>
          <w:color w:val="1F4E79"/>
          <w:sz w:val="24"/>
          <w:szCs w:val="24"/>
        </w:rPr>
        <w:t xml:space="preserve">1.2 Study Design Summary</w:t>
      </w:r>
    </w:p>
    <w:p>
      <w:pPr>
        <w:spacing w:before="60" w:after="80"/>
      </w:pPr>
      <w:r>
        <w:rPr>
          <w:rFonts w:ascii="Arial" w:cs="Arial" w:eastAsia="Arial" w:hAnsi="Arial"/>
          <w:sz w:val="20"/>
          <w:szCs w:val="20"/>
        </w:rPr>
        <w:t xml:space="preserve">CVB-CRC-201 is a Phase 2a, open-label, single-arm, multicenter study of cervimab 200 mg IV Q3W in patients with dMMR/MSI-H mCRC who have received at least 1 prior line of systemic therapy. The study employs a two-stage Simon Optimal design with the following parameters:</w:t>
      </w:r>
    </w:p>
    <w:p>
      <w:pPr>
        <w:pStyle w:val="ListParagraph"/>
        <w:numPr>
          <w:ilvl w:val="0"/>
          <w:numId w:val="2"/>
        </w:numPr>
        <w:spacing w:before="40" w:after="40"/>
      </w:pPr>
      <w:r>
        <w:rPr>
          <w:rFonts w:ascii="Arial" w:cs="Arial" w:eastAsia="Arial" w:hAnsi="Arial"/>
          <w:sz w:val="20"/>
          <w:szCs w:val="20"/>
        </w:rPr>
        <w:t xml:space="preserve">Null hypothesis (H0): ORR (p0) &lt;= 20%</w:t>
      </w:r>
    </w:p>
    <w:p>
      <w:pPr>
        <w:pStyle w:val="ListParagraph"/>
        <w:numPr>
          <w:ilvl w:val="0"/>
          <w:numId w:val="2"/>
        </w:numPr>
        <w:spacing w:before="40" w:after="40"/>
      </w:pPr>
      <w:r>
        <w:rPr>
          <w:rFonts w:ascii="Arial" w:cs="Arial" w:eastAsia="Arial" w:hAnsi="Arial"/>
          <w:sz w:val="20"/>
          <w:szCs w:val="20"/>
        </w:rPr>
        <w:t xml:space="preserve">Alternative hypothesis (H1): ORR (p1) &gt;= 40%</w:t>
      </w:r>
    </w:p>
    <w:p>
      <w:pPr>
        <w:pStyle w:val="ListParagraph"/>
        <w:numPr>
          <w:ilvl w:val="0"/>
          <w:numId w:val="2"/>
        </w:numPr>
        <w:spacing w:before="40" w:after="40"/>
      </w:pPr>
      <w:r>
        <w:rPr>
          <w:rFonts w:ascii="Arial" w:cs="Arial" w:eastAsia="Arial" w:hAnsi="Arial"/>
          <w:sz w:val="20"/>
          <w:szCs w:val="20"/>
        </w:rPr>
        <w:t xml:space="preserve">One-sided alpha: 0.05</w:t>
      </w:r>
    </w:p>
    <w:p>
      <w:pPr>
        <w:pStyle w:val="ListParagraph"/>
        <w:numPr>
          <w:ilvl w:val="0"/>
          <w:numId w:val="2"/>
        </w:numPr>
        <w:spacing w:before="40" w:after="40"/>
      </w:pPr>
      <w:r>
        <w:rPr>
          <w:rFonts w:ascii="Arial" w:cs="Arial" w:eastAsia="Arial" w:hAnsi="Arial"/>
          <w:sz w:val="20"/>
          <w:szCs w:val="20"/>
        </w:rPr>
        <w:t xml:space="preserve">Power: 80%</w:t>
      </w:r>
    </w:p>
    <w:p>
      <w:pPr>
        <w:pStyle w:val="ListParagraph"/>
        <w:numPr>
          <w:ilvl w:val="0"/>
          <w:numId w:val="2"/>
        </w:numPr>
        <w:spacing w:before="40" w:after="40"/>
      </w:pPr>
      <w:r>
        <w:rPr>
          <w:rFonts w:ascii="Arial" w:cs="Arial" w:eastAsia="Arial" w:hAnsi="Arial"/>
          <w:sz w:val="20"/>
          <w:szCs w:val="20"/>
        </w:rPr>
        <w:t xml:space="preserve">Stage 1: N=19; continue if &gt;= 6 responses</w:t>
      </w:r>
    </w:p>
    <w:p>
      <w:pPr>
        <w:pStyle w:val="ListParagraph"/>
        <w:numPr>
          <w:ilvl w:val="0"/>
          <w:numId w:val="2"/>
        </w:numPr>
        <w:spacing w:before="40" w:after="40"/>
      </w:pPr>
      <w:r>
        <w:rPr>
          <w:rFonts w:ascii="Arial" w:cs="Arial" w:eastAsia="Arial" w:hAnsi="Arial"/>
          <w:sz w:val="20"/>
          <w:szCs w:val="20"/>
        </w:rPr>
        <w:t xml:space="preserve">Stage 2: Total N=40; reject H0 if &gt;= 13 responses</w:t>
      </w:r>
    </w:p>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2. ANALYSIS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Population</w:t>
            </w:r>
          </w:p>
        </w:tc>
        <w:tc>
          <w:tcPr>
            <w:tcW w:type="dxa" w:w="4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Definition</w:t>
            </w:r>
          </w:p>
        </w:tc>
        <w:tc>
          <w:tcPr>
            <w:tcW w:type="dxa" w:w="28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Primary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Intent-to-Treat (ITT)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All enrolled patients who received at least 1 dose of cervimab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secondary to EE for efficacy</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Efficacy-Evaluable (EE)</w:t>
            </w:r>
          </w:p>
        </w:tc>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All ITT patients with at least 1 post-baseline tumor assessment OR who discontinued due to PD or death before first assessment</w:t>
            </w:r>
          </w:p>
        </w:tc>
        <w:tc>
          <w:tcPr>
            <w:tcW w:type="dxa" w:w="28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PRIMARY efficacy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Population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All ITT patients (identical to ITT for this single-arm study)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All safety analyses; summarized as Safety Pop.</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Per-Protocol (PP)</w:t>
            </w:r>
          </w:p>
        </w:tc>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EE patients with no major protocol deviations affecting efficacy evaluation (defined prospectively before unblinding)</w:t>
            </w:r>
          </w:p>
        </w:tc>
        <w:tc>
          <w:tcPr>
            <w:tcW w:type="dxa" w:w="28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Sensitivity analysis for ORR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Pharmacokinetic (PK) Population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All Safety Population patients with at least 1 evaluable PK concentration sample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PK analyses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Biomarker-Evaluable Population</w:t>
            </w:r>
          </w:p>
        </w:tc>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All patients with evaluable biomarker sample for given biomarker (PD-L1, TMB, ctDNA — defined separately)</w:t>
            </w:r>
          </w:p>
        </w:tc>
        <w:tc>
          <w:tcPr>
            <w:tcW w:type="dxa" w:w="28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Exploratory biomarker analyses</w:t>
            </w:r>
          </w:p>
        </w:tc>
      </w:tr>
    </w:tbl>
    <w:p>
      <w:r>
        <w:t xml:space="preserve"/>
      </w:r>
    </w:p>
    <w:p>
      <w:pPr>
        <w:spacing w:before="60" w:after="80"/>
      </w:pPr>
      <w:r>
        <w:rPr>
          <w:rFonts w:ascii="Arial" w:cs="Arial" w:eastAsia="Arial" w:hAnsi="Arial"/>
          <w:sz w:val="20"/>
          <w:szCs w:val="20"/>
        </w:rPr>
        <w:t xml:space="preserve">A patient is considered non-evaluable for efficacy if they: (a) withdraw consent before any tumor assessment and did not progress; (b) are lost to follow-up before any tumor assessment; or (c) have technical imaging failure preventing any post-baseline response determination. Non-evaluable patients are counted as non-responders in sensitivity analyses.</w:t>
      </w:r>
    </w:p>
    <w:p>
      <w:pPr>
        <w:pageBreakBefore/>
      </w:pPr>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3. ENDPOINTS AND ANALYSIS METHODS</w:t>
      </w:r>
    </w:p>
    <w:p>
      <w:pPr>
        <w:pStyle w:val="Heading2"/>
        <w:spacing w:before="200" w:after="80"/>
      </w:pPr>
      <w:r>
        <w:rPr>
          <w:rFonts w:ascii="Arial" w:cs="Arial" w:eastAsia="Arial" w:hAnsi="Arial"/>
          <w:b/>
          <w:bCs/>
          <w:color w:val="1F4E79"/>
          <w:sz w:val="24"/>
          <w:szCs w:val="24"/>
        </w:rPr>
        <w:t xml:space="preserve">3.1 Primary Endpoint: Objective Response Rate (ORR)</w:t>
      </w:r>
    </w:p>
    <w:p>
      <w:pPr>
        <w:pStyle w:val="Heading3"/>
        <w:spacing w:before="160" w:after="60"/>
      </w:pPr>
      <w:r>
        <w:rPr>
          <w:rFonts w:ascii="Arial" w:cs="Arial" w:eastAsia="Arial" w:hAnsi="Arial"/>
          <w:b/>
          <w:bCs/>
          <w:color w:val="2E75B6"/>
          <w:sz w:val="22"/>
          <w:szCs w:val="22"/>
        </w:rPr>
        <w:t xml:space="preserve">3.1.1 Definition</w:t>
      </w:r>
    </w:p>
    <w:p>
      <w:pPr>
        <w:spacing w:before="60" w:after="80"/>
      </w:pPr>
      <w:r>
        <w:rPr>
          <w:rFonts w:ascii="Arial" w:cs="Arial" w:eastAsia="Arial" w:hAnsi="Arial"/>
          <w:sz w:val="20"/>
          <w:szCs w:val="20"/>
        </w:rPr>
        <w:t xml:space="preserve">ORR is defined as the proportion of patients in the EE Population who achieve a Confirmed Complete Response (CR) or Confirmed Partial Response (PR) as the best overall response (BOR), according to RECIST v1.1 criteria assessed by Blinded Independent Central Review (BICR).</w:t>
      </w:r>
    </w:p>
    <w:p>
      <w:pPr>
        <w:spacing w:before="60" w:after="80"/>
      </w:pPr>
      <w:r>
        <w:rPr>
          <w:rFonts w:ascii="Arial" w:cs="Arial" w:eastAsia="Arial" w:hAnsi="Arial"/>
          <w:sz w:val="20"/>
          <w:szCs w:val="20"/>
        </w:rPr>
        <w:t xml:space="preserve">Confirmation of response requires a second response assessment no sooner than 4 weeks (28 days) after the initial response criteria are met.</w:t>
      </w:r>
    </w:p>
    <w:p>
      <w:pPr>
        <w:pStyle w:val="Heading3"/>
        <w:spacing w:before="160" w:after="60"/>
      </w:pPr>
      <w:r>
        <w:rPr>
          <w:rFonts w:ascii="Arial" w:cs="Arial" w:eastAsia="Arial" w:hAnsi="Arial"/>
          <w:b/>
          <w:bCs/>
          <w:color w:val="2E75B6"/>
          <w:sz w:val="22"/>
          <w:szCs w:val="22"/>
        </w:rPr>
        <w:t xml:space="preserve">3.1.2 Statistical Method</w:t>
      </w:r>
    </w:p>
    <w:p>
      <w:pPr>
        <w:spacing w:before="60" w:after="80"/>
      </w:pPr>
      <w:r>
        <w:rPr>
          <w:rFonts w:ascii="Arial" w:cs="Arial" w:eastAsia="Arial" w:hAnsi="Arial"/>
          <w:sz w:val="20"/>
          <w:szCs w:val="20"/>
        </w:rPr>
        <w:t xml:space="preserve">ORR will be estimated as:</w:t>
      </w:r>
    </w:p>
    <w:p>
      <w:pPr>
        <w:spacing w:before="80" w:after="80"/>
        <w:jc w:val="center"/>
      </w:pPr>
      <w:r>
        <w:rPr>
          <w:rFonts w:ascii="Courier New" w:cs="Courier New" w:eastAsia="Courier New" w:hAnsi="Courier New"/>
          <w:i/>
          <w:iCs/>
          <w:sz w:val="20"/>
          <w:szCs w:val="20"/>
        </w:rPr>
        <w:t xml:space="preserve">ORR = (Number of Confirmed CR + Confirmed PR) / N(EE) x 100%</w:t>
      </w:r>
    </w:p>
    <w:p>
      <w:pPr>
        <w:spacing w:before="60" w:after="80"/>
      </w:pPr>
      <w:r>
        <w:rPr>
          <w:rFonts w:ascii="Arial" w:cs="Arial" w:eastAsia="Arial" w:hAnsi="Arial"/>
          <w:sz w:val="20"/>
          <w:szCs w:val="20"/>
        </w:rPr>
        <w:t xml:space="preserve">A two-sided 95% exact Clopper-Pearson confidence interval will be computed. The hypothesis test will be one-sided at alpha = 0.05.</w:t>
      </w:r>
    </w:p>
    <w:p>
      <w:pPr>
        <w:spacing w:before="60" w:after="80"/>
      </w:pPr>
      <w:r>
        <w:rPr>
          <w:rFonts w:ascii="Arial" w:cs="Arial" w:eastAsia="Arial" w:hAnsi="Arial"/>
          <w:sz w:val="20"/>
          <w:szCs w:val="20"/>
        </w:rPr>
        <w:t xml:space="preserve">The null hypothesis H0: ORR &lt;= 20% will be rejected if &gt;= 13 confirmed responses are observed in 40 evaluable patients. The one-sided p-value will be computed based on the exact binomial test:</w:t>
      </w:r>
    </w:p>
    <w:p>
      <w:pPr>
        <w:spacing w:before="80" w:after="80"/>
        <w:jc w:val="center"/>
      </w:pPr>
      <w:r>
        <w:rPr>
          <w:rFonts w:ascii="Courier New" w:cs="Courier New" w:eastAsia="Courier New" w:hAnsi="Courier New"/>
          <w:i/>
          <w:iCs/>
          <w:sz w:val="20"/>
          <w:szCs w:val="20"/>
        </w:rPr>
        <w:t xml:space="preserve">p = P(X &gt;= 13 | n=40, p0=0.20) = 1 - CDF(Binomial(40, 0.20), 12)</w:t>
      </w:r>
    </w:p>
    <w:p>
      <w:pPr>
        <w:spacing w:before="60" w:after="80"/>
      </w:pPr>
      <w:r>
        <w:rPr>
          <w:rFonts w:ascii="Arial" w:cs="Arial" w:eastAsia="Arial" w:hAnsi="Arial"/>
          <w:sz w:val="20"/>
          <w:szCs w:val="20"/>
        </w:rPr>
        <w:t xml:space="preserve">Patients with unknown or unconfirmed best overall response will be counted as non-responders (PR/SD cannot be confirmed) in the primary analysis.</w:t>
      </w:r>
    </w:p>
    <w:p>
      <w:pPr>
        <w:pStyle w:val="Heading3"/>
        <w:spacing w:before="160" w:after="60"/>
      </w:pPr>
      <w:r>
        <w:rPr>
          <w:rFonts w:ascii="Arial" w:cs="Arial" w:eastAsia="Arial" w:hAnsi="Arial"/>
          <w:b/>
          <w:bCs/>
          <w:color w:val="2E75B6"/>
          <w:sz w:val="22"/>
          <w:szCs w:val="22"/>
        </w:rPr>
        <w:t xml:space="preserve">3.1.3 Sensitivity Analyses for ORR</w:t>
      </w:r>
    </w:p>
    <w:p>
      <w:pPr>
        <w:pStyle w:val="ListParagraph"/>
        <w:numPr>
          <w:ilvl w:val="0"/>
          <w:numId w:val="2"/>
        </w:numPr>
        <w:spacing w:before="40" w:after="40"/>
      </w:pPr>
      <w:r>
        <w:rPr>
          <w:rFonts w:ascii="Arial" w:cs="Arial" w:eastAsia="Arial" w:hAnsi="Arial"/>
          <w:sz w:val="20"/>
          <w:szCs w:val="20"/>
        </w:rPr>
        <w:t xml:space="preserve">Sensitivity 1 — PP Population: ORR analysis restricted to the Per-Protocol population, excluding patients with major protocol deviations that may have influenced response assessment.</w:t>
      </w:r>
    </w:p>
    <w:p>
      <w:pPr>
        <w:pStyle w:val="ListParagraph"/>
        <w:numPr>
          <w:ilvl w:val="0"/>
          <w:numId w:val="2"/>
        </w:numPr>
        <w:spacing w:before="40" w:after="40"/>
      </w:pPr>
      <w:r>
        <w:rPr>
          <w:rFonts w:ascii="Arial" w:cs="Arial" w:eastAsia="Arial" w:hAnsi="Arial"/>
          <w:sz w:val="20"/>
          <w:szCs w:val="20"/>
        </w:rPr>
        <w:t xml:space="preserve">Sensitivity 2 — ITT Population: All enrolled patients as denominator; non-evaluable patients counted as non-responders.</w:t>
      </w:r>
    </w:p>
    <w:p>
      <w:pPr>
        <w:pStyle w:val="ListParagraph"/>
        <w:numPr>
          <w:ilvl w:val="0"/>
          <w:numId w:val="2"/>
        </w:numPr>
        <w:spacing w:before="40" w:after="40"/>
      </w:pPr>
      <w:r>
        <w:rPr>
          <w:rFonts w:ascii="Arial" w:cs="Arial" w:eastAsia="Arial" w:hAnsi="Arial"/>
          <w:sz w:val="20"/>
          <w:szCs w:val="20"/>
        </w:rPr>
        <w:t xml:space="preserve">Sensitivity 3 — Investigator Assessment: ORR as assessed by the local investigator rather than BICR, using the same RECIST v1.1 criteria.</w:t>
      </w:r>
    </w:p>
    <w:p>
      <w:pPr>
        <w:pStyle w:val="ListParagraph"/>
        <w:numPr>
          <w:ilvl w:val="0"/>
          <w:numId w:val="2"/>
        </w:numPr>
        <w:spacing w:before="40" w:after="40"/>
      </w:pPr>
      <w:r>
        <w:rPr>
          <w:rFonts w:ascii="Arial" w:cs="Arial" w:eastAsia="Arial" w:hAnsi="Arial"/>
          <w:sz w:val="20"/>
          <w:szCs w:val="20"/>
        </w:rPr>
        <w:t xml:space="preserve">Sensitivity 4 — iRECIST: ORR using immune-modified RECIST (iRECIST) in EE population to account for potential pseudo-progression.</w:t>
      </w:r>
    </w:p>
    <w:p>
      <w:pPr>
        <w:pStyle w:val="Heading2"/>
        <w:spacing w:before="200" w:after="80"/>
      </w:pPr>
      <w:r>
        <w:rPr>
          <w:rFonts w:ascii="Arial" w:cs="Arial" w:eastAsia="Arial" w:hAnsi="Arial"/>
          <w:b/>
          <w:bCs/>
          <w:color w:val="1F4E79"/>
          <w:sz w:val="24"/>
          <w:szCs w:val="24"/>
        </w:rPr>
        <w:t xml:space="preserve">3.2 Secondary Endpoints</w:t>
      </w:r>
    </w:p>
    <w:p>
      <w:pPr>
        <w:pStyle w:val="Heading3"/>
        <w:spacing w:before="160" w:after="60"/>
      </w:pPr>
      <w:r>
        <w:rPr>
          <w:rFonts w:ascii="Arial" w:cs="Arial" w:eastAsia="Arial" w:hAnsi="Arial"/>
          <w:b/>
          <w:bCs/>
          <w:color w:val="2E75B6"/>
          <w:sz w:val="22"/>
          <w:szCs w:val="22"/>
        </w:rPr>
        <w:t xml:space="preserve">3.2.1 Duration of Response (DoR)</w:t>
      </w:r>
    </w:p>
    <w:p>
      <w:pPr>
        <w:spacing w:before="60" w:after="80"/>
      </w:pPr>
      <w:r>
        <w:rPr>
          <w:rFonts w:ascii="Arial" w:cs="Arial" w:eastAsia="Arial" w:hAnsi="Arial"/>
          <w:sz w:val="20"/>
          <w:szCs w:val="20"/>
        </w:rPr>
        <w:t xml:space="preserve">DoR is defined as the time from the date of first confirmed CR or PR (whichever occurs first) to the date of first objectively documented PD (per BICR) or death from any cause, whichever occurs first, for patients who achieve a confirmed objective response.</w:t>
      </w:r>
    </w:p>
    <w:p>
      <w:pPr>
        <w:spacing w:before="60" w:after="80"/>
      </w:pPr>
      <w:r>
        <w:rPr>
          <w:rFonts w:ascii="Arial" w:cs="Arial" w:eastAsia="Arial" w:hAnsi="Arial"/>
          <w:sz w:val="20"/>
          <w:szCs w:val="20"/>
        </w:rPr>
        <w:t xml:space="preserve">DoR will be analyzed only in confirmed responders (CR/PR). Patients who have not progressed or died at the time of analysis will be censored at the date of last tumor assessment showing non-progression.</w:t>
      </w:r>
    </w:p>
    <w:p>
      <w:pPr>
        <w:spacing w:before="60" w:after="80"/>
      </w:pPr>
      <w:r>
        <w:rPr>
          <w:rFonts w:ascii="Arial" w:cs="Arial" w:eastAsia="Arial" w:hAnsi="Arial"/>
          <w:sz w:val="20"/>
          <w:szCs w:val="20"/>
        </w:rPr>
        <w:t xml:space="preserve">DoR will be estimated using the Kaplan-Meier method. Median DoR and associated 95% CI will be estimated using the KM estimator with Greenwood's variance formula. The 25th and 75th percentiles will also be reported. Event-free rates at 6, 12, and 18 months will be reported with 95% CIs (plain method).</w:t>
      </w:r>
    </w:p>
    <w:p>
      <w:pPr>
        <w:pStyle w:val="Heading3"/>
        <w:spacing w:before="160" w:after="60"/>
      </w:pPr>
      <w:r>
        <w:rPr>
          <w:rFonts w:ascii="Arial" w:cs="Arial" w:eastAsia="Arial" w:hAnsi="Arial"/>
          <w:b/>
          <w:bCs/>
          <w:color w:val="2E75B6"/>
          <w:sz w:val="22"/>
          <w:szCs w:val="22"/>
        </w:rPr>
        <w:t xml:space="preserve">3.2.2 Progression-Free Survival (PFS)</w:t>
      </w:r>
    </w:p>
    <w:p>
      <w:pPr>
        <w:spacing w:before="60" w:after="80"/>
      </w:pPr>
      <w:r>
        <w:rPr>
          <w:rFonts w:ascii="Arial" w:cs="Arial" w:eastAsia="Arial" w:hAnsi="Arial"/>
          <w:sz w:val="20"/>
          <w:szCs w:val="20"/>
        </w:rPr>
        <w:t xml:space="preserve">PFS is defined as the time from the date of first cervimab dose to the date of first objectively documented disease progression per RECIST v1.1 by BICR or death from any cause, whichever occurs first.</w:t>
      </w:r>
    </w:p>
    <w:p>
      <w:pPr>
        <w:spacing w:before="60" w:after="80"/>
      </w:pPr>
      <w:r>
        <w:rPr>
          <w:rFonts w:ascii="Arial" w:cs="Arial" w:eastAsia="Arial" w:hAnsi="Arial"/>
          <w:sz w:val="20"/>
          <w:szCs w:val="20"/>
        </w:rPr>
        <w:t xml:space="preserve">Censoring rules (pre-specified, in order of application):</w:t>
      </w:r>
    </w:p>
    <w:p>
      <w:pPr>
        <w:pStyle w:val="ListParagraph"/>
        <w:numPr>
          <w:ilvl w:val="0"/>
          <w:numId w:val="2"/>
        </w:numPr>
        <w:spacing w:before="40" w:after="40"/>
      </w:pPr>
      <w:r>
        <w:rPr>
          <w:rFonts w:ascii="Arial" w:cs="Arial" w:eastAsia="Arial" w:hAnsi="Arial"/>
          <w:sz w:val="20"/>
          <w:szCs w:val="20"/>
        </w:rPr>
        <w:t xml:space="preserve">Patient is progression-free and alive at data cutoff: censored at date of last evaluable tumor assessment.</w:t>
      </w:r>
    </w:p>
    <w:p>
      <w:pPr>
        <w:pStyle w:val="ListParagraph"/>
        <w:numPr>
          <w:ilvl w:val="0"/>
          <w:numId w:val="2"/>
        </w:numPr>
        <w:spacing w:before="40" w:after="40"/>
      </w:pPr>
      <w:r>
        <w:rPr>
          <w:rFonts w:ascii="Arial" w:cs="Arial" w:eastAsia="Arial" w:hAnsi="Arial"/>
          <w:sz w:val="20"/>
          <w:szCs w:val="20"/>
        </w:rPr>
        <w:t xml:space="preserve">Patient begins new anticancer therapy without prior documented PD: censored at date of last evaluable tumor assessment before new therapy.</w:t>
      </w:r>
    </w:p>
    <w:p>
      <w:pPr>
        <w:pStyle w:val="ListParagraph"/>
        <w:numPr>
          <w:ilvl w:val="0"/>
          <w:numId w:val="2"/>
        </w:numPr>
        <w:spacing w:before="40" w:after="40"/>
      </w:pPr>
      <w:r>
        <w:rPr>
          <w:rFonts w:ascii="Arial" w:cs="Arial" w:eastAsia="Arial" w:hAnsi="Arial"/>
          <w:sz w:val="20"/>
          <w:szCs w:val="20"/>
        </w:rPr>
        <w:t xml:space="preserve">Patient has no post-baseline assessment and did not die: censored at date of first dose (Day 1).</w:t>
      </w:r>
    </w:p>
    <w:p>
      <w:pPr>
        <w:pStyle w:val="ListParagraph"/>
        <w:numPr>
          <w:ilvl w:val="0"/>
          <w:numId w:val="2"/>
        </w:numPr>
        <w:spacing w:before="40" w:after="40"/>
      </w:pPr>
      <w:r>
        <w:rPr>
          <w:rFonts w:ascii="Arial" w:cs="Arial" w:eastAsia="Arial" w:hAnsi="Arial"/>
          <w:sz w:val="20"/>
          <w:szCs w:val="20"/>
        </w:rPr>
        <w:t xml:space="preserve">Patient is lost to follow-up: censored at date of last known alive/progression-free.</w:t>
      </w:r>
    </w:p>
    <w:p>
      <w:pPr>
        <w:spacing w:before="60" w:after="80"/>
      </w:pPr>
      <w:r>
        <w:rPr>
          <w:rFonts w:ascii="Arial" w:cs="Arial" w:eastAsia="Arial" w:hAnsi="Arial"/>
          <w:sz w:val="20"/>
          <w:szCs w:val="20"/>
        </w:rPr>
        <w:t xml:space="preserve">PFS will be estimated using the Kaplan-Meier method. Median PFS, 25th/75th percentiles, and 6/12/18-month event-free rates with 95% CIs will be reported. The log-rank test is not applicable in this single-arm design; the primary summary will be descriptive KM estimation.</w:t>
      </w:r>
    </w:p>
    <w:p>
      <w:pPr>
        <w:pStyle w:val="Heading3"/>
        <w:spacing w:before="160" w:after="60"/>
      </w:pPr>
      <w:r>
        <w:rPr>
          <w:rFonts w:ascii="Arial" w:cs="Arial" w:eastAsia="Arial" w:hAnsi="Arial"/>
          <w:b/>
          <w:bCs/>
          <w:color w:val="2E75B6"/>
          <w:sz w:val="22"/>
          <w:szCs w:val="22"/>
        </w:rPr>
        <w:t xml:space="preserve">3.2.3 Overall Survival (OS)</w:t>
      </w:r>
    </w:p>
    <w:p>
      <w:pPr>
        <w:spacing w:before="60" w:after="80"/>
      </w:pPr>
      <w:r>
        <w:rPr>
          <w:rFonts w:ascii="Arial" w:cs="Arial" w:eastAsia="Arial" w:hAnsi="Arial"/>
          <w:sz w:val="20"/>
          <w:szCs w:val="20"/>
        </w:rPr>
        <w:t xml:space="preserve">OS is defined as the time from the date of first cervimab dose to death from any cause. Patients alive at the time of analysis will be censored at the last date known to be alive. OS will be analyzed using the same KM methodology as PFS. For this Phase 2a study, OS data are expected to be immature at the time of primary analysis; OS will be updated in a subsequent analysis after at least 18 months of median follow-up.</w:t>
      </w:r>
    </w:p>
    <w:p>
      <w:pPr>
        <w:pStyle w:val="Heading3"/>
        <w:spacing w:before="160" w:after="60"/>
      </w:pPr>
      <w:r>
        <w:rPr>
          <w:rFonts w:ascii="Arial" w:cs="Arial" w:eastAsia="Arial" w:hAnsi="Arial"/>
          <w:b/>
          <w:bCs/>
          <w:color w:val="2E75B6"/>
          <w:sz w:val="22"/>
          <w:szCs w:val="22"/>
        </w:rPr>
        <w:t xml:space="preserve">3.2.4 Disease Control Rate (DCR)</w:t>
      </w:r>
    </w:p>
    <w:p>
      <w:pPr>
        <w:spacing w:before="60" w:after="80"/>
      </w:pPr>
      <w:r>
        <w:rPr>
          <w:rFonts w:ascii="Arial" w:cs="Arial" w:eastAsia="Arial" w:hAnsi="Arial"/>
          <w:sz w:val="20"/>
          <w:szCs w:val="20"/>
        </w:rPr>
        <w:t xml:space="preserve">DCR is defined as the proportion of EE patients achieving CR + PR + Stable Disease (SD) for at least 12 weeks as their best overall response per BICR. DCR and its two-sided exact 95% Clopper-Pearson CI will be computed analogously to ORR.</w:t>
      </w:r>
    </w:p>
    <w:p>
      <w:pPr>
        <w:pStyle w:val="Heading2"/>
        <w:spacing w:before="200" w:after="80"/>
      </w:pPr>
      <w:r>
        <w:rPr>
          <w:rFonts w:ascii="Arial" w:cs="Arial" w:eastAsia="Arial" w:hAnsi="Arial"/>
          <w:b/>
          <w:bCs/>
          <w:color w:val="1F4E79"/>
          <w:sz w:val="24"/>
          <w:szCs w:val="24"/>
        </w:rPr>
        <w:t xml:space="preserve">3.3 Subgroup Analyses</w:t>
      </w:r>
    </w:p>
    <w:p>
      <w:pPr>
        <w:spacing w:before="60" w:after="80"/>
      </w:pPr>
      <w:r>
        <w:rPr>
          <w:rFonts w:ascii="Arial" w:cs="Arial" w:eastAsia="Arial" w:hAnsi="Arial"/>
          <w:sz w:val="20"/>
          <w:szCs w:val="20"/>
        </w:rPr>
        <w:t xml:space="preserve">The following pre-specified subgroup analyses will be performed for ORR and, where data are sufficient, for PFS. All subgroup analyses are exploratory and hypothesis-generating. No multiplicity adjustments will be applied.</w:t>
      </w:r>
    </w:p>
    <w:tbl>
      <w:tblPr>
        <w:tblW w:type="dxa" w:w="72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176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Subgroup Variable</w:t>
            </w:r>
          </w:p>
        </w:tc>
        <w:tc>
          <w:tcPr>
            <w:tcW w:type="dxa" w:w="29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Categories</w:t>
            </w:r>
          </w:p>
        </w:tc>
        <w:tc>
          <w:tcPr>
            <w:tcW w:type="dxa" w:w="17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Endpoint(s)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Number of Prior Lines of Therapy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 vs. &gt;= 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ORR, PFS</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ECOG Performance Status</w:t>
            </w:r>
          </w:p>
        </w:tc>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vs. 1</w:t>
            </w:r>
          </w:p>
        </w:tc>
        <w:tc>
          <w:tcPr>
            <w:tcW w:type="dxa" w:w="17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ORR, PFS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Primary Tumor Location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Right-sided (cecum-transverse) vs. Left-sided (descending-rectum)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ORR, PFS</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Lynch Syndrome vs. Sporadic dMMR</w:t>
            </w:r>
          </w:p>
        </w:tc>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Lynch / Sporadic / Unknown</w:t>
            </w:r>
          </w:p>
        </w:tc>
        <w:tc>
          <w:tcPr>
            <w:tcW w:type="dxa" w:w="17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ORR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Tumor PD-L1 CPS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CPS &lt; 1 vs. 1-&lt;10 vs. &gt;= 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ORR, PFS</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Prior Bevacizumab Exposure</w:t>
            </w:r>
          </w:p>
        </w:tc>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Yes vs. No</w:t>
            </w:r>
          </w:p>
        </w:tc>
        <w:tc>
          <w:tcPr>
            <w:tcW w:type="dxa" w:w="17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ORR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Tumor Mutational Burden (TMB)</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TMB-H (&gt;=10 mut/Mb) vs. TMB-L (&lt;10 mut/Mb)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ORR, PFS</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Age</w:t>
            </w:r>
          </w:p>
        </w:tc>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&lt; 65 years vs. &gt;= 65 years</w:t>
            </w:r>
          </w:p>
        </w:tc>
        <w:tc>
          <w:tcPr>
            <w:tcW w:type="dxa" w:w="17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ORR, PFS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Sex</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Male vs. Female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ORR</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MMR Testing Method</w:t>
            </w:r>
          </w:p>
        </w:tc>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IHC vs. Molecular (PCR/NGS)</w:t>
            </w:r>
          </w:p>
        </w:tc>
        <w:tc>
          <w:tcPr>
            <w:tcW w:type="dxa" w:w="17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ORR</w:t>
            </w:r>
          </w:p>
        </w:tc>
      </w:tr>
    </w:tbl>
    <w:p>
      <w:r>
        <w:t xml:space="preserve"/>
      </w:r>
    </w:p>
    <w:p>
      <w:pPr>
        <w:spacing w:before="60" w:after="80"/>
      </w:pPr>
      <w:r>
        <w:rPr>
          <w:rFonts w:ascii="Arial" w:cs="Arial" w:eastAsia="Arial" w:hAnsi="Arial"/>
          <w:sz w:val="20"/>
          <w:szCs w:val="20"/>
        </w:rPr>
        <w:t xml:space="preserve">Subgroup results will be presented as ORR (%) with exact 95% CIs and forest plots. For PFS, KM curves and median estimates by subgroup will be provided.</w:t>
      </w:r>
    </w:p>
    <w:p>
      <w:pPr>
        <w:pageBreakBefore/>
      </w:pPr>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4. SAFETY ANALYSES</w:t>
      </w:r>
    </w:p>
    <w:p>
      <w:pPr>
        <w:pStyle w:val="Heading2"/>
        <w:spacing w:before="200" w:after="80"/>
      </w:pPr>
      <w:r>
        <w:rPr>
          <w:rFonts w:ascii="Arial" w:cs="Arial" w:eastAsia="Arial" w:hAnsi="Arial"/>
          <w:b/>
          <w:bCs/>
          <w:color w:val="1F4E79"/>
          <w:sz w:val="24"/>
          <w:szCs w:val="24"/>
        </w:rPr>
        <w:t xml:space="preserve">4.1 Adverse Event Summaries</w:t>
      </w:r>
    </w:p>
    <w:p>
      <w:pPr>
        <w:spacing w:before="60" w:after="80"/>
      </w:pPr>
      <w:r>
        <w:rPr>
          <w:rFonts w:ascii="Arial" w:cs="Arial" w:eastAsia="Arial" w:hAnsi="Arial"/>
          <w:sz w:val="20"/>
          <w:szCs w:val="20"/>
        </w:rPr>
        <w:t xml:space="preserve">All safety analyses will be performed on the Safety Population. Adverse events will be coded using MedDRA v26.0. Treatment-emergent adverse events (TEAEs) are defined as AEs with onset on or after the date of first cervimab dose and up to 30 days after the last dose. Each patient will be counted once per AE category (SOC and PT) at the maximum CTCAE grade observed.</w:t>
      </w:r>
    </w:p>
    <w:p>
      <w:pPr>
        <w:spacing w:before="60" w:after="80"/>
      </w:pPr>
      <w:r>
        <w:rPr>
          <w:rFonts w:ascii="Arial" w:cs="Arial" w:eastAsia="Arial" w:hAnsi="Arial"/>
          <w:sz w:val="20"/>
          <w:szCs w:val="20"/>
        </w:rPr>
        <w:t xml:space="preserve">The following AE summary tables will be produced:</w:t>
      </w:r>
    </w:p>
    <w:p>
      <w:pPr>
        <w:pStyle w:val="ListParagraph"/>
        <w:numPr>
          <w:ilvl w:val="0"/>
          <w:numId w:val="2"/>
        </w:numPr>
        <w:spacing w:before="40" w:after="40"/>
      </w:pPr>
      <w:r>
        <w:rPr>
          <w:rFonts w:ascii="Arial" w:cs="Arial" w:eastAsia="Arial" w:hAnsi="Arial"/>
          <w:sz w:val="20"/>
          <w:szCs w:val="20"/>
        </w:rPr>
        <w:t xml:space="preserve">AEs by MedDRA SOC and PT (all grades, and Grade &gt;= 3, separately): incidence and percentage</w:t>
      </w:r>
    </w:p>
    <w:p>
      <w:pPr>
        <w:pStyle w:val="ListParagraph"/>
        <w:numPr>
          <w:ilvl w:val="0"/>
          <w:numId w:val="2"/>
        </w:numPr>
        <w:spacing w:before="40" w:after="40"/>
      </w:pPr>
      <w:r>
        <w:rPr>
          <w:rFonts w:ascii="Arial" w:cs="Arial" w:eastAsia="Arial" w:hAnsi="Arial"/>
          <w:sz w:val="20"/>
          <w:szCs w:val="20"/>
        </w:rPr>
        <w:t xml:space="preserve">Treatment-Related AEs (TRAEs; definitely/probably/possibly related) by SOC/PT, all grades and Grade &gt;= 3</w:t>
      </w:r>
    </w:p>
    <w:p>
      <w:pPr>
        <w:pStyle w:val="ListParagraph"/>
        <w:numPr>
          <w:ilvl w:val="0"/>
          <w:numId w:val="2"/>
        </w:numPr>
        <w:spacing w:before="40" w:after="40"/>
      </w:pPr>
      <w:r>
        <w:rPr>
          <w:rFonts w:ascii="Arial" w:cs="Arial" w:eastAsia="Arial" w:hAnsi="Arial"/>
          <w:sz w:val="20"/>
          <w:szCs w:val="20"/>
        </w:rPr>
        <w:t xml:space="preserve">Serious Adverse Events (SAEs) by SOC/PT and relationship to study drug</w:t>
      </w:r>
    </w:p>
    <w:p>
      <w:pPr>
        <w:pStyle w:val="ListParagraph"/>
        <w:numPr>
          <w:ilvl w:val="0"/>
          <w:numId w:val="2"/>
        </w:numPr>
        <w:spacing w:before="40" w:after="40"/>
      </w:pPr>
      <w:r>
        <w:rPr>
          <w:rFonts w:ascii="Arial" w:cs="Arial" w:eastAsia="Arial" w:hAnsi="Arial"/>
          <w:sz w:val="20"/>
          <w:szCs w:val="20"/>
        </w:rPr>
        <w:t xml:space="preserve">Immune-related AEs (irAEs) by organ system and CTCAE grade</w:t>
      </w:r>
    </w:p>
    <w:p>
      <w:pPr>
        <w:pStyle w:val="ListParagraph"/>
        <w:numPr>
          <w:ilvl w:val="0"/>
          <w:numId w:val="2"/>
        </w:numPr>
        <w:spacing w:before="40" w:after="40"/>
      </w:pPr>
      <w:r>
        <w:rPr>
          <w:rFonts w:ascii="Arial" w:cs="Arial" w:eastAsia="Arial" w:hAnsi="Arial"/>
          <w:sz w:val="20"/>
          <w:szCs w:val="20"/>
        </w:rPr>
        <w:t xml:space="preserve">AEs leading to dose delay, treatment discontinuation, or death</w:t>
      </w:r>
    </w:p>
    <w:p>
      <w:pPr>
        <w:pStyle w:val="ListParagraph"/>
        <w:numPr>
          <w:ilvl w:val="0"/>
          <w:numId w:val="2"/>
        </w:numPr>
        <w:spacing w:before="40" w:after="40"/>
      </w:pPr>
      <w:r>
        <w:rPr>
          <w:rFonts w:ascii="Arial" w:cs="Arial" w:eastAsia="Arial" w:hAnsi="Arial"/>
          <w:sz w:val="20"/>
          <w:szCs w:val="20"/>
        </w:rPr>
        <w:t xml:space="preserve">Most frequent TRAEs (&gt;= 10% of patients)</w:t>
      </w:r>
    </w:p>
    <w:p>
      <w:pPr>
        <w:pStyle w:val="Heading2"/>
        <w:spacing w:before="200" w:after="80"/>
      </w:pPr>
      <w:r>
        <w:rPr>
          <w:rFonts w:ascii="Arial" w:cs="Arial" w:eastAsia="Arial" w:hAnsi="Arial"/>
          <w:b/>
          <w:bCs/>
          <w:color w:val="1F4E79"/>
          <w:sz w:val="24"/>
          <w:szCs w:val="24"/>
        </w:rPr>
        <w:t xml:space="preserve">4.2 Laboratory Assessments</w:t>
      </w:r>
    </w:p>
    <w:p>
      <w:pPr>
        <w:spacing w:before="60" w:after="80"/>
      </w:pPr>
      <w:r>
        <w:rPr>
          <w:rFonts w:ascii="Arial" w:cs="Arial" w:eastAsia="Arial" w:hAnsi="Arial"/>
          <w:sz w:val="20"/>
          <w:szCs w:val="20"/>
        </w:rPr>
        <w:t xml:space="preserve">Descriptive statistics (N, mean, median, SD, min, max) for continuous laboratory parameters will be provided by visit. Shift tables from baseline to worst post-baseline CTCAE grade (Grade 0/1/2/3/4) will be produced for key hematology and chemistry parameters. Notable abnormalities (values meeting Grade &gt;= 3 CTCAE criteria) will be individually listed.</w:t>
      </w:r>
    </w:p>
    <w:p>
      <w:pPr>
        <w:pStyle w:val="Heading2"/>
        <w:spacing w:before="200" w:after="80"/>
      </w:pPr>
      <w:r>
        <w:rPr>
          <w:rFonts w:ascii="Arial" w:cs="Arial" w:eastAsia="Arial" w:hAnsi="Arial"/>
          <w:b/>
          <w:bCs/>
          <w:color w:val="1F4E79"/>
          <w:sz w:val="24"/>
          <w:szCs w:val="24"/>
        </w:rPr>
        <w:t xml:space="preserve">4.3 Vital Signs and ECG</w:t>
      </w:r>
    </w:p>
    <w:p>
      <w:pPr>
        <w:spacing w:before="60" w:after="80"/>
      </w:pPr>
      <w:r>
        <w:rPr>
          <w:rFonts w:ascii="Arial" w:cs="Arial" w:eastAsia="Arial" w:hAnsi="Arial"/>
          <w:sz w:val="20"/>
          <w:szCs w:val="20"/>
        </w:rPr>
        <w:t xml:space="preserve">Summary statistics for vital sign parameters and ECG intervals (HR, PR, QRS, QTc using Fridericia correction [QTcF]) will be provided by visit. Changes from baseline will be summarized. Potentially clinically significant (PCS) abnormalities will be flagged per pre-specified criteria.</w:t>
      </w:r>
    </w:p>
    <w:p>
      <w:pPr>
        <w:pStyle w:val="Heading2"/>
        <w:spacing w:before="200" w:after="80"/>
      </w:pPr>
      <w:r>
        <w:rPr>
          <w:rFonts w:ascii="Arial" w:cs="Arial" w:eastAsia="Arial" w:hAnsi="Arial"/>
          <w:b/>
          <w:bCs/>
          <w:color w:val="1F4E79"/>
          <w:sz w:val="24"/>
          <w:szCs w:val="24"/>
        </w:rPr>
        <w:t xml:space="preserve">4.4 Exposure-Response Analyses</w:t>
      </w:r>
    </w:p>
    <w:p>
      <w:pPr>
        <w:spacing w:before="60" w:after="80"/>
      </w:pPr>
      <w:r>
        <w:rPr>
          <w:rFonts w:ascii="Arial" w:cs="Arial" w:eastAsia="Arial" w:hAnsi="Arial"/>
          <w:sz w:val="20"/>
          <w:szCs w:val="20"/>
        </w:rPr>
        <w:t xml:space="preserve">If sufficient PK and efficacy/safety data are available, exploratory exposure-response analyses will evaluate relationships between cervimab Ctrough (trough concentration) and: (a) ORR; (b) Grade &gt;= 3 irAE incidence. These are descriptive; statistical significance testing is not planned due to small sample size.</w:t>
      </w:r>
    </w:p>
    <w:p>
      <w:pPr>
        <w:pageBreakBefore/>
      </w:pPr>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5. MISSING DATA HANDLING</w:t>
      </w:r>
    </w:p>
    <w:p>
      <w:pPr>
        <w:pStyle w:val="Heading2"/>
        <w:spacing w:before="200" w:after="80"/>
      </w:pPr>
      <w:r>
        <w:rPr>
          <w:rFonts w:ascii="Arial" w:cs="Arial" w:eastAsia="Arial" w:hAnsi="Arial"/>
          <w:b/>
          <w:bCs/>
          <w:color w:val="1F4E79"/>
          <w:sz w:val="24"/>
          <w:szCs w:val="24"/>
        </w:rPr>
        <w:t xml:space="preserve">5.1 General Principle</w:t>
      </w:r>
    </w:p>
    <w:p>
      <w:pPr>
        <w:spacing w:before="60" w:after="80"/>
      </w:pPr>
      <w:r>
        <w:rPr>
          <w:rFonts w:ascii="Arial" w:cs="Arial" w:eastAsia="Arial" w:hAnsi="Arial"/>
          <w:sz w:val="20"/>
          <w:szCs w:val="20"/>
        </w:rPr>
        <w:t xml:space="preserve">The amount and pattern of missing data will be assessed and summarized. All analyses will follow pre-specified rules for handling missing data as described below. In general, no imputation is planned for the primary efficacy endpoint. Sensitivity analyses are specified to assess the potential impact of missing data.</w:t>
      </w:r>
    </w:p>
    <w:p>
      <w:pPr>
        <w:pStyle w:val="Heading2"/>
        <w:spacing w:before="200" w:after="80"/>
      </w:pPr>
      <w:r>
        <w:rPr>
          <w:rFonts w:ascii="Arial" w:cs="Arial" w:eastAsia="Arial" w:hAnsi="Arial"/>
          <w:b/>
          <w:bCs/>
          <w:color w:val="1F4E79"/>
          <w:sz w:val="24"/>
          <w:szCs w:val="24"/>
        </w:rPr>
        <w:t xml:space="preserve">5.2 Best Overall Response and ORR</w:t>
      </w:r>
    </w:p>
    <w:p>
      <w:pPr>
        <w:spacing w:before="60" w:after="80"/>
      </w:pPr>
      <w:r>
        <w:rPr>
          <w:rFonts w:ascii="Arial" w:cs="Arial" w:eastAsia="Arial" w:hAnsi="Arial"/>
          <w:sz w:val="20"/>
          <w:szCs w:val="20"/>
        </w:rPr>
        <w:t xml:space="preserve">Patients with no evaluable post-baseline tumor assessment (other than those who progressed) will be classified as non-evaluable and excluded from the EE Population. In the ITT sensitivity analysis, they will be counted as non-responders. Unconfirmed responses (i.e., initial CR/PR without confirmatory scan within the protocol window) will be classified as the best documented response (SD or NE) — not as confirmed PR/CR.</w:t>
      </w:r>
    </w:p>
    <w:p>
      <w:pPr>
        <w:pStyle w:val="Heading2"/>
        <w:spacing w:before="200" w:after="80"/>
      </w:pPr>
      <w:r>
        <w:rPr>
          <w:rFonts w:ascii="Arial" w:cs="Arial" w:eastAsia="Arial" w:hAnsi="Arial"/>
          <w:b/>
          <w:bCs/>
          <w:color w:val="1F4E79"/>
          <w:sz w:val="24"/>
          <w:szCs w:val="24"/>
        </w:rPr>
        <w:t xml:space="preserve">5.3 Time-to-Event Endpoints</w:t>
      </w:r>
    </w:p>
    <w:p>
      <w:pPr>
        <w:spacing w:before="60" w:after="80"/>
      </w:pPr>
      <w:r>
        <w:rPr>
          <w:rFonts w:ascii="Arial" w:cs="Arial" w:eastAsia="Arial" w:hAnsi="Arial"/>
          <w:sz w:val="20"/>
          <w:szCs w:val="20"/>
        </w:rPr>
        <w:t xml:space="preserve">Missing event dates will not be imputed. Pre-specified censoring rules (Section 3.2.2) will be applied consistently. A worst-case sensitivity analysis will be performed for PFS, wherein patients with missing follow-up data (not documented as progression-free) will be assigned as progressed/dead at the date of last known contact.</w:t>
      </w:r>
    </w:p>
    <w:p>
      <w:pPr>
        <w:pStyle w:val="Heading2"/>
        <w:spacing w:before="200" w:after="80"/>
      </w:pPr>
      <w:r>
        <w:rPr>
          <w:rFonts w:ascii="Arial" w:cs="Arial" w:eastAsia="Arial" w:hAnsi="Arial"/>
          <w:b/>
          <w:bCs/>
          <w:color w:val="1F4E79"/>
          <w:sz w:val="24"/>
          <w:szCs w:val="24"/>
        </w:rPr>
        <w:t xml:space="preserve">5.4 Laboratory and Vital Signs</w:t>
      </w:r>
    </w:p>
    <w:p>
      <w:pPr>
        <w:spacing w:before="60" w:after="80"/>
      </w:pPr>
      <w:r>
        <w:rPr>
          <w:rFonts w:ascii="Arial" w:cs="Arial" w:eastAsia="Arial" w:hAnsi="Arial"/>
          <w:sz w:val="20"/>
          <w:szCs w:val="20"/>
        </w:rPr>
        <w:t xml:space="preserve">Missing laboratory values will not be imputed. Descriptive summaries will reflect observed data only; the number of patients with non-missing values (N) will be reported for each parameter and visit.</w:t>
      </w:r>
    </w:p>
    <w:p>
      <w:pPr>
        <w:pStyle w:val="Heading2"/>
        <w:spacing w:before="200" w:after="80"/>
      </w:pPr>
      <w:r>
        <w:rPr>
          <w:rFonts w:ascii="Arial" w:cs="Arial" w:eastAsia="Arial" w:hAnsi="Arial"/>
          <w:b/>
          <w:bCs/>
          <w:color w:val="1F4E79"/>
          <w:sz w:val="24"/>
          <w:szCs w:val="24"/>
        </w:rPr>
        <w:t xml:space="preserve">5.5 Patient-Reported Outcomes</w:t>
      </w:r>
    </w:p>
    <w:p>
      <w:pPr>
        <w:spacing w:before="60" w:after="80"/>
      </w:pPr>
      <w:r>
        <w:rPr>
          <w:rFonts w:ascii="Arial" w:cs="Arial" w:eastAsia="Arial" w:hAnsi="Arial"/>
          <w:sz w:val="20"/>
          <w:szCs w:val="20"/>
        </w:rPr>
        <w:t xml:space="preserve">PRO data (EORTC QLQ-C30, EQ-5D-5L) will be summarized descriptively. EORTC scoring manuals will be followed for scale score calculation. Patients with &gt;50% items missing for a given scale will be excluded from that scale's analysis. Change from baseline will be described; no imputation for missing PRO items is planned.</w:t>
      </w:r>
    </w:p>
    <w:p>
      <w:pPr>
        <w:pStyle w:val="Heading1"/>
        <w:pBdr>
          <w:bottom w:val="single" w:color="1F4E79" w:sz="6" w:space="4"/>
        </w:pBdr>
        <w:spacing w:before="300" w:after="100"/>
      </w:pPr>
      <w:r>
        <w:rPr>
          <w:rFonts w:ascii="Arial" w:cs="Arial" w:eastAsia="Arial" w:hAnsi="Arial"/>
          <w:b/>
          <w:bCs/>
          <w:color w:val="17375E"/>
          <w:sz w:val="28"/>
          <w:szCs w:val="28"/>
        </w:rPr>
        <w:t xml:space="preserve">6. MULTIPLICITY</w:t>
      </w:r>
    </w:p>
    <w:p>
      <w:pPr>
        <w:spacing w:before="60" w:after="80"/>
      </w:pPr>
      <w:r>
        <w:rPr>
          <w:rFonts w:ascii="Arial" w:cs="Arial" w:eastAsia="Arial" w:hAnsi="Arial"/>
          <w:sz w:val="20"/>
          <w:szCs w:val="20"/>
        </w:rPr>
        <w:t xml:space="preserve">The primary analysis is a single hypothesis test (H0: ORR &lt;= 20%) at a pre-specified one-sided alpha of 0.05, consistent with the Simon two-stage design. No multiplicity adjustment is needed for the primary endpoint.</w:t>
      </w:r>
    </w:p>
    <w:p>
      <w:pPr>
        <w:spacing w:before="60" w:after="80"/>
      </w:pPr>
      <w:r>
        <w:rPr>
          <w:rFonts w:ascii="Arial" w:cs="Arial" w:eastAsia="Arial" w:hAnsi="Arial"/>
          <w:sz w:val="20"/>
          <w:szCs w:val="20"/>
        </w:rPr>
        <w:t xml:space="preserve">Secondary endpoints are tested in a descriptive framework. No formal multiplicity corrections are applied to secondary endpoints; results are presented with 95% CIs. All subgroup and exploratory analyses are hypothesis-generating only; no type I error adjustment is applied, and all such results should be interpreted cautiously.</w:t>
      </w:r>
    </w:p>
    <w:p>
      <w:pPr>
        <w:pStyle w:val="Heading1"/>
        <w:pBdr>
          <w:bottom w:val="single" w:color="1F4E79" w:sz="6" w:space="4"/>
        </w:pBdr>
        <w:spacing w:before="300" w:after="100"/>
      </w:pPr>
      <w:r>
        <w:rPr>
          <w:rFonts w:ascii="Arial" w:cs="Arial" w:eastAsia="Arial" w:hAnsi="Arial"/>
          <w:b/>
          <w:bCs/>
          <w:color w:val="17375E"/>
          <w:sz w:val="28"/>
          <w:szCs w:val="28"/>
        </w:rPr>
        <w:t xml:space="preserve">7. INTERIM ANALYSES</w:t>
      </w:r>
    </w:p>
    <w:p>
      <w:pPr>
        <w:spacing w:before="60" w:after="80"/>
      </w:pPr>
      <w:r>
        <w:rPr>
          <w:rFonts w:ascii="Arial" w:cs="Arial" w:eastAsia="Arial" w:hAnsi="Arial"/>
          <w:sz w:val="20"/>
          <w:szCs w:val="20"/>
        </w:rPr>
        <w:t xml:space="preserve">Formal interim analysis: None planned for efficacy. The Simon two-stage design incorporates a built-in futility interim at Stage 1 (after 19 evaluable patients). The futility analysis will be performed when 19 evaluable patients have had at least one post-baseline tumor assessment. If &lt;= 5 responses are observed in 19 patients, the study will stop for futility.</w:t>
      </w:r>
    </w:p>
    <w:p>
      <w:pPr>
        <w:spacing w:before="60" w:after="80"/>
      </w:pPr>
      <w:r>
        <w:rPr>
          <w:rFonts w:ascii="Arial" w:cs="Arial" w:eastAsia="Arial" w:hAnsi="Arial"/>
          <w:sz w:val="20"/>
          <w:szCs w:val="20"/>
        </w:rPr>
        <w:t xml:space="preserve">Safety interim reviews will be performed by the DSMB (after each 10-patient cohort) per the DSMB Charter. DSMB safety reviews do not constitute formal statistical interim analyses and do not affect the overall Type I error rate. Safety data shared with the DSMB will be flagged as interim; the study team remains blinded to emerging efficacy data until the primary analysis.</w:t>
      </w:r>
    </w:p>
    <w:p>
      <w:pPr>
        <w:pStyle w:val="Heading1"/>
        <w:pBdr>
          <w:bottom w:val="single" w:color="1F4E79" w:sz="6" w:space="4"/>
        </w:pBdr>
        <w:spacing w:before="300" w:after="100"/>
      </w:pPr>
      <w:r>
        <w:rPr>
          <w:rFonts w:ascii="Arial" w:cs="Arial" w:eastAsia="Arial" w:hAnsi="Arial"/>
          <w:b/>
          <w:bCs/>
          <w:color w:val="17375E"/>
          <w:sz w:val="28"/>
          <w:szCs w:val="28"/>
        </w:rPr>
        <w:t xml:space="preserve">8. OUTPUTS: PLANNED TABLES, FIGURES, AND LISTINGS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500"/>
        <w:gridCol w:w="1500"/>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w:t>
            </w:r>
          </w:p>
        </w:tc>
        <w:tc>
          <w:tcPr>
            <w:tcW w:type="dxa" w:w="3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Description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Population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Data Source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Patient Disposition (enrolled, treated, completed, discontinued by reason)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ITT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T2.1</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Baseline Demographics and Disease Characteristics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DM, MH, SC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T2.2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Prior Anticancer Therapy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CM/PR</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T3.1</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Primary Endpoint: ORR with 95% CI (BICR) — MAIN TABLE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T3.2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Best Overall Response Distribution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T3.3</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ORR Subgroup Analysis (Forest Plot Data)</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EE subgroups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RS + SC + QS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T3.4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Duration of Response Summary (KM)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Responders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T3.5</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Progression-Free Survival Summary (KM)</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RS, 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T3.6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Overall Survival Summary (KM)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ITT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T3.7</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Disease Control Rate with 95% CI</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T4.1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TEAEs by SOC/PT (All Grades; N,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AE</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T4.2</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Grade &gt;= 3 TEAEs by SOC/PT</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T4.3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Treatment-Related AEs by SOC/PT (All Grades)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AE</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T4.4</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Serious Adverse Events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T4.5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Immune-Related AEs by Organ System and Grade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AE</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T4.6</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AEs Leading to Dose Delay, Discontinuation, Death</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AE, 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T5.1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Laboratory Shift Tables (Baseline to Worst Grade) — Hematology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LB</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T5.2</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Laboratory Shift Tables — Chemistry</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LB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T6.1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EORTC QLQ-C30 Summary Scores by Visit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PRO Pop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QS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F1.1</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Kaplan-Meier Curve — PFS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RS, 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Kaplan-Meier Curve — 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ITT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F1.3</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Kaplan-Meier Curve — DoR (Responders)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Responders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Waterfall Plot — Best % Change in SoD from Baseline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EE (evaluable)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F1.5</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Spider Plot — SoD Change Over Time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EE (evaluable)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F1.6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Swimmer Plot — Individual Patient Treatment Duration and Response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EX, RS, DS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F1.7</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Forest Plot — ORR Subgroup Analysis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EE subgroups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Patient Listing — Individual Efficacy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All</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L2.1</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Patient Listing — SAEs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L2.2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Patient Listing — AEs Leading to Discontinuation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AE, DS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L2.3</w:t>
            </w:r>
          </w:p>
        </w:tc>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Patient Listing — Deaths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Safety Pop</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DS, AE</w:t>
            </w:r>
          </w:p>
        </w:tc>
      </w:tr>
    </w:tbl>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9. SOFTWARE AND COMPUTING ENVIRONMENT</w:t>
      </w:r>
    </w:p>
    <w:p>
      <w:pPr>
        <w:pStyle w:val="ListParagraph"/>
        <w:numPr>
          <w:ilvl w:val="0"/>
          <w:numId w:val="2"/>
        </w:numPr>
        <w:spacing w:before="40" w:after="40"/>
      </w:pPr>
      <w:r>
        <w:rPr>
          <w:rFonts w:ascii="Arial" w:cs="Arial" w:eastAsia="Arial" w:hAnsi="Arial"/>
          <w:sz w:val="20"/>
          <w:szCs w:val="20"/>
        </w:rPr>
        <w:t xml:space="preserve">Primary analysis software: SAS Version 9.4 (SAS Institute, Cary, NC, USA)</w:t>
      </w:r>
    </w:p>
    <w:p>
      <w:pPr>
        <w:pStyle w:val="ListParagraph"/>
        <w:numPr>
          <w:ilvl w:val="0"/>
          <w:numId w:val="2"/>
        </w:numPr>
        <w:spacing w:before="40" w:after="40"/>
      </w:pPr>
      <w:r>
        <w:rPr>
          <w:rFonts w:ascii="Arial" w:cs="Arial" w:eastAsia="Arial" w:hAnsi="Arial"/>
          <w:sz w:val="20"/>
          <w:szCs w:val="20"/>
        </w:rPr>
        <w:t xml:space="preserve">Sensitivity and graphical analyses: R Version 4.3.1 (packages: survival, km.ci, forestplot, ggplot2, ggsurvfit)</w:t>
      </w:r>
    </w:p>
    <w:p>
      <w:pPr>
        <w:pStyle w:val="ListParagraph"/>
        <w:numPr>
          <w:ilvl w:val="0"/>
          <w:numId w:val="2"/>
        </w:numPr>
        <w:spacing w:before="40" w:after="40"/>
      </w:pPr>
      <w:r>
        <w:rPr>
          <w:rFonts w:ascii="Arial" w:cs="Arial" w:eastAsia="Arial" w:hAnsi="Arial"/>
          <w:sz w:val="20"/>
          <w:szCs w:val="20"/>
        </w:rPr>
        <w:t xml:space="preserve">KM estimates: SAS PROC LIFETEST (KMPLOT option); R survfit() from survival package</w:t>
      </w:r>
    </w:p>
    <w:p>
      <w:pPr>
        <w:pStyle w:val="ListParagraph"/>
        <w:numPr>
          <w:ilvl w:val="0"/>
          <w:numId w:val="2"/>
        </w:numPr>
        <w:spacing w:before="40" w:after="40"/>
      </w:pPr>
      <w:r>
        <w:rPr>
          <w:rFonts w:ascii="Arial" w:cs="Arial" w:eastAsia="Arial" w:hAnsi="Arial"/>
          <w:sz w:val="20"/>
          <w:szCs w:val="20"/>
        </w:rPr>
        <w:t xml:space="preserve">Exact binomial CI: SAS PROC FREQ (EXACT option); binom.test() in R</w:t>
      </w:r>
    </w:p>
    <w:p>
      <w:pPr>
        <w:pStyle w:val="ListParagraph"/>
        <w:numPr>
          <w:ilvl w:val="0"/>
          <w:numId w:val="2"/>
        </w:numPr>
        <w:spacing w:before="40" w:after="40"/>
      </w:pPr>
      <w:r>
        <w:rPr>
          <w:rFonts w:ascii="Arial" w:cs="Arial" w:eastAsia="Arial" w:hAnsi="Arial"/>
          <w:sz w:val="20"/>
          <w:szCs w:val="20"/>
        </w:rPr>
        <w:t xml:space="preserve">MedDRA coding: SAS-based MedDRA autocoder with manual review</w:t>
      </w:r>
    </w:p>
    <w:p>
      <w:pPr>
        <w:pStyle w:val="ListParagraph"/>
        <w:numPr>
          <w:ilvl w:val="0"/>
          <w:numId w:val="2"/>
        </w:numPr>
        <w:spacing w:before="40" w:after="40"/>
      </w:pPr>
      <w:r>
        <w:rPr>
          <w:rFonts w:ascii="Arial" w:cs="Arial" w:eastAsia="Arial" w:hAnsi="Arial"/>
          <w:sz w:val="20"/>
          <w:szCs w:val="20"/>
        </w:rPr>
        <w:t xml:space="preserve">Data management: CDASH-compliant EDC; SDTM-derived analysis datasets (ADaM format: ADSL, ADRS, ADTTE, ADAE, ADLB, ADEX)</w:t>
      </w:r>
    </w:p>
    <w:p>
      <w:pPr>
        <w:pStyle w:val="ListParagraph"/>
        <w:numPr>
          <w:ilvl w:val="0"/>
          <w:numId w:val="2"/>
        </w:numPr>
        <w:spacing w:before="40" w:after="40"/>
      </w:pPr>
      <w:r>
        <w:rPr>
          <w:rFonts w:ascii="Arial" w:cs="Arial" w:eastAsia="Arial" w:hAnsi="Arial"/>
          <w:sz w:val="20"/>
          <w:szCs w:val="20"/>
        </w:rPr>
        <w:t xml:space="preserve">ADaM dataset specifications: Defined in separate ADaM Specifications document (CVB-CRC-201-ADAM-SPEC-v1.0)</w:t>
      </w:r>
    </w:p>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10. DOCUMENT HISTORY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400"/>
        <w:gridCol w:w="476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Version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Date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Author</w:t>
            </w:r>
          </w:p>
        </w:tc>
        <w:tc>
          <w:tcPr>
            <w:tcW w:type="dxa" w:w="47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Summary of 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0.1 (Draft)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15 Jan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J.A. Smith, PhD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Initial draft for internal review</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0.2 (Draft)</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05 Feb 2025</w:t>
            </w:r>
          </w:p>
        </w:tc>
        <w:tc>
          <w:tcPr>
            <w:tcW w:type="dxa" w:w="24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J.A. Smith, PhD; M.L. Chen</w:t>
            </w:r>
          </w:p>
        </w:tc>
        <w:tc>
          <w:tcPr>
            <w:tcW w:type="dxa" w:w="47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Incorporated medical monitor comments; refined censoring rules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 (Final)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01 Mar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J.A. Smith, PhD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Final version; approved prior to database lock</w:t>
            </w:r>
          </w:p>
        </w:tc>
      </w:tr>
    </w:tbl>
    <w:p>
      <w:r>
        <w:t xml:space="preserve"/>
      </w:r>
    </w:p>
    <w:p>
      <w:pPr>
        <w:spacing w:before="60" w:after="80"/>
      </w:pPr>
      <w:r>
        <w:rPr>
          <w:rFonts w:ascii="Arial" w:cs="Arial" w:eastAsia="Arial" w:hAnsi="Arial"/>
          <w:sz w:val="20"/>
          <w:szCs w:val="20"/>
        </w:rPr>
        <w:t xml:space="preserve">Approved signatures on file:</w:t>
      </w:r>
    </w:p>
    <w:p>
      <w:r>
        <w:t xml:space="preserve"/>
      </w:r>
    </w:p>
    <w:p>
      <w:pPr>
        <w:spacing w:before="120" w:after="40"/>
      </w:pPr>
      <w:r>
        <w:rPr>
          <w:rFonts w:ascii="Arial" w:cs="Arial" w:eastAsia="Arial" w:hAnsi="Arial"/>
          <w:sz w:val="20"/>
          <w:szCs w:val="20"/>
        </w:rPr>
        <w:t xml:space="preserve">Biostatistician:  ___________________________________    Date: ______________</w:t>
      </w:r>
    </w:p>
    <w:p>
      <w:r>
        <w:t xml:space="preserve"/>
      </w:r>
    </w:p>
    <w:p>
      <w:pPr>
        <w:spacing w:before="120" w:after="40"/>
      </w:pPr>
      <w:r>
        <w:rPr>
          <w:rFonts w:ascii="Arial" w:cs="Arial" w:eastAsia="Arial" w:hAnsi="Arial"/>
          <w:sz w:val="20"/>
          <w:szCs w:val="20"/>
        </w:rPr>
        <w:t xml:space="preserve">Medical Monitor:  ___________________________________    Date: ______________</w:t>
      </w:r>
    </w:p>
    <w:p>
      <w:r>
        <w:t xml:space="preserve"/>
      </w:r>
    </w:p>
    <w:p>
      <w:pPr>
        <w:spacing w:before="120" w:after="40"/>
      </w:pPr>
      <w:r>
        <w:rPr>
          <w:rFonts w:ascii="Arial" w:cs="Arial" w:eastAsia="Arial" w:hAnsi="Arial"/>
          <w:sz w:val="20"/>
          <w:szCs w:val="20"/>
        </w:rPr>
        <w:t xml:space="preserve">Head of Data Management:  __________________________    Date: ______________</w:t>
      </w:r>
    </w:p>
    <w:p>
      <w:pPr>
        <w:pageBreakBefore/>
      </w:pPr>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APPENDIX A: SIMON TWO-STAGE DESIGN DECISION TABLE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200"/>
        <w:gridCol w:w="2200"/>
        <w:gridCol w:w="1400"/>
        <w:gridCol w:w="1000"/>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Stage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N Enrolled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Responses Needed to Continue/Succeed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Action if Criterion NOT Met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Alpha (cumulative)</w:t>
            </w:r>
          </w:p>
        </w:tc>
        <w:tc>
          <w:tcPr>
            <w:tcW w:type="dxa" w:w="1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Power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Stage 1 Interim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&gt;= 6 responses to proceed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Stop for futility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0.05 (one-sided)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80%</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Stage 2 Final</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40 (total)</w:t>
            </w:r>
          </w:p>
        </w:tc>
        <w:tc>
          <w:tcPr>
            <w:tcW w:type="dxa" w:w="2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&gt;= 13 responses to reject H0</w:t>
            </w:r>
          </w:p>
        </w:tc>
        <w:tc>
          <w:tcPr>
            <w:tcW w:type="dxa" w:w="2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Fail to reject H0 (insufficient efficacy)</w:t>
            </w:r>
          </w:p>
        </w:tc>
        <w:tc>
          <w:tcPr>
            <w:tcW w:type="dxa" w:w="14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0.05 (one-sided)</w:t>
            </w:r>
          </w:p>
        </w:tc>
        <w:tc>
          <w:tcPr>
            <w:tcW w:type="dxa" w:w="1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80%</w:t>
            </w:r>
          </w:p>
        </w:tc>
      </w:tr>
    </w:tbl>
    <w:p>
      <w:r>
        <w:t xml:space="preserve"/>
      </w:r>
    </w:p>
    <w:p>
      <w:pPr>
        <w:spacing w:before="60" w:after="80"/>
      </w:pPr>
      <w:r>
        <w:rPr>
          <w:rFonts w:ascii="Arial" w:cs="Arial" w:eastAsia="Arial" w:hAnsi="Arial"/>
          <w:sz w:val="20"/>
          <w:szCs w:val="20"/>
        </w:rPr>
        <w:t xml:space="preserve">Under H0 (p=0.20), the probability of incorrectly concluding efficacy (Type I error) = 0.049 (&lt; 0.05). Under H1 (p=0.40), the probability of correctly concluding efficacy (Power) = 0.804. Expected sample size under H0 = 26.1 patients; under H1 = 38.0 patients.</w:t>
      </w:r>
    </w:p>
    <w:p>
      <w:pPr>
        <w:pStyle w:val="Heading1"/>
        <w:pBdr>
          <w:bottom w:val="single" w:color="1F4E79" w:sz="6" w:space="4"/>
        </w:pBdr>
        <w:spacing w:before="300" w:after="100"/>
      </w:pPr>
      <w:r>
        <w:rPr>
          <w:rFonts w:ascii="Arial" w:cs="Arial" w:eastAsia="Arial" w:hAnsi="Arial"/>
          <w:b/>
          <w:bCs/>
          <w:color w:val="17375E"/>
          <w:sz w:val="28"/>
          <w:szCs w:val="28"/>
        </w:rPr>
        <w:t xml:space="preserve">APPENDIX B: RECIST v1.1 RESPONSE CRITERIA SUMMARY (FOR REFERENCE)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1200"/>
      </w:tblGrid>
      <w:tr>
        <w:trPr>
          <w:tblHeader/>
        </w:trPr>
        <w:tc>
          <w:tcPr>
            <w:tcW w:type="dxa" w:w="1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Response Category</w:t>
            </w:r>
          </w:p>
        </w:tc>
        <w:tc>
          <w:tcPr>
            <w:tcW w:type="dxa" w:w="2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Target Lesion Criteria</w:t>
            </w:r>
          </w:p>
        </w:tc>
        <w:tc>
          <w:tcPr>
            <w:tcW w:type="dxa" w:w="2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Non-Target Criteria</w:t>
            </w:r>
          </w:p>
        </w:tc>
        <w:tc>
          <w:tcPr>
            <w:tcW w:type="dxa" w:w="1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New Lesions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Complete Response (CR)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Disappearance of all target lesions; any lymph nodes reduced to &lt;10 mm short axis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Disappearance of all non-target lesions; all lymph nodes normal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None</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Partial Response (PR)</w:t>
            </w:r>
          </w:p>
        </w:tc>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&gt;= 30% decrease in SoD from baseline</w:t>
            </w:r>
          </w:p>
        </w:tc>
        <w:tc>
          <w:tcPr>
            <w:tcW w:type="dxa" w:w="2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Non-CR/non-PD</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None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Stable Disease (SD)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Neither PR nor PD criteria met; duration &gt;= 12 weeks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Non-CR/non-PD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None</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Progressive Disease (PD)</w:t>
            </w:r>
          </w:p>
        </w:tc>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&gt;= 20% increase from nadir SoD AND absolute increase &gt;= 5 mm; OR new lesion(s)</w:t>
            </w:r>
          </w:p>
        </w:tc>
        <w:tc>
          <w:tcPr>
            <w:tcW w:type="dxa" w:w="2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Unequivocal progression</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Present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Not Evaluable (NE)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Insufficient data to classify; &gt;= 1 target lesion not measured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N/A</w:t>
            </w:r>
          </w:p>
        </w:tc>
      </w:tr>
    </w:tbl>
    <w:sectPr>
      <w:headerReference w:type="default" r:id="rId6"/>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b/>
        <w:bCs/>
        <w:color w:val="17375E"/>
        <w:sz w:val="18"/>
        <w:szCs w:val="18"/>
      </w:rPr>
      <w:t xml:space="preserve">CERVIMAB CVB-CRC-201 — STATISTICAL ANALYSIS PLAN</w:t>
    </w:r>
    <w:r>
      <w:rPr>
        <w:rFonts w:ascii="Arial" w:cs="Arial" w:eastAsia="Arial" w:hAnsi="Arial"/>
        <w:color w:val="888888"/>
        <w:sz w:val="16"/>
        <w:szCs w:val="16"/>
      </w:rPr>
      <w:t xml:space="preserve">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7375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4E79"/>
      <w:sz w:val="24"/>
      <w:szCs w:val="24"/>
    </w:rPr>
  </w:style>
  <w:style w:type="paragraph" w:styleId="Heading3">
    <w:name w:val="Heading 3"/>
    <w:basedOn w:val="Normal"/>
    <w:next w:val="Normal"/>
    <w:qFormat/>
    <w:pPr>
      <w:spacing w:before="160" w:after="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2026-03-16T13:52:09.778Z</dcterms:created>
  <dcterms:modified xsi:type="dcterms:W3CDTF">2026-03-16T13:52:09.778Z</dcterms:modified>
</cp:coreProperties>
</file>

<file path=docProps/custom.xml><?xml version="1.0" encoding="utf-8"?>
<Properties xmlns="http://schemas.openxmlformats.org/officeDocument/2006/custom-properties" xmlns:vt="http://schemas.openxmlformats.org/officeDocument/2006/docPropsVTypes"/>
</file>