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360" w:after="120"/>
        <w:jc w:val="center"/>
      </w:pPr>
      <w:r>
        <w:rPr>
          <w:rFonts w:ascii="Arial" w:cs="Arial" w:eastAsia="Arial" w:hAnsi="Arial"/>
          <w:b/>
          <w:bCs/>
          <w:color w:val="17375E"/>
          <w:sz w:val="44"/>
          <w:szCs w:val="44"/>
        </w:rPr>
        <w:t xml:space="preserve">CLINICAL STUDY REPORT</w:t>
      </w:r>
    </w:p>
    <w:p>
      <w:pPr>
        <w:spacing w:before="0" w:after="60"/>
        <w:jc w:val="center"/>
      </w:pPr>
      <w:r>
        <w:rPr>
          <w:rFonts w:ascii="Arial" w:cs="Arial" w:eastAsia="Arial" w:hAnsi="Arial"/>
          <w:color w:val="777777"/>
          <w:sz w:val="22"/>
          <w:szCs w:val="22"/>
        </w:rPr>
        <w:t xml:space="preserve">Prepared in Accordance with ICH E3 Guideline</w:t>
      </w:r>
    </w:p>
    <w:p>
      <w:r>
        <w:t xml:space="preserve"/>
      </w:r>
    </w:p>
    <w:p>
      <w:pPr>
        <w:spacing w:before="60" w:after="60"/>
        <w:jc w:val="center"/>
      </w:pPr>
      <w:r>
        <w:rPr>
          <w:rFonts w:ascii="Arial" w:cs="Arial" w:eastAsia="Arial" w:hAnsi="Arial"/>
          <w:b/>
          <w:bCs/>
          <w:color w:val="1F4E79"/>
          <w:sz w:val="40"/>
          <w:szCs w:val="40"/>
        </w:rPr>
        <w:t xml:space="preserve">CERVIMAB</w:t>
      </w:r>
    </w:p>
    <w:p>
      <w:pPr>
        <w:spacing w:before="0" w:after="120"/>
        <w:jc w:val="center"/>
      </w:pPr>
      <w:r>
        <w:rPr>
          <w:rFonts w:ascii="Arial" w:cs="Arial" w:eastAsia="Arial" w:hAnsi="Arial"/>
          <w:color w:val="555555"/>
          <w:sz w:val="22"/>
          <w:szCs w:val="22"/>
        </w:rPr>
        <w:t xml:space="preserve">(Anti-PD-1 Monoclonal Antibody)</w:t>
      </w:r>
    </w:p>
    <w:p>
      <w:r>
        <w:t xml:space="preserve"/>
      </w:r>
    </w:p>
    <w:p>
      <w:pPr>
        <w:spacing w:before="60" w:after="60"/>
        <w:jc w:val="center"/>
      </w:pPr>
      <w:r>
        <w:rPr>
          <w:rFonts w:ascii="Arial" w:cs="Arial" w:eastAsia="Arial" w:hAnsi="Arial"/>
          <w:b/>
          <w:bCs/>
          <w:color w:val="17375E"/>
          <w:sz w:val="24"/>
          <w:szCs w:val="24"/>
        </w:rPr>
        <w:t xml:space="preserve">A Phase 2a, Open-Label, Single-Arm Study to Evaluate the Efficacy and Safety</w:t>
      </w:r>
    </w:p>
    <w:p>
      <w:pPr>
        <w:spacing w:before="0" w:after="120"/>
        <w:jc w:val="center"/>
      </w:pPr>
      <w:r>
        <w:rPr>
          <w:rFonts w:ascii="Arial" w:cs="Arial" w:eastAsia="Arial" w:hAnsi="Arial"/>
          <w:b/>
          <w:bCs/>
          <w:color w:val="17375E"/>
          <w:sz w:val="24"/>
          <w:szCs w:val="24"/>
        </w:rPr>
        <w:t xml:space="preserve">of Cervimab in Patients with dMMR/MSI-H Metastatic Colorectal Cancer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Field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Protocol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CVB-CRC-201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IND Number</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IND #XXXXX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Sponsor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Cervi Therapeutics, Inc., Cambridge, MA 02139</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Medical Monitor</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Jane M. Doe, MD, PhD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Biostatistician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John A. Smith, PhD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Study Phase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Phase 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Study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Open-label, single-arm, multicenter (10-15 US sites)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Indication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dMMR/MSI-H Metastatic Colorectal Cancer (mCRC)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Investigational 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Cervimab 200 mg IV Q3W</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Study Start Date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01 June 2025 (First Patient First Visit)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Primary Data Cutoff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01 December 2026</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CSR Version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 —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CSR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15 March 2027</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Regulatory Context</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US FDA IND; ICH E6(R2) GCP; ICH E3 CSR Format</w:t>
            </w:r>
          </w:p>
        </w:tc>
      </w:tr>
    </w:tbl>
    <w:p>
      <w:r>
        <w:t xml:space="preserve"/>
      </w:r>
    </w:p>
    <w:p>
      <w:pPr>
        <w:jc w:val="center"/>
      </w:pPr>
      <w:r>
        <w:rPr>
          <w:rFonts w:ascii="Arial" w:cs="Arial" w:eastAsia="Arial" w:hAnsi="Arial"/>
          <w:b/>
          <w:bCs/>
          <w:color w:val="CC0000"/>
          <w:sz w:val="18"/>
          <w:szCs w:val="18"/>
        </w:rPr>
        <w:t xml:space="preserve">CONFIDENTIAL — FOR REGULATORY SUBMISSION ONLY</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SIGNATURE PAGE</w:t>
      </w:r>
    </w:p>
    <w:p>
      <w:pPr>
        <w:spacing w:before="60" w:after="80"/>
      </w:pPr>
      <w:r>
        <w:rPr>
          <w:rFonts w:ascii="Arial" w:cs="Arial" w:eastAsia="Arial" w:hAnsi="Arial"/>
          <w:sz w:val="20"/>
          <w:szCs w:val="20"/>
        </w:rPr>
        <w:t xml:space="preserve">I confirm that the information contained in this Clinical Study Report is an accurate and complete account of the conduct and results of the study described herein, and that this report has been prepared in accordance with the study protocol (CVB-CRC-201, Version 1.0), the Statistical Analysis Plan (CVB-CRC-201-SAP, Version 1.0), ICH E3 Guideline, and applicable regulatory requirements.</w:t>
      </w:r>
    </w:p>
    <w:p>
      <w:r>
        <w:t xml:space="preserve"/>
      </w:r>
    </w:p>
    <w:p>
      <w:pPr>
        <w:spacing w:before="120" w:after="60"/>
      </w:pPr>
      <w:r>
        <w:rPr>
          <w:rFonts w:ascii="Arial" w:cs="Arial" w:eastAsia="Arial" w:hAnsi="Arial"/>
          <w:b/>
          <w:bCs/>
          <w:sz w:val="20"/>
          <w:szCs w:val="20"/>
        </w:rPr>
        <w:t xml:space="preserve">Medical Monitor / Responsible Physician:</w:t>
      </w:r>
    </w:p>
    <w:p>
      <w:pPr>
        <w:spacing w:before="60" w:after="40"/>
      </w:pPr>
      <w:r>
        <w:rPr>
          <w:rFonts w:ascii="Arial" w:cs="Arial" w:eastAsia="Arial" w:hAnsi="Arial"/>
          <w:sz w:val="20"/>
          <w:szCs w:val="20"/>
        </w:rPr>
        <w:t xml:space="preserve">Signature: ________________________________    Date: ________________</w:t>
      </w:r>
    </w:p>
    <w:p>
      <w:pPr>
        <w:spacing w:before="40" w:after="120"/>
      </w:pPr>
      <w:r>
        <w:rPr>
          <w:rFonts w:ascii="Arial" w:cs="Arial" w:eastAsia="Arial" w:hAnsi="Arial"/>
          <w:sz w:val="20"/>
          <w:szCs w:val="20"/>
        </w:rPr>
        <w:t xml:space="preserve">Name/Title: Jane M. Doe, MD, PhD, Medical Monitor</w:t>
      </w:r>
    </w:p>
    <w:p>
      <w:r>
        <w:t xml:space="preserve"/>
      </w:r>
    </w:p>
    <w:p>
      <w:pPr>
        <w:spacing w:before="120" w:after="60"/>
      </w:pPr>
      <w:r>
        <w:rPr>
          <w:rFonts w:ascii="Arial" w:cs="Arial" w:eastAsia="Arial" w:hAnsi="Arial"/>
          <w:b/>
          <w:bCs/>
          <w:sz w:val="20"/>
          <w:szCs w:val="20"/>
        </w:rPr>
        <w:t xml:space="preserve">Sponsor Representative:</w:t>
      </w:r>
    </w:p>
    <w:p>
      <w:pPr>
        <w:spacing w:before="60" w:after="40"/>
      </w:pPr>
      <w:r>
        <w:rPr>
          <w:rFonts w:ascii="Arial" w:cs="Arial" w:eastAsia="Arial" w:hAnsi="Arial"/>
          <w:sz w:val="20"/>
          <w:szCs w:val="20"/>
        </w:rPr>
        <w:t xml:space="preserve">Signature: ________________________________    Date: ________________</w:t>
      </w:r>
    </w:p>
    <w:p>
      <w:pPr>
        <w:spacing w:before="40" w:after="120"/>
      </w:pPr>
      <w:r>
        <w:rPr>
          <w:rFonts w:ascii="Arial" w:cs="Arial" w:eastAsia="Arial" w:hAnsi="Arial"/>
          <w:sz w:val="20"/>
          <w:szCs w:val="20"/>
        </w:rPr>
        <w:t xml:space="preserve">Name/Title: [Chief Medical Officer, Cervi Therapeutics, Inc.]</w:t>
      </w:r>
    </w:p>
    <w:p>
      <w:r>
        <w:t xml:space="preserve"/>
      </w:r>
    </w:p>
    <w:p>
      <w:pPr>
        <w:spacing w:before="120" w:after="60"/>
      </w:pPr>
      <w:r>
        <w:rPr>
          <w:rFonts w:ascii="Arial" w:cs="Arial" w:eastAsia="Arial" w:hAnsi="Arial"/>
          <w:b/>
          <w:bCs/>
          <w:sz w:val="20"/>
          <w:szCs w:val="20"/>
        </w:rPr>
        <w:t xml:space="preserve">Biostatistician:</w:t>
      </w:r>
    </w:p>
    <w:p>
      <w:pPr>
        <w:spacing w:before="60" w:after="40"/>
      </w:pPr>
      <w:r>
        <w:rPr>
          <w:rFonts w:ascii="Arial" w:cs="Arial" w:eastAsia="Arial" w:hAnsi="Arial"/>
          <w:sz w:val="20"/>
          <w:szCs w:val="20"/>
        </w:rPr>
        <w:t xml:space="preserve">Signature: ________________________________    Date: ________________</w:t>
      </w:r>
    </w:p>
    <w:p>
      <w:pPr>
        <w:spacing w:before="40" w:after="120"/>
      </w:pPr>
      <w:r>
        <w:rPr>
          <w:rFonts w:ascii="Arial" w:cs="Arial" w:eastAsia="Arial" w:hAnsi="Arial"/>
          <w:sz w:val="20"/>
          <w:szCs w:val="20"/>
        </w:rPr>
        <w:t xml:space="preserve">Name/Title: John A. Smith, PhD, Senior Biostatistician</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Item</w:t>
            </w:r>
          </w:p>
        </w:tc>
        <w:tc>
          <w:tcPr>
            <w:tcW w:type="dxa" w:w="6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 Phase 2a, Open-Label, Single-Arm Study to Evaluate the Efficacy and Safety of Cervimab in Patients with dMMR/MSI-H Metastatic Colorectal Cancer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Protocol Number</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CVB-CRC-201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Study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Phase 2a</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Sponsor</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Cervi Therapeutics, Inc.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Study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Open-label, single-arm, multicenter; two-stage Simon Optimal design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Investigational Drug</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Cervimab 200 mg IV Q3W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Study 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Adults with dMMR/MSI-H mCRC; &gt;= 1 prior systemic therapy; ECOG PS 0-1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Number of Patients Enrolled</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43 (3 screen failures; 40 treated; 40 evaluable)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Number of Study Sites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12 US sites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Study Duration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First patient enrolled: 01 June 2025; Primary data cutoff: 01 December 2026; Median follow-up: 14.2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Primary Endpoint — ORR (BICR, RECIST v1.1)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 = 42.5% (17/40; 95% CI: 27.0%, 59.1%)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Simon Design Decision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17 responses observed in 40 patients: &gt;= 13 required; H0 REJECTED (p = 0.011, one-sided)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Complete Response (CR)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 (2/40)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Partial Response (PR) Rate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37.5% (15/40)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Stable Disease (SD)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27.5% (11/40)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Progressive Disease (PD) Rate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22.5% (9/40)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Evaluable (NE)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7.5% (3/40)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Disease Control Rate (DCR, CR+PR+SD)</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75.0% (30/40; 95% CI: 58.8%, 87.3%)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Median Duration of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reached (NR) at data cutoff; 6-month DoR rate: 88.2% (95% CI: 60.6%, 96.9%)</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Median Progression-Free Survival</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8.3 months (95% CI: 5.6, NR)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6-month PFS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62.5% (95% CI: 45.8%, 75.8%)</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12-month PFS Rate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47.8% (95% CI: 31.9%, 62.2%)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Median Overall Survival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Reached (median follow-up 14.2 months; data immature, 12 events)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12-month OS Rate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79.8% (95% CI: 63.7%, 89.4%)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Any AE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(40/40; all grades)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Grade &gt;= 3 AE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50.0% (20/40)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Any Treatment-Related AE (TRAE)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87.5% (35/40)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Grade &gt;= 3 TRAE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27.5% (11/40)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Serious AEs (SAEs)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30.0% (12/40)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irAEs (any grade)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55.0% (22/40)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Grade &gt;= 3 irAEs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17.5% (7/40)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Safety: Discontinuation due to AE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10.0% (4/40)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Deaths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 (4/40; none treatment-related)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Most Common TRAEs (&gt;= 20%)</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Fatigue (47.5%), Rash (30.0%), Diarrhea (27.5%), Pruritus (25.0%), Nausea (22.5%), Arthralgia (20.0%)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Most Common Grade &gt;= 3 TRAEs (&gt;=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Colitis (10.0%), Elevated ALT (7.5%), Elevated AST (5.0%), Hypothyroidism Grade 3 (5.0%)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Conclusion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Cervimab demonstrated clinically meaningful antitumor activity (ORR 42.5%) with manageable safety in patients with previously treated dMMR/MSI-H mCRC. These results support further development of cervimab in this population.</w:t>
            </w:r>
          </w:p>
        </w:tc>
      </w:tr>
    </w:tbl>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TABLE OF CONTENTS</w:t>
      </w:r>
    </w:p>
    <w:p>
      <w:pPr>
        <w:spacing w:before="60" w:after="80"/>
      </w:pPr>
      <w:r>
        <w:rPr>
          <w:rFonts w:ascii="Arial" w:cs="Arial" w:eastAsia="Arial" w:hAnsi="Arial"/>
          <w:sz w:val="20"/>
          <w:szCs w:val="20"/>
        </w:rPr>
        <w:t xml:space="preserve">1.   Title Page</w:t>
      </w:r>
    </w:p>
    <w:p>
      <w:pPr>
        <w:spacing w:before="60" w:after="80"/>
      </w:pPr>
      <w:r>
        <w:rPr>
          <w:rFonts w:ascii="Arial" w:cs="Arial" w:eastAsia="Arial" w:hAnsi="Arial"/>
          <w:sz w:val="20"/>
          <w:szCs w:val="20"/>
        </w:rPr>
        <w:t xml:space="preserve">2.   Synopsis</w:t>
      </w:r>
    </w:p>
    <w:p>
      <w:pPr>
        <w:spacing w:before="60" w:after="80"/>
      </w:pPr>
      <w:r>
        <w:rPr>
          <w:rFonts w:ascii="Arial" w:cs="Arial" w:eastAsia="Arial" w:hAnsi="Arial"/>
          <w:sz w:val="20"/>
          <w:szCs w:val="20"/>
        </w:rPr>
        <w:t xml:space="preserve">3.   Table of Contents</w:t>
      </w:r>
    </w:p>
    <w:p>
      <w:pPr>
        <w:spacing w:before="60" w:after="80"/>
      </w:pPr>
      <w:r>
        <w:rPr>
          <w:rFonts w:ascii="Arial" w:cs="Arial" w:eastAsia="Arial" w:hAnsi="Arial"/>
          <w:sz w:val="20"/>
          <w:szCs w:val="20"/>
        </w:rPr>
        <w:t xml:space="preserve">4.   List of Abbreviations and Definitions</w:t>
      </w:r>
    </w:p>
    <w:p>
      <w:pPr>
        <w:spacing w:before="60" w:after="80"/>
      </w:pPr>
      <w:r>
        <w:rPr>
          <w:rFonts w:ascii="Arial" w:cs="Arial" w:eastAsia="Arial" w:hAnsi="Arial"/>
          <w:sz w:val="20"/>
          <w:szCs w:val="20"/>
        </w:rPr>
        <w:t xml:space="preserve">5.   Ethics</w:t>
      </w:r>
    </w:p>
    <w:p>
      <w:pPr>
        <w:spacing w:before="60" w:after="80"/>
      </w:pPr>
      <w:r>
        <w:rPr>
          <w:rFonts w:ascii="Arial" w:cs="Arial" w:eastAsia="Arial" w:hAnsi="Arial"/>
          <w:sz w:val="20"/>
          <w:szCs w:val="20"/>
        </w:rPr>
        <w:t xml:space="preserve">6.   Investigators and Study Administrative Structure</w:t>
      </w:r>
    </w:p>
    <w:p>
      <w:pPr>
        <w:spacing w:before="60" w:after="80"/>
      </w:pPr>
      <w:r>
        <w:rPr>
          <w:rFonts w:ascii="Arial" w:cs="Arial" w:eastAsia="Arial" w:hAnsi="Arial"/>
          <w:sz w:val="20"/>
          <w:szCs w:val="20"/>
        </w:rPr>
        <w:t xml:space="preserve">7.   Introduction</w:t>
      </w:r>
    </w:p>
    <w:p>
      <w:pPr>
        <w:spacing w:before="60" w:after="80"/>
      </w:pPr>
      <w:r>
        <w:rPr>
          <w:rFonts w:ascii="Arial" w:cs="Arial" w:eastAsia="Arial" w:hAnsi="Arial"/>
          <w:sz w:val="20"/>
          <w:szCs w:val="20"/>
        </w:rPr>
        <w:t xml:space="preserve">8.   Study Objectives</w:t>
      </w:r>
    </w:p>
    <w:p>
      <w:pPr>
        <w:spacing w:before="60" w:after="80"/>
      </w:pPr>
      <w:r>
        <w:rPr>
          <w:rFonts w:ascii="Arial" w:cs="Arial" w:eastAsia="Arial" w:hAnsi="Arial"/>
          <w:sz w:val="20"/>
          <w:szCs w:val="20"/>
        </w:rPr>
        <w:t xml:space="preserve">9.   Investigational Plan</w:t>
      </w:r>
    </w:p>
    <w:p>
      <w:pPr>
        <w:spacing w:before="60" w:after="80"/>
      </w:pPr>
      <w:r>
        <w:rPr>
          <w:rFonts w:ascii="Arial" w:cs="Arial" w:eastAsia="Arial" w:hAnsi="Arial"/>
          <w:sz w:val="20"/>
          <w:szCs w:val="20"/>
        </w:rPr>
        <w:t xml:space="preserve">10.  Study Patients</w:t>
      </w:r>
    </w:p>
    <w:p>
      <w:pPr>
        <w:spacing w:before="60" w:after="80"/>
      </w:pPr>
      <w:r>
        <w:rPr>
          <w:rFonts w:ascii="Arial" w:cs="Arial" w:eastAsia="Arial" w:hAnsi="Arial"/>
          <w:sz w:val="20"/>
          <w:szCs w:val="20"/>
        </w:rPr>
        <w:t xml:space="preserve">11.  Efficacy Evaluation</w:t>
      </w:r>
    </w:p>
    <w:p>
      <w:pPr>
        <w:spacing w:before="60" w:after="80"/>
      </w:pPr>
      <w:r>
        <w:rPr>
          <w:rFonts w:ascii="Arial" w:cs="Arial" w:eastAsia="Arial" w:hAnsi="Arial"/>
          <w:sz w:val="20"/>
          <w:szCs w:val="20"/>
        </w:rPr>
        <w:t xml:space="preserve">12.  Safety Evaluation</w:t>
      </w:r>
    </w:p>
    <w:p>
      <w:pPr>
        <w:spacing w:before="60" w:after="80"/>
      </w:pPr>
      <w:r>
        <w:rPr>
          <w:rFonts w:ascii="Arial" w:cs="Arial" w:eastAsia="Arial" w:hAnsi="Arial"/>
          <w:sz w:val="20"/>
          <w:szCs w:val="20"/>
        </w:rPr>
        <w:t xml:space="preserve">13.  Discussion and Overall Conclusions</w:t>
      </w:r>
    </w:p>
    <w:p>
      <w:pPr>
        <w:spacing w:before="60" w:after="80"/>
      </w:pPr>
      <w:r>
        <w:rPr>
          <w:rFonts w:ascii="Arial" w:cs="Arial" w:eastAsia="Arial" w:hAnsi="Arial"/>
          <w:sz w:val="20"/>
          <w:szCs w:val="20"/>
        </w:rPr>
        <w:t xml:space="preserve">14.  References</w:t>
      </w:r>
    </w:p>
    <w:p>
      <w:pPr>
        <w:spacing w:before="60" w:after="80"/>
      </w:pPr>
      <w:r>
        <w:rPr>
          <w:rFonts w:ascii="Arial" w:cs="Arial" w:eastAsia="Arial" w:hAnsi="Arial"/>
          <w:sz w:val="20"/>
          <w:szCs w:val="20"/>
        </w:rPr>
        <w:t xml:space="preserve">Appendices</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4. LIST OF ABBREVIATIONS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Abbreviation</w:t>
            </w:r>
          </w:p>
        </w:tc>
        <w:tc>
          <w:tcPr>
            <w:tcW w:type="dxa" w:w="7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ADaM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Analysis Data Model (CDISC)</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ADA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Anti-drug antibody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Adverse Event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ALT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Alanine aminotransferase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ANC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Absolute neutrophil count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AST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Aspartate aminotransferase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BICR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Blinded Independent Central Review</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BOR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Best Overall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CDASH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Clinical Data Acquisition Standards Harmonization (CDISC)</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CDISC</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Clinical Data Interchange Standards Consortium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Complete Response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CRC</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Colorectal Cancer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CrCl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Creatinine clearance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CSR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Clinical Study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Computed tomography</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CTCAE</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Common Terminology Criteria for Adverse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ctDNA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Circulating tumor DNA</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DCR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Disease Control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dMMR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Deficient mismatch repair</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DoR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Duration of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DSMB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Data Safety Monitoring Board</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ECG</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Electrocardiogram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ECOG PS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Eastern Cooperative Oncology Group Performance Status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EDC</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Electronic Data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Efficacy-Evaluable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EOT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End of Treatment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eCRF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Electronic Case Report Form</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EQ-5D-5L</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EuroQol 5-Dimension 5-Level health status questionnaire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EORTC QLQ-C30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European Organisation for Research and Treatment of Cancer Quality of Life Questionnaire Core 30</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GCP</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Good Clinical Practice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ICF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Informed Consent Form</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ICH</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International Council for Harmonisation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IHC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Immunohistochemistry</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IND</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Investigational New Drug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irAE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Immune-related adverse event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iRECIST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Immune-modified RECIST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ITT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Intent-to-treat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IV</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Intravenous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Kaplan-Meier</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mCRC</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Metastatic colorectal cancer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MedDRA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Medical Dictionary for Regulatory Activities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MMR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Mismatch repair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MRI</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Magnetic resonance imaging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MSI-H</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Microsatellite instability-high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NGS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Next-generation sequencing</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Not reached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ORR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Objective Response Rate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OS</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Overall Survival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Progressive Disease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PD-1</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Programmed cell death protein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PD-L1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Programmed death-ligand 1</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PFS</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Progression-Free Survival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Pharmacokinetics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Partial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Patient-reported outcome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Preferred Term (MedDRA)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Q3W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Every 3 weeks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RECIST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Response Evaluation Criteria in Solid Tumors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RP2D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Recommended Phase 2 Dose</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SAE</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Serious Adverse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Statistical Analysis Plan</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SD</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Stable Disease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SDTM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Study Data Tabulation Model (CDISC)</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SOC</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System Organ Class (MedDRA)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Sum of diameters (target lesions)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SUSAR</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Suspected Unexpected Serious Adverse Reaction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TEAE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Treatment-emergent adverse event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TIL</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Tumor-infiltrating lymphocyte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TMB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Tumor mutational burden</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TRAE</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Treatment-related adverse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ULN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Upper limit of normal</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WOCBP</w:t>
            </w:r>
          </w:p>
        </w:tc>
        <w:tc>
          <w:tcPr>
            <w:tcW w:type="dxa" w:w="7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Women of childbearing potential</w:t>
            </w:r>
          </w:p>
        </w:tc>
      </w:tr>
    </w:tbl>
    <w:p>
      <w:r>
        <w:t xml:space="preserve"/>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5. ETHICS</w:t>
      </w:r>
    </w:p>
    <w:p>
      <w:pPr>
        <w:pStyle w:val="Heading2"/>
        <w:spacing w:before="200" w:after="80"/>
      </w:pPr>
      <w:r>
        <w:rPr>
          <w:rFonts w:ascii="Arial" w:cs="Arial" w:eastAsia="Arial" w:hAnsi="Arial"/>
          <w:b/>
          <w:bCs/>
          <w:color w:val="1F4E79"/>
          <w:sz w:val="24"/>
          <w:szCs w:val="24"/>
        </w:rPr>
        <w:t xml:space="preserve">5.1 Independent Ethics Committee / Institutional Review Board</w:t>
      </w:r>
    </w:p>
    <w:p>
      <w:pPr>
        <w:spacing w:before="60" w:after="80"/>
      </w:pPr>
      <w:r>
        <w:rPr>
          <w:rFonts w:ascii="Arial" w:cs="Arial" w:eastAsia="Arial" w:hAnsi="Arial"/>
          <w:sz w:val="20"/>
          <w:szCs w:val="20"/>
        </w:rPr>
        <w:t xml:space="preserve">This study was approved by the Institutional Review Board (IRB) or Independent Ethics Committee (IEC) at each participating site prior to initiation of any study-related procedures. All IRB/IEC approvals were documented and maintained in the Trial Master File. Continuing review approvals were obtained annually in accordance with 21 CFR Part 56 and applicable local regulations. A list of all IRBs/IECs and their approval dates is provided in Appendix 16.1.3.</w:t>
      </w:r>
    </w:p>
    <w:p>
      <w:pPr>
        <w:pStyle w:val="Heading2"/>
        <w:spacing w:before="200" w:after="80"/>
      </w:pPr>
      <w:r>
        <w:rPr>
          <w:rFonts w:ascii="Arial" w:cs="Arial" w:eastAsia="Arial" w:hAnsi="Arial"/>
          <w:b/>
          <w:bCs/>
          <w:color w:val="1F4E79"/>
          <w:sz w:val="24"/>
          <w:szCs w:val="24"/>
        </w:rPr>
        <w:t xml:space="preserve">5.2 Ethical Conduct of the Study</w:t>
      </w:r>
    </w:p>
    <w:p>
      <w:pPr>
        <w:spacing w:before="60" w:after="80"/>
      </w:pPr>
      <w:r>
        <w:rPr>
          <w:rFonts w:ascii="Arial" w:cs="Arial" w:eastAsia="Arial" w:hAnsi="Arial"/>
          <w:sz w:val="20"/>
          <w:szCs w:val="20"/>
        </w:rPr>
        <w:t xml:space="preserve">This study was conducted in accordance with: (1) the ethical principles in the Declaration of Helsinki (64th WMA General Assembly, Fortaleza, Brazil, October 2013); (2) ICH E6(R2) Guidelines for Good Clinical Practice; (3) applicable US federal regulations including 21 CFR Parts 50, 54, 56, and 312; and (4) individual site-specific requirements. Written informed consent was obtained from all patients prior to enrollment.</w:t>
      </w:r>
    </w:p>
    <w:p>
      <w:pPr>
        <w:pStyle w:val="Heading2"/>
        <w:spacing w:before="200" w:after="80"/>
      </w:pPr>
      <w:r>
        <w:rPr>
          <w:rFonts w:ascii="Arial" w:cs="Arial" w:eastAsia="Arial" w:hAnsi="Arial"/>
          <w:b/>
          <w:bCs/>
          <w:color w:val="1F4E79"/>
          <w:sz w:val="24"/>
          <w:szCs w:val="24"/>
        </w:rPr>
        <w:t xml:space="preserve">5.3 Patient Information and Consent</w:t>
      </w:r>
    </w:p>
    <w:p>
      <w:pPr>
        <w:spacing w:before="60" w:after="80"/>
      </w:pPr>
      <w:r>
        <w:rPr>
          <w:rFonts w:ascii="Arial" w:cs="Arial" w:eastAsia="Arial" w:hAnsi="Arial"/>
          <w:sz w:val="20"/>
          <w:szCs w:val="20"/>
        </w:rPr>
        <w:t xml:space="preserve">All patients provided written informed consent using the IRB/IEC-approved Informed Consent Form (ICF; Version 1.0, 01 March 2025) before participation in any study procedures. Patients were given adequate opportunity to ask questions, and the consent process was documented in the source records. In no case did a patient undergo study-related procedures prior to obtaining a properly executed ICF. One protocol amendment requiring ICF update was implemented (Amendment 1, [date]; revised ICF v1.1 approved by all IRBs/IECs before re-consenting affected patients).</w:t>
      </w:r>
    </w:p>
    <w:p>
      <w:pPr>
        <w:pStyle w:val="Heading1"/>
        <w:pBdr>
          <w:bottom w:val="single" w:color="1F4E79" w:sz="6" w:space="4"/>
        </w:pBdr>
        <w:spacing w:before="320" w:after="100"/>
      </w:pPr>
      <w:r>
        <w:rPr>
          <w:rFonts w:ascii="Arial" w:cs="Arial" w:eastAsia="Arial" w:hAnsi="Arial"/>
          <w:b/>
          <w:bCs/>
          <w:color w:val="17375E"/>
          <w:sz w:val="28"/>
          <w:szCs w:val="28"/>
        </w:rPr>
        <w:t xml:space="preserve">6. INVESTIGATORS AND STUDY ADMINISTRATIVE STRUCTURE</w:t>
      </w:r>
    </w:p>
    <w:p>
      <w:pPr>
        <w:pStyle w:val="Heading2"/>
        <w:spacing w:before="200" w:after="80"/>
      </w:pPr>
      <w:r>
        <w:rPr>
          <w:rFonts w:ascii="Arial" w:cs="Arial" w:eastAsia="Arial" w:hAnsi="Arial"/>
          <w:b/>
          <w:bCs/>
          <w:color w:val="1F4E79"/>
          <w:sz w:val="24"/>
          <w:szCs w:val="24"/>
        </w:rPr>
        <w:t xml:space="preserve">6.1 Study Sites and Principal Investigators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600"/>
        <w:gridCol w:w="2100"/>
        <w:gridCol w:w="12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Site #</w:t>
            </w:r>
          </w:p>
        </w:tc>
        <w:tc>
          <w:tcPr>
            <w:tcW w:type="dxa" w:w="29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Institution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City, State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Principal Investigator</w:t>
            </w:r>
          </w:p>
        </w:tc>
        <w:tc>
          <w:tcPr>
            <w:tcW w:type="dxa" w:w="12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Patients Enrolled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Massachusetts General Hospital Cancer Center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Boston, MA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A. Thompson,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002</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Memorial Sloan Kettering Cancer Center</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New York, NY</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B. Hernandez, MD, PhD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Johns Hopkins Sidney Kimmel Cancer Center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Baltimore, MD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C. Park,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004</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MD Anderson Cancer Center</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Houston, TX</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D. Williams, MD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University of California San Francisco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San Francisco, CA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E. Johnson,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006</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Mayo Clinic</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Rochester, MN</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F. Martinez, MD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Duke Cancer Institute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Durham, NC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G. Brown,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008</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University of Pennsylvania Abramson CC</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Philadelphia, PA</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H. Davis, MD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009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Vanderbilt-Ingram Cancer Center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Nashville, TN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I. Wilson,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010</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Cleveland Clinic Taussig Cancer Center</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Cleveland, OH</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J. Lee, MD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011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Stanford Cancer Institute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Stanford, CA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Dr. K. Anderson, MD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012</w:t>
            </w:r>
          </w:p>
        </w:tc>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Moffitt Cancer Center</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Tampa, FL</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Dr. L. Taylor, MD</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40</w:t>
            </w:r>
          </w:p>
        </w:tc>
      </w:tr>
    </w:tbl>
    <w:p>
      <w:r>
        <w:t xml:space="preserve"/>
      </w:r>
    </w:p>
    <w:p>
      <w:pPr>
        <w:pStyle w:val="Heading2"/>
        <w:spacing w:before="200" w:after="80"/>
      </w:pPr>
      <w:r>
        <w:rPr>
          <w:rFonts w:ascii="Arial" w:cs="Arial" w:eastAsia="Arial" w:hAnsi="Arial"/>
          <w:b/>
          <w:bCs/>
          <w:color w:val="1F4E79"/>
          <w:sz w:val="24"/>
          <w:szCs w:val="24"/>
        </w:rPr>
        <w:t xml:space="preserve">6.2 Sponsor and CRO</w:t>
      </w:r>
    </w:p>
    <w:p>
      <w:pPr>
        <w:spacing w:before="60" w:after="80"/>
      </w:pPr>
      <w:r>
        <w:rPr>
          <w:rFonts w:ascii="Arial" w:cs="Arial" w:eastAsia="Arial" w:hAnsi="Arial"/>
          <w:sz w:val="20"/>
          <w:szCs w:val="20"/>
        </w:rPr>
        <w:t xml:space="preserve">Sponsor: Cervi Therapeutics, Inc., 100 Innovation Drive, Cambridge, MA 02139. The sponsor is responsible for overall study management and data oversight. A contract research organization (CRO), PharmaResearch Partners, LLC, was contracted for clinical operations, monitoring, data management, and pharmacovigilance functions under a quality agreement and delegation log.</w:t>
      </w:r>
    </w:p>
    <w:p>
      <w:pPr>
        <w:pStyle w:val="Heading2"/>
        <w:spacing w:before="200" w:after="80"/>
      </w:pPr>
      <w:r>
        <w:rPr>
          <w:rFonts w:ascii="Arial" w:cs="Arial" w:eastAsia="Arial" w:hAnsi="Arial"/>
          <w:b/>
          <w:bCs/>
          <w:color w:val="1F4E79"/>
          <w:sz w:val="24"/>
          <w:szCs w:val="24"/>
        </w:rPr>
        <w:t xml:space="preserve">6.3 Data Safety Monitoring Board</w:t>
      </w:r>
    </w:p>
    <w:p>
      <w:pPr>
        <w:spacing w:before="60" w:after="80"/>
      </w:pPr>
      <w:r>
        <w:rPr>
          <w:rFonts w:ascii="Arial" w:cs="Arial" w:eastAsia="Arial" w:hAnsi="Arial"/>
          <w:sz w:val="20"/>
          <w:szCs w:val="20"/>
        </w:rPr>
        <w:t xml:space="preserve">An independent DSMB comprising Dr. X. Nguyen (Chair, Oncologist), Dr. Y. Patel (Oncologist), Dr. Z. Cohen (GI specialist), and Dr. W. Kim (Independent Biostatistician) was convened. The DSMB conducted four formal safety reviews during the study (after patients 10, 20, 30, and 40 completed at least 2 cycles). No safety-related study modifications were required based on DSMB recommendations.</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7. INTRODUCTION</w:t>
      </w:r>
    </w:p>
    <w:p>
      <w:pPr>
        <w:pStyle w:val="Heading2"/>
        <w:spacing w:before="200" w:after="80"/>
      </w:pPr>
      <w:r>
        <w:rPr>
          <w:rFonts w:ascii="Arial" w:cs="Arial" w:eastAsia="Arial" w:hAnsi="Arial"/>
          <w:b/>
          <w:bCs/>
          <w:color w:val="1F4E79"/>
          <w:sz w:val="24"/>
          <w:szCs w:val="24"/>
        </w:rPr>
        <w:t xml:space="preserve">7.1 Colorectal Cancer and the dMMR/MSI-H Subset</w:t>
      </w:r>
    </w:p>
    <w:p>
      <w:pPr>
        <w:spacing w:before="60" w:after="80"/>
      </w:pPr>
      <w:r>
        <w:rPr>
          <w:rFonts w:ascii="Arial" w:cs="Arial" w:eastAsia="Arial" w:hAnsi="Arial"/>
          <w:sz w:val="20"/>
          <w:szCs w:val="20"/>
        </w:rPr>
        <w:t xml:space="preserve">Colorectal cancer (CRC) is the third most common cancer and second leading cause of cancer death globally. In 2025, approximately 154,270 new cases of CRC were diagnosed in the United States and approximately 52,900 deaths were attributed to the disease (American Cancer Society, 2025). Approximately 20-25% of patients present with metastatic disease at diagnosis, and an additional 25-30% eventually develop metastatic CRC (mCRC). The median overall survival with standard first-line chemotherapy (FOLFOX or FOLFIRI ± targeted agents) is approximately 28-30 months, and outcomes remain poor in the second-line setting.</w:t>
      </w:r>
    </w:p>
    <w:p>
      <w:pPr>
        <w:spacing w:before="60" w:after="80"/>
      </w:pPr>
      <w:r>
        <w:rPr>
          <w:rFonts w:ascii="Arial" w:cs="Arial" w:eastAsia="Arial" w:hAnsi="Arial"/>
          <w:sz w:val="20"/>
          <w:szCs w:val="20"/>
        </w:rPr>
        <w:t xml:space="preserve">Deficient mismatch repair (dMMR) or microsatellite instability-high (MSI-H) status — determined by immunohistochemistry or molecular testing — occurs in approximately 3-5% of mCRC cases. This molecular subtype is characterized by: (1) hypermutated genomes with high tumor mutational burden (median TMB ~40 mutations/Mb vs. ~3-5 mutations/Mb in proficient MMR [pMMR] tumors); (2) dense immune infiltrates, particularly CD8+ cytotoxic T lymphocytes; (3) upregulation of immune checkpoint molecules including PD-1, PD-L1, and CTLA-4; and (4) strong association with Lynch syndrome in ~40% of cases. These biological features render dMMR/MSI-H tumors uniquely sensitive to immune checkpoint inhibition.</w:t>
      </w:r>
    </w:p>
    <w:p>
      <w:pPr>
        <w:pStyle w:val="Heading2"/>
        <w:spacing w:before="200" w:after="80"/>
      </w:pPr>
      <w:r>
        <w:rPr>
          <w:rFonts w:ascii="Arial" w:cs="Arial" w:eastAsia="Arial" w:hAnsi="Arial"/>
          <w:b/>
          <w:bCs/>
          <w:color w:val="1F4E79"/>
          <w:sz w:val="24"/>
          <w:szCs w:val="24"/>
        </w:rPr>
        <w:t xml:space="preserve">7.2 Established Immunotherapy Landscape in dMMR/MSI-H mCRC</w:t>
      </w:r>
    </w:p>
    <w:p>
      <w:pPr>
        <w:spacing w:before="60" w:after="80"/>
      </w:pPr>
      <w:r>
        <w:rPr>
          <w:rFonts w:ascii="Arial" w:cs="Arial" w:eastAsia="Arial" w:hAnsi="Arial"/>
          <w:sz w:val="20"/>
          <w:szCs w:val="20"/>
        </w:rPr>
        <w:t xml:space="preserve">The clinical significance of this subtype was established by Le et al. (Science, 2017), who demonstrated that dMMR tumors across multiple histologies responded to PD-1 blockade with pembrolizumab, leading to the first tumor-agnostic FDA approval based on a biomarker. In mCRC specifically: pembrolizumab received FDA approval as first-line monotherapy (KEYNOTE-177, ORR ~44%, PFS benefit vs. chemotherapy) and as second/later-line therapy (KEYNOTE-158, ORR ~33%); nivolumab monotherapy (CheckMate 142, ORR ~31%) and nivolumab plus ipilimumab (ORR ~55%) also received FDA approval in second/later-line settings. Despite these advances, approximately 55-60% of dMMR/MSI-H mCRC patients do not respond to PD-1 monotherapy, creating a continued unmet need for novel or more potent PD-1-directed agents.</w:t>
      </w:r>
    </w:p>
    <w:p>
      <w:pPr>
        <w:pStyle w:val="Heading2"/>
        <w:spacing w:before="200" w:after="80"/>
      </w:pPr>
      <w:r>
        <w:rPr>
          <w:rFonts w:ascii="Arial" w:cs="Arial" w:eastAsia="Arial" w:hAnsi="Arial"/>
          <w:b/>
          <w:bCs/>
          <w:color w:val="1F4E79"/>
          <w:sz w:val="24"/>
          <w:szCs w:val="24"/>
        </w:rPr>
        <w:t xml:space="preserve">7.3 Rationale for Cervimab Development</w:t>
      </w:r>
    </w:p>
    <w:p>
      <w:pPr>
        <w:spacing w:before="60" w:after="80"/>
      </w:pPr>
      <w:r>
        <w:rPr>
          <w:rFonts w:ascii="Arial" w:cs="Arial" w:eastAsia="Arial" w:hAnsi="Arial"/>
          <w:sz w:val="20"/>
          <w:szCs w:val="20"/>
        </w:rPr>
        <w:t xml:space="preserve">Cervimab is a fully humanized IgG4 monoclonal antibody with an engineered S228P stabilizing mutation that selectively blocks PD-1, preventing its interaction with PD-L1 and PD-L2. Preclinical data demonstrated: IC50 for T-cell activation = 0.8 nM (comparable to pembrolizumab 2.6 nM); no detectable off-target binding across 50 immune receptor cross-reactivity panel; favorable predicted human PK (half-life ~25 days, Ctrough at 200 mg Q3W predicted to maintain near-complete receptor occupancy throughout the dosing interval). In the Phase 1 study (CVB-001, N=56), cervimab showed an acceptable safety profile with irAEs consistent with class effects, no treatment-related deaths, and anti-tumor activity in multiple solid tumor types. In the 8 dMMR/MSI-H tumor patients enrolled in CVB-001, 3 confirmed objective responses were observed (ORR 37.5%; 2 colorectal, 1 endometrial), providing proof-of-concept justifying this Phase 2a study.</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8. STUDY OBJECTIVES</w:t>
      </w:r>
    </w:p>
    <w:p>
      <w:pPr>
        <w:pStyle w:val="Heading2"/>
        <w:spacing w:before="200" w:after="80"/>
      </w:pPr>
      <w:r>
        <w:rPr>
          <w:rFonts w:ascii="Arial" w:cs="Arial" w:eastAsia="Arial" w:hAnsi="Arial"/>
          <w:b/>
          <w:bCs/>
          <w:color w:val="1F4E79"/>
          <w:sz w:val="24"/>
          <w:szCs w:val="24"/>
        </w:rPr>
        <w:t xml:space="preserve">8.1 Primary Objective and Endpoint</w:t>
      </w:r>
    </w:p>
    <w:p>
      <w:pPr>
        <w:spacing w:before="60" w:after="80"/>
      </w:pPr>
      <w:r>
        <w:rPr>
          <w:rFonts w:ascii="Arial" w:cs="Arial" w:eastAsia="Arial" w:hAnsi="Arial"/>
          <w:sz w:val="20"/>
          <w:szCs w:val="20"/>
        </w:rPr>
        <w:t xml:space="preserve">Primary Objective: To evaluate the antitumor activity of cervimab 200 mg IV Q3W in patients with previously treated dMMR/MSI-H mCRC.</w:t>
      </w:r>
    </w:p>
    <w:p>
      <w:pPr>
        <w:spacing w:before="60" w:after="80"/>
      </w:pPr>
      <w:r>
        <w:rPr>
          <w:rFonts w:ascii="Arial" w:cs="Arial" w:eastAsia="Arial" w:hAnsi="Arial"/>
          <w:sz w:val="20"/>
          <w:szCs w:val="20"/>
        </w:rPr>
        <w:t xml:space="preserve">Primary Endpoint: Objective Response Rate (ORR), defined as the proportion of patients with confirmed complete response (CR) or partial response (PR) per RECIST v1.1 by BICR.</w:t>
      </w:r>
    </w:p>
    <w:p>
      <w:pPr>
        <w:pStyle w:val="Heading2"/>
        <w:spacing w:before="200" w:after="80"/>
      </w:pPr>
      <w:r>
        <w:rPr>
          <w:rFonts w:ascii="Arial" w:cs="Arial" w:eastAsia="Arial" w:hAnsi="Arial"/>
          <w:b/>
          <w:bCs/>
          <w:color w:val="1F4E79"/>
          <w:sz w:val="24"/>
          <w:szCs w:val="24"/>
        </w:rPr>
        <w:t xml:space="preserve">8.2 Secondary Objectives and Endpoints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Secondary Objective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Endpoint</w:t>
            </w:r>
          </w:p>
        </w:tc>
        <w:tc>
          <w:tcPr>
            <w:tcW w:type="dxa" w:w="27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Evaluate durability of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Duration of Response (DoR)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KM; RECIST v1.1 BICR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Evaluate time to disease progression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Progression-Free Survival (PFS)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KM; RECIST v1.1 BICR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Evaluate overall survival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Overall Survival (OS)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KM; vital status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Evaluate disease control</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Disease Control Rate (DCR = CR+PR+SD)</w:t>
            </w:r>
          </w:p>
        </w:tc>
        <w:tc>
          <w:tcPr>
            <w:tcW w:type="dxa" w:w="2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Clopper-Pearson CI; RECIST v1.1 BICR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Characterize safety and tolerability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 incidence/severity per CTCAE v5.0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Descriptive; MedDRA coding</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Evaluate immunogenicity</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Anti-drug antibody (ADA) incidence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Validated immunoassay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Characterize pharmacokinetics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Ctrough and Cmax at steady 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Validated PK assay; NCA</w:t>
            </w:r>
          </w:p>
        </w:tc>
      </w:tr>
    </w:tbl>
    <w:p>
      <w:r>
        <w:t xml:space="preserve"/>
      </w:r>
    </w:p>
    <w:p>
      <w:pPr>
        <w:pStyle w:val="Heading2"/>
        <w:spacing w:before="200" w:after="80"/>
      </w:pPr>
      <w:r>
        <w:rPr>
          <w:rFonts w:ascii="Arial" w:cs="Arial" w:eastAsia="Arial" w:hAnsi="Arial"/>
          <w:b/>
          <w:bCs/>
          <w:color w:val="1F4E79"/>
          <w:sz w:val="24"/>
          <w:szCs w:val="24"/>
        </w:rPr>
        <w:t xml:space="preserve">8.3 Exploratory Endpoints</w:t>
      </w:r>
    </w:p>
    <w:p>
      <w:pPr>
        <w:pStyle w:val="ListParagraph"/>
        <w:numPr>
          <w:ilvl w:val="0"/>
          <w:numId w:val="2"/>
        </w:numPr>
        <w:spacing w:before="40" w:after="40"/>
      </w:pPr>
      <w:r>
        <w:rPr>
          <w:rFonts w:ascii="Arial" w:cs="Arial" w:eastAsia="Arial" w:hAnsi="Arial"/>
          <w:sz w:val="20"/>
          <w:szCs w:val="20"/>
        </w:rPr>
        <w:t xml:space="preserve">Correlation of PD-L1 CPS with ORR and PFS</w:t>
      </w:r>
    </w:p>
    <w:p>
      <w:pPr>
        <w:pStyle w:val="ListParagraph"/>
        <w:numPr>
          <w:ilvl w:val="0"/>
          <w:numId w:val="2"/>
        </w:numPr>
        <w:spacing w:before="40" w:after="40"/>
      </w:pPr>
      <w:r>
        <w:rPr>
          <w:rFonts w:ascii="Arial" w:cs="Arial" w:eastAsia="Arial" w:hAnsi="Arial"/>
          <w:sz w:val="20"/>
          <w:szCs w:val="20"/>
        </w:rPr>
        <w:t xml:space="preserve">Correlation of TMB with ORR and PFS</w:t>
      </w:r>
    </w:p>
    <w:p>
      <w:pPr>
        <w:pStyle w:val="ListParagraph"/>
        <w:numPr>
          <w:ilvl w:val="0"/>
          <w:numId w:val="2"/>
        </w:numPr>
        <w:spacing w:before="40" w:after="40"/>
      </w:pPr>
      <w:r>
        <w:rPr>
          <w:rFonts w:ascii="Arial" w:cs="Arial" w:eastAsia="Arial" w:hAnsi="Arial"/>
          <w:sz w:val="20"/>
          <w:szCs w:val="20"/>
        </w:rPr>
        <w:t xml:space="preserve">ctDNA dynamics as early efficacy biomarker</w:t>
      </w:r>
    </w:p>
    <w:p>
      <w:pPr>
        <w:pStyle w:val="ListParagraph"/>
        <w:numPr>
          <w:ilvl w:val="0"/>
          <w:numId w:val="2"/>
        </w:numPr>
        <w:spacing w:before="40" w:after="40"/>
      </w:pPr>
      <w:r>
        <w:rPr>
          <w:rFonts w:ascii="Arial" w:cs="Arial" w:eastAsia="Arial" w:hAnsi="Arial"/>
          <w:sz w:val="20"/>
          <w:szCs w:val="20"/>
        </w:rPr>
        <w:t xml:space="preserve">TIL density and immunophenotype</w:t>
      </w:r>
    </w:p>
    <w:p>
      <w:pPr>
        <w:pStyle w:val="ListParagraph"/>
        <w:numPr>
          <w:ilvl w:val="0"/>
          <w:numId w:val="2"/>
        </w:numPr>
        <w:spacing w:before="40" w:after="40"/>
      </w:pPr>
      <w:r>
        <w:rPr>
          <w:rFonts w:ascii="Arial" w:cs="Arial" w:eastAsia="Arial" w:hAnsi="Arial"/>
          <w:sz w:val="20"/>
          <w:szCs w:val="20"/>
        </w:rPr>
        <w:t xml:space="preserve">Patient-reported outcomes: EORTC QLQ-C30 and EQ-5D-5L</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9. INVESTIGATIONAL PLAN</w:t>
      </w:r>
    </w:p>
    <w:p>
      <w:pPr>
        <w:pStyle w:val="Heading2"/>
        <w:spacing w:before="200" w:after="80"/>
      </w:pPr>
      <w:r>
        <w:rPr>
          <w:rFonts w:ascii="Arial" w:cs="Arial" w:eastAsia="Arial" w:hAnsi="Arial"/>
          <w:b/>
          <w:bCs/>
          <w:color w:val="1F4E79"/>
          <w:sz w:val="24"/>
          <w:szCs w:val="24"/>
        </w:rPr>
        <w:t xml:space="preserve">9.1 Study Design</w:t>
      </w:r>
    </w:p>
    <w:p>
      <w:pPr>
        <w:spacing w:before="60" w:after="80"/>
      </w:pPr>
      <w:r>
        <w:rPr>
          <w:rFonts w:ascii="Arial" w:cs="Arial" w:eastAsia="Arial" w:hAnsi="Arial"/>
          <w:sz w:val="20"/>
          <w:szCs w:val="20"/>
        </w:rPr>
        <w:t xml:space="preserve">CVB-CRC-201 was a Phase 2a, open-label, single-arm, multicenter study employing a two-stage Simon Optimal design. Cervimab 200 mg was administered as a 30-minute IV infusion every 3 weeks until confirmed disease progression, unacceptable toxicity, patient withdrawal, or completion of 32 cycles (~24 months), whichever occurred first.</w:t>
      </w:r>
    </w:p>
    <w:p>
      <w:pPr>
        <w:pStyle w:val="Heading2"/>
        <w:spacing w:before="200" w:after="80"/>
      </w:pPr>
      <w:r>
        <w:rPr>
          <w:rFonts w:ascii="Arial" w:cs="Arial" w:eastAsia="Arial" w:hAnsi="Arial"/>
          <w:b/>
          <w:bCs/>
          <w:color w:val="1F4E79"/>
          <w:sz w:val="24"/>
          <w:szCs w:val="24"/>
        </w:rPr>
        <w:t xml:space="preserve">9.2 Selection and Timing of Doses</w:t>
      </w:r>
    </w:p>
    <w:p>
      <w:pPr>
        <w:spacing w:before="60" w:after="80"/>
      </w:pPr>
      <w:r>
        <w:rPr>
          <w:rFonts w:ascii="Arial" w:cs="Arial" w:eastAsia="Arial" w:hAnsi="Arial"/>
          <w:sz w:val="20"/>
          <w:szCs w:val="20"/>
        </w:rPr>
        <w:t xml:space="preserve">The dose of 200 mg IV Q3W was selected based on pharmacokinetic modeling from the Phase 1 study (CVB-001) demonstrating that this flat dose maintains receptor occupancy &gt;95% throughout the Q3W dosing interval in &gt;90% of subjects, independently of body weight. This dose was the established RP2D from CVB-001.</w:t>
      </w:r>
    </w:p>
    <w:p>
      <w:pPr>
        <w:pStyle w:val="Heading2"/>
        <w:spacing w:before="200" w:after="80"/>
      </w:pPr>
      <w:r>
        <w:rPr>
          <w:rFonts w:ascii="Arial" w:cs="Arial" w:eastAsia="Arial" w:hAnsi="Arial"/>
          <w:b/>
          <w:bCs/>
          <w:color w:val="1F4E79"/>
          <w:sz w:val="24"/>
          <w:szCs w:val="24"/>
        </w:rPr>
        <w:t xml:space="preserve">9.3 Blinding</w:t>
      </w:r>
    </w:p>
    <w:p>
      <w:pPr>
        <w:spacing w:before="60" w:after="80"/>
      </w:pPr>
      <w:r>
        <w:rPr>
          <w:rFonts w:ascii="Arial" w:cs="Arial" w:eastAsia="Arial" w:hAnsi="Arial"/>
          <w:sz w:val="20"/>
          <w:szCs w:val="20"/>
        </w:rPr>
        <w:t xml:space="preserve">This was an open-label study; patients, investigators, and sponsor were not blinded to treatment. However, tumor response assessments were performed by a Blinded Independent Central Review (BICR) conducted by an independent radiology vendor (RadReview, Inc.) whose reviewers were blinded to clinical information, investigator assessments, and patient-level safety data.</w:t>
      </w:r>
    </w:p>
    <w:p>
      <w:pPr>
        <w:pStyle w:val="Heading2"/>
        <w:spacing w:before="200" w:after="80"/>
      </w:pPr>
      <w:r>
        <w:rPr>
          <w:rFonts w:ascii="Arial" w:cs="Arial" w:eastAsia="Arial" w:hAnsi="Arial"/>
          <w:b/>
          <w:bCs/>
          <w:color w:val="1F4E79"/>
          <w:sz w:val="24"/>
          <w:szCs w:val="24"/>
        </w:rPr>
        <w:t xml:space="preserve">9.4 Prior and Concomitant Therapy</w:t>
      </w:r>
    </w:p>
    <w:p>
      <w:pPr>
        <w:spacing w:before="60" w:after="80"/>
      </w:pPr>
      <w:r>
        <w:rPr>
          <w:rFonts w:ascii="Arial" w:cs="Arial" w:eastAsia="Arial" w:hAnsi="Arial"/>
          <w:sz w:val="20"/>
          <w:szCs w:val="20"/>
        </w:rPr>
        <w:t xml:space="preserve">All patients had received at least one prior line of systemic chemotherapy for metastatic disease. The most common prior regimens were FOLFOX (72.5%), FOLFIRI (55.0%), and CAPOX (32.5%). Prior bevacizumab was received by 57.5% of patients; prior cetuximab or panitumumab by 10.0% (all RAS/RAF wild-type patients). No patient had received prior immune checkpoint inhibitor therapy. Supportive care medications were permitted throughout the study. Systemic corticosteroids &gt; 10 mg/day prednisone equivalent were prohibited, except for irAE management.</w:t>
      </w:r>
    </w:p>
    <w:p>
      <w:pPr>
        <w:pStyle w:val="Heading2"/>
        <w:spacing w:before="200" w:after="80"/>
      </w:pPr>
      <w:r>
        <w:rPr>
          <w:rFonts w:ascii="Arial" w:cs="Arial" w:eastAsia="Arial" w:hAnsi="Arial"/>
          <w:b/>
          <w:bCs/>
          <w:color w:val="1F4E79"/>
          <w:sz w:val="24"/>
          <w:szCs w:val="24"/>
        </w:rPr>
        <w:t xml:space="preserve">9.5 Treatment Compliance</w:t>
      </w:r>
    </w:p>
    <w:p>
      <w:pPr>
        <w:spacing w:before="60" w:after="80"/>
      </w:pPr>
      <w:r>
        <w:rPr>
          <w:rFonts w:ascii="Arial" w:cs="Arial" w:eastAsia="Arial" w:hAnsi="Arial"/>
          <w:sz w:val="20"/>
          <w:szCs w:val="20"/>
        </w:rPr>
        <w:t xml:space="preserve">Overall treatment compliance was high. Forty patients received at least one dose of cervimab. The median number of cycles administered was 10 (range: 1-32). The median total duration of cervimab treatment was 30.1 weeks (range: 2.1-97.4 weeks). Dose delays occurred in 35.0% (14/40) of patients. No dose reductions occurred (not permitted per protocol). Four patients (10.0%) discontinued cervimab due to adverse events.</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10. STUDY PATIENTS</w:t>
      </w:r>
    </w:p>
    <w:p>
      <w:pPr>
        <w:pStyle w:val="Heading2"/>
        <w:spacing w:before="200" w:after="80"/>
      </w:pPr>
      <w:r>
        <w:rPr>
          <w:rFonts w:ascii="Arial" w:cs="Arial" w:eastAsia="Arial" w:hAnsi="Arial"/>
          <w:b/>
          <w:bCs/>
          <w:color w:val="1F4E79"/>
          <w:sz w:val="24"/>
          <w:szCs w:val="24"/>
        </w:rPr>
        <w:t xml:space="preserve">10.1 Disposition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2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Disposition Category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Patients screened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Screen failures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Screen failure reason: dMMR/MSI-H not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  Screen failure reason: No measurable disease</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Screen failure reason: ECOG PS =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Patients enrolled and treated (Safety Population)</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Patients evaluable for efficacy (EE Population)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Patients completing &gt;= 6 cycles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72.5%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Patients completing &gt;= 12 cycles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47.5%</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Patients still on treatment at data cutoff</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27.5%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Patients who discontinued treatment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72.5%</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  Reason: Disease progression</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Reason: Adverse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  Reason: Patient withdrawal</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  Reason: Protocol completion (~24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  Reason: Death (on-treatment)</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Patients in survival follow-up at data cutoff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62.5%</w:t>
            </w:r>
          </w:p>
        </w:tc>
      </w:tr>
      <w:tr>
        <w:tc>
          <w:tcPr>
            <w:tcW w:type="dxa" w:w="4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Patients deceased at data cutoff</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25.0%</w:t>
            </w:r>
          </w:p>
        </w:tc>
      </w:tr>
    </w:tbl>
    <w:p>
      <w:r>
        <w:t xml:space="preserve"/>
      </w:r>
    </w:p>
    <w:p>
      <w:pPr>
        <w:pStyle w:val="Heading2"/>
        <w:spacing w:before="200" w:after="80"/>
      </w:pPr>
      <w:r>
        <w:rPr>
          <w:rFonts w:ascii="Arial" w:cs="Arial" w:eastAsia="Arial" w:hAnsi="Arial"/>
          <w:b/>
          <w:bCs/>
          <w:color w:val="1F4E79"/>
          <w:sz w:val="24"/>
          <w:szCs w:val="24"/>
        </w:rPr>
        <w:t xml:space="preserve">10.2 Protocol Deviations</w:t>
      </w:r>
    </w:p>
    <w:p>
      <w:pPr>
        <w:spacing w:before="60" w:after="80"/>
      </w:pPr>
      <w:r>
        <w:rPr>
          <w:rFonts w:ascii="Arial" w:cs="Arial" w:eastAsia="Arial" w:hAnsi="Arial"/>
          <w:sz w:val="20"/>
          <w:szCs w:val="20"/>
        </w:rPr>
        <w:t xml:space="preserve">A total of 18 protocol deviations were documented across 14 patients (35.0%). These included: 6 minor visit window deviations (&gt;7 days, all due to patient scheduling or COVID-19 restrictions); 4 concomitant medication deviations (prohibited medication use for &lt;14 days; no impact on efficacy/safety); 4 laboratory assessment timing deviations; and 4 tumor imaging timing deviations. No major deviations were identified that affected a patient's inclusion in the Per-Protocol population. All deviations were documented and assessed as not impacting study integrity.</w:t>
      </w:r>
    </w:p>
    <w:p>
      <w:pPr>
        <w:pStyle w:val="Heading2"/>
        <w:spacing w:before="200" w:after="80"/>
      </w:pPr>
      <w:r>
        <w:rPr>
          <w:rFonts w:ascii="Arial" w:cs="Arial" w:eastAsia="Arial" w:hAnsi="Arial"/>
          <w:b/>
          <w:bCs/>
          <w:color w:val="1F4E79"/>
          <w:sz w:val="24"/>
          <w:szCs w:val="24"/>
        </w:rPr>
        <w:t xml:space="preserve">10.3 Demographic and Baseline Characteristics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260"/>
      </w:tblGrid>
      <w:tr>
        <w:trPr>
          <w:tblHeader/>
        </w:trPr>
        <w:tc>
          <w:tcPr>
            <w:tcW w:type="dxa" w:w="4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Characteristic</w:t>
            </w:r>
          </w:p>
        </w:tc>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N=40</w:t>
            </w:r>
          </w:p>
        </w:tc>
        <w:tc>
          <w:tcPr>
            <w:tcW w:type="dxa" w:w="12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Median Age (years; range)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62.5 (34-82)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Age &gt;= 65 years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16</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Sex: Male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55.0%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Sex: Female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18</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Race: White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72.5%</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Race: Black or African American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Race: Asian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Race: Hispanic or Latino (Ethnicity)</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17.5%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ECOG PS =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45.0%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ECOG PS = 1</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22</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Primary Tumor Location: Right-sided (cecum-transverse colon)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65.0%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Primary Tumor Location: Left-sided (descending colon-rectum)</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14</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Lynch Syndrome (confirmed)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Sporadic dMMR (MLH1 promoter methylation)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20</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dMMR Status Unknown / Other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dMMR confirmed by IHC only</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24</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60.0%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MSI-H confirmed by molecular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82.5%</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Both IHC and molecular testing performed</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17</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42.5%</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Median Time from Initial mCRC Diagnosis to Enrollment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18.4 (4.2-86.1)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Number of Metastatic Sites: 1</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Number of Metastatic Sites: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Number of Metastatic Sites: &gt;= 3</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Liver Metastases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Lung Metastases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18</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Peritoneal Metastases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25.0%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Prior Lines of Therapy: 1</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18</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Prior Lines of Therapy: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35.0%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Prior Lines of Therapy: &gt;= 3</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Prior Bevacizumab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57.5%</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Prior EGFR Therapy (cetuximab/panitumumab)</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Baseline Median SoD — Target Lesions (mm; range)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68.3 (12.1-201.4)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PD-L1 CPS &gt;= 1 (of N=36 evaluable)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26 / 36</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72.2%</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PD-L1 CPS &gt;= 10 (of N=36 evaluable)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 / 36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w:t>
            </w:r>
          </w:p>
        </w:tc>
      </w:tr>
      <w:tr>
        <w:tc>
          <w:tcPr>
            <w:tcW w:type="dxa" w:w="4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TMB &gt;= 10 mut/Mb (of N=33 evaluable)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28 / 33</w:t>
            </w:r>
          </w:p>
        </w:tc>
        <w:tc>
          <w:tcPr>
            <w:tcW w:type="dxa" w:w="12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84.8%</w:t>
            </w:r>
          </w:p>
        </w:tc>
      </w:tr>
    </w:tbl>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11. EFFICACY EVALUATION</w:t>
      </w:r>
    </w:p>
    <w:p>
      <w:pPr>
        <w:pStyle w:val="Heading2"/>
        <w:spacing w:before="200" w:after="80"/>
      </w:pPr>
      <w:r>
        <w:rPr>
          <w:rFonts w:ascii="Arial" w:cs="Arial" w:eastAsia="Arial" w:hAnsi="Arial"/>
          <w:b/>
          <w:bCs/>
          <w:color w:val="1F4E79"/>
          <w:sz w:val="24"/>
          <w:szCs w:val="24"/>
        </w:rPr>
        <w:t xml:space="preserve">11.1 Primary Efficacy Result: Objective Response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7375E"/>
                <w:sz w:val="20"/>
                <w:szCs w:val="20"/>
              </w:rPr>
              <w:t xml:space="preserve">PRIMARY ENDPOINT — ORR (BICR, RECIST v1.1): 42.5% (17/40; 95% CI: 27.0%, 59.1%) — H0 REJECTED (p = 0.011, one-sided)</w:t>
            </w:r>
          </w:p>
        </w:tc>
      </w:tr>
    </w:tbl>
    <w:p>
      <w:r>
        <w:t xml:space="preserve"/>
      </w:r>
    </w:p>
    <w:p>
      <w:pPr>
        <w:spacing w:before="60" w:after="80"/>
      </w:pPr>
      <w:r>
        <w:rPr>
          <w:rFonts w:ascii="Arial" w:cs="Arial" w:eastAsia="Arial" w:hAnsi="Arial"/>
          <w:sz w:val="20"/>
          <w:szCs w:val="20"/>
        </w:rPr>
        <w:t xml:space="preserve">In the Efficacy-Evaluable Population (N=40), 17 patients achieved a confirmed objective response (2 CR + 15 PR) for an ORR of 42.5% (95% CI: 27.0%, 59.1%). The one-sided p-value testing H0 (ORR &lt;= 20%) was 0.011, meeting the pre-specified statistical threshold (p &lt; 0.05). As 17 confirmed responses were observed in 40 evaluable patients (exceeding the Simon design threshold of 13), the null hypothesis was rejected.</w:t>
      </w:r>
    </w:p>
    <w:p>
      <w:pPr>
        <w:pStyle w:val="Heading2"/>
        <w:spacing w:before="200" w:after="80"/>
      </w:pPr>
      <w:r>
        <w:rPr>
          <w:rFonts w:ascii="Arial" w:cs="Arial" w:eastAsia="Arial" w:hAnsi="Arial"/>
          <w:b/>
          <w:bCs/>
          <w:color w:val="1F4E79"/>
          <w:sz w:val="24"/>
          <w:szCs w:val="24"/>
        </w:rPr>
        <w:t xml:space="preserve">11.2 Best Overall Response Distribution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3960"/>
      </w:tblGrid>
      <w:tr>
        <w:trPr>
          <w:tblHeader/>
        </w:trPr>
        <w:tc>
          <w:tcPr>
            <w:tcW w:type="dxa" w:w="3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Best Overall Response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 (95% CI)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Complete Response (CR) —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 (0.6%, 16.9%)</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Partial Response (PR) — confirmed</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15</w:t>
            </w:r>
          </w:p>
        </w:tc>
        <w:tc>
          <w:tcPr>
            <w:tcW w:type="dxa" w:w="3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37.5% (22.7%, 54.2%)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Stable Disease (SD) — &gt;= 12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27.5% (14.6%, 43.9%)</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Progressive Disease (PD)</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9</w:t>
            </w:r>
          </w:p>
        </w:tc>
        <w:tc>
          <w:tcPr>
            <w:tcW w:type="dxa" w:w="3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22.5% (10.8%, 38.5%)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Not Evaluable (NE)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7.5% (1.6%, 20.4%)</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Objective Response Rate (CR + PR)</w:t>
            </w:r>
          </w:p>
        </w:tc>
        <w:tc>
          <w:tcPr>
            <w:tcW w:type="dxa" w:w="1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17</w:t>
            </w:r>
          </w:p>
        </w:tc>
        <w:tc>
          <w:tcPr>
            <w:tcW w:type="dxa" w:w="39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42.5% (27.0%, 59.1%)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Disease Control Rate (CR + PR + SD)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75.0% (58.8%, 87.3%)</w:t>
            </w:r>
          </w:p>
        </w:tc>
      </w:tr>
    </w:tbl>
    <w:p>
      <w:r>
        <w:t xml:space="preserve"/>
      </w:r>
    </w:p>
    <w:p>
      <w:pPr>
        <w:spacing w:before="60" w:after="80"/>
      </w:pPr>
      <w:r>
        <w:rPr>
          <w:rFonts w:ascii="Arial" w:cs="Arial" w:eastAsia="Arial" w:hAnsi="Arial"/>
          <w:sz w:val="20"/>
          <w:szCs w:val="20"/>
        </w:rPr>
        <w:t xml:space="preserve">Among confirmed responders (N=17): the median time to first confirmed response was 6.1 weeks (range: 5.6-18.3 weeks); the 2 CRs were observed at Weeks 12 and 24; all 15 PRs were confirmed by repeat assessment &gt;= 4 weeks after initial response meeting criteria. One patient (CR at Week 24) had an initial confirmed PR at Week 12 that deepened to CR at Week 24.</w:t>
      </w:r>
    </w:p>
    <w:p>
      <w:pPr>
        <w:pStyle w:val="Heading2"/>
        <w:spacing w:before="200" w:after="80"/>
      </w:pPr>
      <w:r>
        <w:rPr>
          <w:rFonts w:ascii="Arial" w:cs="Arial" w:eastAsia="Arial" w:hAnsi="Arial"/>
          <w:b/>
          <w:bCs/>
          <w:color w:val="1F4E79"/>
          <w:sz w:val="24"/>
          <w:szCs w:val="24"/>
        </w:rPr>
        <w:t xml:space="preserve">11.3 Sensitivity Analyses for ORR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500"/>
        <w:gridCol w:w="2700"/>
      </w:tblGrid>
      <w:tr>
        <w:trPr>
          <w:tblHeader/>
        </w:trPr>
        <w:tc>
          <w:tcPr>
            <w:tcW w:type="dxa" w:w="29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Analysis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Population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Responders/N</w:t>
            </w:r>
          </w:p>
        </w:tc>
        <w:tc>
          <w:tcPr>
            <w:tcW w:type="dxa" w:w="2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ORR (95% CI)</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Primary analysis (BICR)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 (N=40)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17/40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42.5% (27.0%, 59.1%)</w:t>
            </w:r>
          </w:p>
        </w:tc>
      </w:tr>
      <w:tr>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Sensitivity 1 — Per-Protocol</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PP (N=37)</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16/37</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43.2% (27.1%, 60.5%)</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Sensitivity 2 — ITT population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ITT (N=40)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17/40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42.5% (27.0%, 59.1%)</w:t>
            </w:r>
          </w:p>
        </w:tc>
      </w:tr>
      <w:tr>
        <w:tc>
          <w:tcPr>
            <w:tcW w:type="dxa" w:w="2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Sensitivity 3 — Investigator assessment</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EE (N=40)</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19/40</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47.5% (31.5%, 63.9%)</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Sensitivity 4 — iRECIST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EE (N=40)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19/40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47.5% (31.5%, 63.9%)</w:t>
            </w:r>
          </w:p>
        </w:tc>
      </w:tr>
    </w:tbl>
    <w:p>
      <w:r>
        <w:t xml:space="preserve"/>
      </w:r>
    </w:p>
    <w:p>
      <w:pPr>
        <w:spacing w:before="60" w:after="80"/>
      </w:pPr>
      <w:r>
        <w:rPr>
          <w:rFonts w:ascii="Arial" w:cs="Arial" w:eastAsia="Arial" w:hAnsi="Arial"/>
          <w:sz w:val="20"/>
          <w:szCs w:val="20"/>
        </w:rPr>
        <w:t xml:space="preserve">All sensitivity analyses were consistent with the primary analysis, supporting the robustness of the primary ORR result. The iRECIST analysis identified 2 additional patients with confirmed immune responses (iCR = 1, iPR = 1) following initial apparent progressive disease by conventional RECIST (potential pseudo-progression).</w:t>
      </w:r>
    </w:p>
    <w:p>
      <w:pPr>
        <w:pStyle w:val="Heading2"/>
        <w:spacing w:before="200" w:after="80"/>
      </w:pPr>
      <w:r>
        <w:rPr>
          <w:rFonts w:ascii="Arial" w:cs="Arial" w:eastAsia="Arial" w:hAnsi="Arial"/>
          <w:b/>
          <w:bCs/>
          <w:color w:val="1F4E79"/>
          <w:sz w:val="24"/>
          <w:szCs w:val="24"/>
        </w:rPr>
        <w:t xml:space="preserve">11.4 Duration of Response</w:t>
      </w:r>
    </w:p>
    <w:p>
      <w:pPr>
        <w:spacing w:before="60" w:after="80"/>
      </w:pPr>
      <w:r>
        <w:rPr>
          <w:rFonts w:ascii="Arial" w:cs="Arial" w:eastAsia="Arial" w:hAnsi="Arial"/>
          <w:sz w:val="20"/>
          <w:szCs w:val="20"/>
        </w:rPr>
        <w:t xml:space="preserve">In 17 confirmed responders, the median DoR was not reached (NR) at the primary data cutoff (median follow-up: 14.2 months). At the time of analysis, 3 of 17 responders (17.6%) had progressed and 1 had died without confirmed progression (censored). Thirteen of 17 responders (76.5%) remained in response at data cutoff.</w:t>
      </w:r>
    </w:p>
    <w:p>
      <w:pPr>
        <w:pStyle w:val="ListParagraph"/>
        <w:numPr>
          <w:ilvl w:val="0"/>
          <w:numId w:val="2"/>
        </w:numPr>
        <w:spacing w:before="40" w:after="40"/>
      </w:pPr>
      <w:r>
        <w:rPr>
          <w:rFonts w:ascii="Arial" w:cs="Arial" w:eastAsia="Arial" w:hAnsi="Arial"/>
          <w:sz w:val="20"/>
          <w:szCs w:val="20"/>
        </w:rPr>
        <w:t xml:space="preserve">6-month DoR rate: 88.2% (95% CI: 60.6%, 96.9%)</w:t>
      </w:r>
    </w:p>
    <w:p>
      <w:pPr>
        <w:pStyle w:val="ListParagraph"/>
        <w:numPr>
          <w:ilvl w:val="0"/>
          <w:numId w:val="2"/>
        </w:numPr>
        <w:spacing w:before="40" w:after="40"/>
      </w:pPr>
      <w:r>
        <w:rPr>
          <w:rFonts w:ascii="Arial" w:cs="Arial" w:eastAsia="Arial" w:hAnsi="Arial"/>
          <w:sz w:val="20"/>
          <w:szCs w:val="20"/>
        </w:rPr>
        <w:t xml:space="preserve">12-month DoR rate: 76.9% (95% CI: 46.2%, 91.4%)</w:t>
      </w:r>
    </w:p>
    <w:p>
      <w:pPr>
        <w:pStyle w:val="ListParagraph"/>
        <w:numPr>
          <w:ilvl w:val="0"/>
          <w:numId w:val="2"/>
        </w:numPr>
        <w:spacing w:before="40" w:after="40"/>
      </w:pPr>
      <w:r>
        <w:rPr>
          <w:rFonts w:ascii="Arial" w:cs="Arial" w:eastAsia="Arial" w:hAnsi="Arial"/>
          <w:sz w:val="20"/>
          <w:szCs w:val="20"/>
        </w:rPr>
        <w:t xml:space="preserve">Median DoR: Not Reached (data immature; only 4 events)</w:t>
      </w:r>
    </w:p>
    <w:p>
      <w:pPr>
        <w:spacing w:before="60" w:after="80"/>
      </w:pPr>
      <w:r>
        <w:rPr>
          <w:rFonts w:ascii="Arial" w:cs="Arial" w:eastAsia="Arial" w:hAnsi="Arial"/>
          <w:sz w:val="20"/>
          <w:szCs w:val="20"/>
        </w:rPr>
        <w:t xml:space="preserve">The range of DoR among the 4 responders who had progressed or died was 4.7-13.2 months. The longest ongoing response at data cutoff was 18.3 months.</w:t>
      </w:r>
    </w:p>
    <w:p>
      <w:pPr>
        <w:pStyle w:val="Heading2"/>
        <w:spacing w:before="200" w:after="80"/>
      </w:pPr>
      <w:r>
        <w:rPr>
          <w:rFonts w:ascii="Arial" w:cs="Arial" w:eastAsia="Arial" w:hAnsi="Arial"/>
          <w:b/>
          <w:bCs/>
          <w:color w:val="1F4E79"/>
          <w:sz w:val="24"/>
          <w:szCs w:val="24"/>
        </w:rPr>
        <w:t xml:space="preserve">11.5 Progression-Free Survival</w:t>
      </w:r>
    </w:p>
    <w:p>
      <w:pPr>
        <w:spacing w:before="60" w:after="80"/>
      </w:pPr>
      <w:r>
        <w:rPr>
          <w:rFonts w:ascii="Arial" w:cs="Arial" w:eastAsia="Arial" w:hAnsi="Arial"/>
          <w:sz w:val="20"/>
          <w:szCs w:val="20"/>
        </w:rPr>
        <w:t xml:space="preserve">In the EE population (N=40), 22 PFS events (progressions or deaths) were observed at the primary data cutoff.</w:t>
      </w:r>
    </w:p>
    <w:p>
      <w:pPr>
        <w:pStyle w:val="ListParagraph"/>
        <w:numPr>
          <w:ilvl w:val="0"/>
          <w:numId w:val="2"/>
        </w:numPr>
        <w:spacing w:before="40" w:after="40"/>
      </w:pPr>
      <w:r>
        <w:rPr>
          <w:rFonts w:ascii="Arial" w:cs="Arial" w:eastAsia="Arial" w:hAnsi="Arial"/>
          <w:sz w:val="20"/>
          <w:szCs w:val="20"/>
        </w:rPr>
        <w:t xml:space="preserve">Median PFS: 8.3 months (95% CI: 5.6 months, NR)</w:t>
      </w:r>
    </w:p>
    <w:p>
      <w:pPr>
        <w:pStyle w:val="ListParagraph"/>
        <w:numPr>
          <w:ilvl w:val="0"/>
          <w:numId w:val="2"/>
        </w:numPr>
        <w:spacing w:before="40" w:after="40"/>
      </w:pPr>
      <w:r>
        <w:rPr>
          <w:rFonts w:ascii="Arial" w:cs="Arial" w:eastAsia="Arial" w:hAnsi="Arial"/>
          <w:sz w:val="20"/>
          <w:szCs w:val="20"/>
        </w:rPr>
        <w:t xml:space="preserve">6-month PFS rate: 62.5% (95% CI: 45.8%, 75.8%)</w:t>
      </w:r>
    </w:p>
    <w:p>
      <w:pPr>
        <w:pStyle w:val="ListParagraph"/>
        <w:numPr>
          <w:ilvl w:val="0"/>
          <w:numId w:val="2"/>
        </w:numPr>
        <w:spacing w:before="40" w:after="40"/>
      </w:pPr>
      <w:r>
        <w:rPr>
          <w:rFonts w:ascii="Arial" w:cs="Arial" w:eastAsia="Arial" w:hAnsi="Arial"/>
          <w:sz w:val="20"/>
          <w:szCs w:val="20"/>
        </w:rPr>
        <w:t xml:space="preserve">12-month PFS rate: 47.8% (95% CI: 31.9%, 62.2%)</w:t>
      </w:r>
    </w:p>
    <w:p>
      <w:pPr>
        <w:spacing w:before="60" w:after="80"/>
      </w:pPr>
      <w:r>
        <w:rPr>
          <w:rFonts w:ascii="Arial" w:cs="Arial" w:eastAsia="Arial" w:hAnsi="Arial"/>
          <w:sz w:val="20"/>
          <w:szCs w:val="20"/>
        </w:rPr>
        <w:t xml:space="preserve">PFS results in non-responders (SD as BOR) showed a median PFS of 5.6 months (95% CI: 3.2, 8.1), suggesting meaningful disease stabilization even in the absence of confirmed objective response.</w:t>
      </w:r>
    </w:p>
    <w:p>
      <w:pPr>
        <w:pStyle w:val="Heading2"/>
        <w:spacing w:before="200" w:after="80"/>
      </w:pPr>
      <w:r>
        <w:rPr>
          <w:rFonts w:ascii="Arial" w:cs="Arial" w:eastAsia="Arial" w:hAnsi="Arial"/>
          <w:b/>
          <w:bCs/>
          <w:color w:val="1F4E79"/>
          <w:sz w:val="24"/>
          <w:szCs w:val="24"/>
        </w:rPr>
        <w:t xml:space="preserve">11.6 Overall Survival</w:t>
      </w:r>
    </w:p>
    <w:p>
      <w:pPr>
        <w:spacing w:before="60" w:after="80"/>
      </w:pPr>
      <w:r>
        <w:rPr>
          <w:rFonts w:ascii="Arial" w:cs="Arial" w:eastAsia="Arial" w:hAnsi="Arial"/>
          <w:sz w:val="20"/>
          <w:szCs w:val="20"/>
        </w:rPr>
        <w:t xml:space="preserve">OS data were immature at the primary data cutoff, with 10 deaths observed (25.0%) and median follow-up of 14.2 months. The median OS had not been reached.</w:t>
      </w:r>
    </w:p>
    <w:p>
      <w:pPr>
        <w:pStyle w:val="ListParagraph"/>
        <w:numPr>
          <w:ilvl w:val="0"/>
          <w:numId w:val="2"/>
        </w:numPr>
        <w:spacing w:before="40" w:after="40"/>
      </w:pPr>
      <w:r>
        <w:rPr>
          <w:rFonts w:ascii="Arial" w:cs="Arial" w:eastAsia="Arial" w:hAnsi="Arial"/>
          <w:sz w:val="20"/>
          <w:szCs w:val="20"/>
        </w:rPr>
        <w:t xml:space="preserve">6-month OS rate: 95.0% (95% CI: 82.1%, 98.7%)</w:t>
      </w:r>
    </w:p>
    <w:p>
      <w:pPr>
        <w:pStyle w:val="ListParagraph"/>
        <w:numPr>
          <w:ilvl w:val="0"/>
          <w:numId w:val="2"/>
        </w:numPr>
        <w:spacing w:before="40" w:after="40"/>
      </w:pPr>
      <w:r>
        <w:rPr>
          <w:rFonts w:ascii="Arial" w:cs="Arial" w:eastAsia="Arial" w:hAnsi="Arial"/>
          <w:sz w:val="20"/>
          <w:szCs w:val="20"/>
        </w:rPr>
        <w:t xml:space="preserve">12-month OS rate: 79.8% (95% CI: 63.7%, 89.4%)</w:t>
      </w:r>
    </w:p>
    <w:p>
      <w:pPr>
        <w:spacing w:before="60" w:after="80"/>
      </w:pPr>
      <w:r>
        <w:rPr>
          <w:rFonts w:ascii="Arial" w:cs="Arial" w:eastAsia="Arial" w:hAnsi="Arial"/>
          <w:sz w:val="20"/>
          <w:szCs w:val="20"/>
        </w:rPr>
        <w:t xml:space="preserve">OS data will be updated in a planned post-primary analysis at a minimum of 24 months of median follow-up.</w:t>
      </w:r>
    </w:p>
    <w:p>
      <w:pPr>
        <w:pStyle w:val="Heading2"/>
        <w:spacing w:before="200" w:after="80"/>
      </w:pPr>
      <w:r>
        <w:rPr>
          <w:rFonts w:ascii="Arial" w:cs="Arial" w:eastAsia="Arial" w:hAnsi="Arial"/>
          <w:b/>
          <w:bCs/>
          <w:color w:val="1F4E79"/>
          <w:sz w:val="24"/>
          <w:szCs w:val="24"/>
        </w:rPr>
        <w:t xml:space="preserve">11.7 Subgroup Analyses</w:t>
      </w:r>
    </w:p>
    <w:p>
      <w:pPr>
        <w:spacing w:before="60" w:after="80"/>
      </w:pPr>
      <w:r>
        <w:rPr>
          <w:rFonts w:ascii="Arial" w:cs="Arial" w:eastAsia="Arial" w:hAnsi="Arial"/>
          <w:sz w:val="20"/>
          <w:szCs w:val="20"/>
        </w:rPr>
        <w:t xml:space="preserve">Pre-specified subgroup analyses for ORR are summarized below. All results are exploratory.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900"/>
        <w:gridCol w:w="2200"/>
        <w:gridCol w:w="270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Subgroup</w:t>
            </w:r>
          </w:p>
        </w:tc>
        <w:tc>
          <w:tcPr>
            <w:tcW w:type="dxa" w:w="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w:t>
            </w:r>
          </w:p>
        </w:tc>
        <w:tc>
          <w:tcPr>
            <w:tcW w:type="dxa" w:w="9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Responders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ORR (95% CI)</w:t>
            </w:r>
          </w:p>
        </w:tc>
        <w:tc>
          <w:tcPr>
            <w:tcW w:type="dxa" w:w="2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Prior lines = 1</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 (26.0%, 74.0%)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Numerically higher ORR in less pretreated patients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Prior lines &gt;= 2</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22</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36.4% (17.2%, 59.3%)</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Consistent activity despite heavier pretreatment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ECOG PS = 0</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55.6% (30.8%, 78.5%)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Trend toward higher ORR in better PS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ECOG PS = 1</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22</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31.8% (13.9%, 54.9%)</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Meaningful activity in PS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Right-sided primary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50.0% (29.9%, 70.1%)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Higher ORR in right-sided (biologically expected)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Left-sided primary</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14</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28.6% (8.4%, 58.1%)</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Activity observed, smaller 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Lynch syndrome</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56.3% (29.9%, 80.2%)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Higher ORR in Lynch; consistent with high TIL</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Sporadic dMMR</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20</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35.0% (15.4%, 59.2%)</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Active in sporadic dMMR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PD-L1 CPS &gt;= 10</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61.1% (35.8%, 82.7%)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Numerically higher; PD-L1 may enrich responders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PD-L1 CPS 1-&lt;10</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37.5% (8.5%, 75.5%)</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Consistent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PD-L1 CPS &lt; 1</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20.0% (2.5%, 55.6%)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Lower but activity still present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TMB &gt;= 10 mut/Mb</w:t>
            </w:r>
          </w:p>
        </w:tc>
        <w:tc>
          <w:tcPr>
            <w:tcW w:type="dxa" w:w="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28</w:t>
            </w:r>
          </w:p>
        </w:tc>
        <w:tc>
          <w:tcPr>
            <w:tcW w:type="dxa" w:w="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46.4% (27.5%, 66.1%)</w:t>
            </w:r>
          </w:p>
        </w:tc>
        <w:tc>
          <w:tcPr>
            <w:tcW w:type="dxa" w:w="2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Higher activity with TMB-H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TMB &lt; 10 mut/Mb</w:t>
            </w:r>
          </w:p>
        </w:tc>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20.0% (0.5%, 71.6%)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Small N; wide CI</w:t>
            </w:r>
          </w:p>
        </w:tc>
      </w:tr>
    </w:tbl>
    <w:p>
      <w:r>
        <w:t xml:space="preserve"/>
      </w:r>
    </w:p>
    <w:p>
      <w:pPr>
        <w:spacing w:before="60" w:after="80"/>
      </w:pPr>
      <w:r>
        <w:rPr>
          <w:rFonts w:ascii="Arial" w:cs="Arial" w:eastAsia="Arial" w:hAnsi="Arial"/>
          <w:sz w:val="20"/>
          <w:szCs w:val="20"/>
        </w:rPr>
        <w:t xml:space="preserve">No subgroup was identified in which the 95% CI for ORR excluded a benefit (&gt;0%). The results across subgroups are generally consistent with the overall ORR and provide hypothesis-generating data for patient selection in future trials.</w:t>
      </w:r>
    </w:p>
    <w:p>
      <w:pPr>
        <w:pStyle w:val="Heading2"/>
        <w:spacing w:before="200" w:after="80"/>
      </w:pPr>
      <w:r>
        <w:rPr>
          <w:rFonts w:ascii="Arial" w:cs="Arial" w:eastAsia="Arial" w:hAnsi="Arial"/>
          <w:b/>
          <w:bCs/>
          <w:color w:val="1F4E79"/>
          <w:sz w:val="24"/>
          <w:szCs w:val="24"/>
        </w:rPr>
        <w:t xml:space="preserve">11.8 Exploratory Biomarker Analyses</w:t>
      </w:r>
    </w:p>
    <w:p>
      <w:pPr>
        <w:spacing w:before="60" w:after="80"/>
      </w:pPr>
      <w:r>
        <w:rPr>
          <w:rFonts w:ascii="Arial" w:cs="Arial" w:eastAsia="Arial" w:hAnsi="Arial"/>
          <w:sz w:val="20"/>
          <w:szCs w:val="20"/>
        </w:rPr>
        <w:t xml:space="preserve">PD-L1 CPS was evaluable in 36/40 patients (90%). There was a positive trend between PD-L1 CPS and ORR (CPS &gt;= 10: 61.1%; CPS 1-&lt;10: 37.5%; CPS &lt;1: 20.0%), though the 95% CIs overlap substantially given small sample sizes. TMB &gt;= 10 mut/Mb was associated with numerically higher ORR compared to TMB-L (46.4% vs. 20.0%), consistent with the known biology of hypermutated dMMR tumors. ctDNA dynamics (evaluable in 34/40 patients) demonstrated that early molecular response (ctDNA decrease &gt;= 50% at Cycle 2) was associated with higher ORR (73.7% vs. 13.3% in those without early ctDNA decline), suggesting potential for ctDNA as an early on-treatment biomarker. These observations are exploratory and require validation in larger studies.</w:t>
      </w:r>
    </w:p>
    <w:p>
      <w:pPr>
        <w:pStyle w:val="Heading2"/>
        <w:spacing w:before="200" w:after="80"/>
      </w:pPr>
      <w:r>
        <w:rPr>
          <w:rFonts w:ascii="Arial" w:cs="Arial" w:eastAsia="Arial" w:hAnsi="Arial"/>
          <w:b/>
          <w:bCs/>
          <w:color w:val="1F4E79"/>
          <w:sz w:val="24"/>
          <w:szCs w:val="24"/>
        </w:rPr>
        <w:t xml:space="preserve">11.9 Patient-Reported Outcomes</w:t>
      </w:r>
    </w:p>
    <w:p>
      <w:pPr>
        <w:spacing w:before="60" w:after="80"/>
      </w:pPr>
      <w:r>
        <w:rPr>
          <w:rFonts w:ascii="Arial" w:cs="Arial" w:eastAsia="Arial" w:hAnsi="Arial"/>
          <w:sz w:val="20"/>
          <w:szCs w:val="20"/>
        </w:rPr>
        <w:t xml:space="preserve">EORTC QLQ-C30 completion rates were &gt;80% through Cycle 8 and declined thereafter with patient discontinuations. The Global Health Status / QoL score was maintained or improved from baseline in responding patients at Week 12 (mean change: +7.8 points vs. baseline, SD 15.3) and Week 24 (mean change: +11.2 points, SD 17.6), consistent with clinical benefit. EQ-5D-5L utility index was stable through Week 24 in the overall population (mean change: +0.03, SD 0.12). Full PRO analyses are presented in Appendix 16.3.</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12. SAFETY EVALUATION</w:t>
      </w:r>
    </w:p>
    <w:p>
      <w:pPr>
        <w:pStyle w:val="Heading2"/>
        <w:spacing w:before="200" w:after="80"/>
      </w:pPr>
      <w:r>
        <w:rPr>
          <w:rFonts w:ascii="Arial" w:cs="Arial" w:eastAsia="Arial" w:hAnsi="Arial"/>
          <w:b/>
          <w:bCs/>
          <w:color w:val="1F4E79"/>
          <w:sz w:val="24"/>
          <w:szCs w:val="24"/>
        </w:rPr>
        <w:t xml:space="preserve">12.1 Overview of Adverse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7375E"/>
                <w:sz w:val="20"/>
                <w:szCs w:val="20"/>
              </w:rPr>
              <w:t xml:space="preserve">KEY SAFETY SUMMARY: All-grade AEs: 100% | Grade &gt;=3 AEs: 50.0% | TRAEs: 87.5% | Grade &gt;=3 TRAEs: 27.5% | Discontinuation due to AE: 10.0% | Treatment-related deaths: 0</w:t>
            </w:r>
          </w:p>
        </w:tc>
      </w:tr>
    </w:tbl>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600"/>
        <w:gridCol w:w="1600"/>
        <w:gridCol w:w="160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AE Category</w:t>
            </w:r>
          </w:p>
        </w:tc>
        <w:tc>
          <w:tcPr>
            <w:tcW w:type="dxa" w:w="19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All Grades N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Grade 3 N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Grade 4 N (%)</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Grade 5 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Any AE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40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17 (42.5%)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 (12.5%)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Any TRAE</w:t>
            </w:r>
          </w:p>
        </w:tc>
        <w:tc>
          <w:tcPr>
            <w:tcW w:type="dxa" w:w="1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35 (87.5%)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9 (22.5%)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 (5.0%)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Any SAE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12 (30.0%)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Any SAE (treatment-related)</w:t>
            </w:r>
          </w:p>
        </w:tc>
        <w:tc>
          <w:tcPr>
            <w:tcW w:type="dxa" w:w="1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6 (15.0%)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Any irAE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22 (55.0%)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 (12.5%)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AEs leading to dose delay</w:t>
            </w:r>
          </w:p>
        </w:tc>
        <w:tc>
          <w:tcPr>
            <w:tcW w:type="dxa" w:w="1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14 (35.0%)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AEs leading to discontinuation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Deaths (any cause)</w:t>
            </w:r>
          </w:p>
        </w:tc>
        <w:tc>
          <w:tcPr>
            <w:tcW w:type="dxa" w:w="19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4 (10.0%)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Deaths (treatment-related)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t>
            </w:r>
          </w:p>
        </w:tc>
      </w:tr>
    </w:tbl>
    <w:p>
      <w:r>
        <w:t xml:space="preserve"/>
      </w:r>
    </w:p>
    <w:p>
      <w:pPr>
        <w:pStyle w:val="Heading2"/>
        <w:spacing w:before="200" w:after="80"/>
      </w:pPr>
      <w:r>
        <w:rPr>
          <w:rFonts w:ascii="Arial" w:cs="Arial" w:eastAsia="Arial" w:hAnsi="Arial"/>
          <w:b/>
          <w:bCs/>
          <w:color w:val="1F4E79"/>
          <w:sz w:val="24"/>
          <w:szCs w:val="24"/>
        </w:rPr>
        <w:t xml:space="preserve">12.2 Most Common Treatment-Related Adverse Events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10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TRAE (MedDRA Preferred Term)</w:t>
            </w:r>
          </w:p>
        </w:tc>
        <w:tc>
          <w:tcPr>
            <w:tcW w:type="dxa" w:w="21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All Grades N (%)</w:t>
            </w:r>
          </w:p>
        </w:tc>
        <w:tc>
          <w:tcPr>
            <w:tcW w:type="dxa" w:w="21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Grade 3 N (%)</w:t>
            </w:r>
          </w:p>
        </w:tc>
        <w:tc>
          <w:tcPr>
            <w:tcW w:type="dxa" w:w="21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Grade 4 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Fatigue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19 (47.5%)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Rash (maculo-papular)</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12 (30.0%)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Diarrhea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11 (27.5%)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Pruritus</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10 (25.0%)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Nausea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 (22.5%)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Arthralgia</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8 (20.0%)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Hypothyroidism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 (17.5%)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Decreased appetite</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6 (15.0%)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Alanine aminotransferase increased (ALT)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 (15.0%)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 (7.5%)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Aspartate aminotransferase increased (AST)</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6 (15.0%)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Colitis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 (12.5%)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 (10.0%)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Headache</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 (12.5%)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Myalgia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 (10.0%)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Hyperthyroidism</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3 (7.5%)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Adrenal insufficiency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Pneumonitis</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 (5.0%)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Nephritis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0 (0%)</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Myocarditis</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0 (0%)</w:t>
            </w:r>
          </w:p>
        </w:tc>
        <w:tc>
          <w:tcPr>
            <w:tcW w:type="dxa" w:w="21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 (2.5%)</w:t>
            </w:r>
          </w:p>
        </w:tc>
      </w:tr>
    </w:tbl>
    <w:p>
      <w:r>
        <w:t xml:space="preserve"/>
      </w:r>
    </w:p>
    <w:p>
      <w:pPr>
        <w:pStyle w:val="Heading2"/>
        <w:spacing w:before="200" w:after="80"/>
      </w:pPr>
      <w:r>
        <w:rPr>
          <w:rFonts w:ascii="Arial" w:cs="Arial" w:eastAsia="Arial" w:hAnsi="Arial"/>
          <w:b/>
          <w:bCs/>
          <w:color w:val="1F4E79"/>
          <w:sz w:val="24"/>
          <w:szCs w:val="24"/>
        </w:rPr>
        <w:t xml:space="preserve">12.3 Immune-Related Adverse Events</w:t>
      </w:r>
    </w:p>
    <w:p>
      <w:pPr>
        <w:spacing w:before="60" w:after="80"/>
      </w:pPr>
      <w:r>
        <w:rPr>
          <w:rFonts w:ascii="Arial" w:cs="Arial" w:eastAsia="Arial" w:hAnsi="Arial"/>
          <w:sz w:val="20"/>
          <w:szCs w:val="20"/>
        </w:rPr>
        <w:t xml:space="preserve">irAEs of any grade were observed in 22/40 (55.0%) patients. Grade &gt;= 3 irAEs occurred in 7/40 (17.5%) patients. The most common irAE was endocrine dysfunction (thyroid abnormalities: 10 patients, 25.0%), followed by hepatitis (elevated transaminases: 6 patients, 15.0%), colitis (5 patients, 12.5%), rash (4 patients, 10.0%), and pneumonitis (2 patients, 5.0%).</w:t>
      </w:r>
    </w:p>
    <w:p>
      <w:pPr>
        <w:spacing w:before="60" w:after="80"/>
      </w:pPr>
      <w:r>
        <w:rPr>
          <w:rFonts w:ascii="Arial" w:cs="Arial" w:eastAsia="Arial" w:hAnsi="Arial"/>
          <w:sz w:val="20"/>
          <w:szCs w:val="20"/>
        </w:rPr>
        <w:t xml:space="preserve">All Grade 3-4 irAEs resolved with appropriate immunosuppression (systemic corticosteroids in all cases, with additional immunosuppression [infliximab] required in 2 cases of Grade 3 colitis). One case of Grade 4 pneumonitis resolved after high-dose corticosteroid therapy and led to cervimab discontinuation. One case of Grade 4 myocarditis occurred at Cycle 8 (Day 1), requiring hospitalization; the patient was treated with high-dose corticosteroids and IVIG with full recovery; cervimab was permanently discontinued. No irAE-related deaths occurred.</w:t>
      </w:r>
    </w:p>
    <w:p>
      <w:pPr>
        <w:pStyle w:val="Heading2"/>
        <w:spacing w:before="200" w:after="80"/>
      </w:pPr>
      <w:r>
        <w:rPr>
          <w:rFonts w:ascii="Arial" w:cs="Arial" w:eastAsia="Arial" w:hAnsi="Arial"/>
          <w:b/>
          <w:bCs/>
          <w:color w:val="1F4E79"/>
          <w:sz w:val="24"/>
          <w:szCs w:val="24"/>
        </w:rPr>
        <w:t xml:space="preserve">12.4 Serious Adverse Events</w:t>
      </w:r>
    </w:p>
    <w:p>
      <w:pPr>
        <w:spacing w:before="60" w:after="80"/>
      </w:pPr>
      <w:r>
        <w:rPr>
          <w:rFonts w:ascii="Arial" w:cs="Arial" w:eastAsia="Arial" w:hAnsi="Arial"/>
          <w:sz w:val="20"/>
          <w:szCs w:val="20"/>
        </w:rPr>
        <w:t xml:space="preserve">SAEs were reported in 12/40 (30.0%) patients; 6 (15.0%) were considered treatment-related. SAEs by preferred term (treatment-related only):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700"/>
        <w:gridCol w:w="1500"/>
        <w:gridCol w:w="356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SAE Preferred Term</w:t>
            </w:r>
          </w:p>
        </w:tc>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N</w:t>
            </w:r>
          </w:p>
        </w:tc>
        <w:tc>
          <w:tcPr>
            <w:tcW w:type="dxa" w:w="7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Treatment-Related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7375E"/>
                <w:sz w:val="18"/>
                <w:szCs w:val="18"/>
              </w:rPr>
              <w:t xml:space="preserve">Outcome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Colitis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Resolved (2); Resolved with sequelae (1)</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Pneumonitis</w:t>
            </w:r>
          </w:p>
        </w:tc>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5.0%</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Yes</w:t>
            </w:r>
          </w:p>
        </w:tc>
        <w:tc>
          <w:tcPr>
            <w:tcW w:type="dxa" w:w="3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Resolved (1); Resolved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Myocarditis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Resolved</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ALT/AST increased (hepatitis)</w:t>
            </w:r>
          </w:p>
        </w:tc>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Yes</w:t>
            </w:r>
          </w:p>
        </w:tc>
        <w:tc>
          <w:tcPr>
            <w:tcW w:type="dxa" w:w="3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Adrenal insufficiency</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Ongoing (requires replacement therapy)</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Diarrhea (severe, non-irAE)</w:t>
            </w:r>
          </w:p>
        </w:tc>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Possibly</w:t>
            </w:r>
          </w:p>
        </w:tc>
        <w:tc>
          <w:tcPr>
            <w:tcW w:type="dxa" w:w="3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Pulmonary embolism</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Resolved</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Sepsis</w:t>
            </w:r>
          </w:p>
        </w:tc>
        <w:tc>
          <w:tcPr>
            <w:tcW w:type="dxa" w:w="6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No (disease-related)</w:t>
            </w:r>
          </w:p>
        </w:tc>
        <w:tc>
          <w:tcPr>
            <w:tcW w:type="dxa" w:w="3560"/>
            <w:tcBorders>
              <w:top w:val="single" w:color="CCCCCC" w:sz="1"/>
              <w:left w:val="single" w:color="CCCCCC" w:sz="1"/>
              <w:bottom w:val="single" w:color="CCCCCC" w:sz="1"/>
              <w:right w:val="single" w:color="CCCCCC" w:sz="1"/>
            </w:tcBorders>
            <w:shd w:fill="F7FBFF" w:val="clear"/>
            <w:tcMar>
              <w:top w:type="dxa" w:w="80"/>
              <w:left w:type="dxa" w:w="100"/>
              <w:bottom w:type="dxa" w:w="80"/>
              <w:right w:type="dxa" w:w="100"/>
            </w:tcMar>
          </w:tcPr>
          <w:p>
            <w:r>
              <w:rPr>
                <w:rFonts w:ascii="Arial" w:cs="Arial" w:eastAsia="Arial" w:hAnsi="Arial"/>
                <w:sz w:val="18"/>
                <w:szCs w:val="18"/>
              </w:rPr>
              <w:t xml:space="preserve">Resolved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Disease progression (hospitalization)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Varies</w:t>
            </w:r>
          </w:p>
        </w:tc>
      </w:tr>
    </w:tbl>
    <w:p>
      <w:r>
        <w:t xml:space="preserve"/>
      </w:r>
    </w:p>
    <w:p>
      <w:pPr>
        <w:pStyle w:val="Heading2"/>
        <w:spacing w:before="200" w:after="80"/>
      </w:pPr>
      <w:r>
        <w:rPr>
          <w:rFonts w:ascii="Arial" w:cs="Arial" w:eastAsia="Arial" w:hAnsi="Arial"/>
          <w:b/>
          <w:bCs/>
          <w:color w:val="1F4E79"/>
          <w:sz w:val="24"/>
          <w:szCs w:val="24"/>
        </w:rPr>
        <w:t xml:space="preserve">12.5 Deaths</w:t>
      </w:r>
    </w:p>
    <w:p>
      <w:pPr>
        <w:spacing w:before="60" w:after="80"/>
      </w:pPr>
      <w:r>
        <w:rPr>
          <w:rFonts w:ascii="Arial" w:cs="Arial" w:eastAsia="Arial" w:hAnsi="Arial"/>
          <w:sz w:val="20"/>
          <w:szCs w:val="20"/>
        </w:rPr>
        <w:t xml:space="preserve">Four patients (10.0%) died during the study or within 30 days of the last cervimab dose. Causes of death: disease progression (N=3); sepsis (unrelated to study drug, N=1). No deaths were attributed to cervimab treatment. Narratives for all deaths are provided in Appendix 16.2.7.</w:t>
      </w:r>
    </w:p>
    <w:p>
      <w:pPr>
        <w:pStyle w:val="Heading2"/>
        <w:spacing w:before="200" w:after="80"/>
      </w:pPr>
      <w:r>
        <w:rPr>
          <w:rFonts w:ascii="Arial" w:cs="Arial" w:eastAsia="Arial" w:hAnsi="Arial"/>
          <w:b/>
          <w:bCs/>
          <w:color w:val="1F4E79"/>
          <w:sz w:val="24"/>
          <w:szCs w:val="24"/>
        </w:rPr>
        <w:t xml:space="preserve">12.6 Discontinuation Due to Adverse Events</w:t>
      </w:r>
    </w:p>
    <w:p>
      <w:pPr>
        <w:spacing w:before="60" w:after="80"/>
      </w:pPr>
      <w:r>
        <w:rPr>
          <w:rFonts w:ascii="Arial" w:cs="Arial" w:eastAsia="Arial" w:hAnsi="Arial"/>
          <w:sz w:val="20"/>
          <w:szCs w:val="20"/>
        </w:rPr>
        <w:t xml:space="preserve">Four patients (10.0%) permanently discontinued cervimab due to AEs: Grade 4 pneumonitis (N=1), Grade 4 myocarditis (N=1), Grade 3 colitis (recurrent; N=1), and Grade 3 peripheral neuropathy (N=1). Three of these 4 events were considered treatment-related (myocarditis was considered possibly related).</w:t>
      </w:r>
    </w:p>
    <w:p>
      <w:pPr>
        <w:pStyle w:val="Heading2"/>
        <w:spacing w:before="200" w:after="80"/>
      </w:pPr>
      <w:r>
        <w:rPr>
          <w:rFonts w:ascii="Arial" w:cs="Arial" w:eastAsia="Arial" w:hAnsi="Arial"/>
          <w:b/>
          <w:bCs/>
          <w:color w:val="1F4E79"/>
          <w:sz w:val="24"/>
          <w:szCs w:val="24"/>
        </w:rPr>
        <w:t xml:space="preserve">12.7 Laboratory Findings</w:t>
      </w:r>
    </w:p>
    <w:p>
      <w:pPr>
        <w:spacing w:before="60" w:after="80"/>
      </w:pPr>
      <w:r>
        <w:rPr>
          <w:rFonts w:ascii="Arial" w:cs="Arial" w:eastAsia="Arial" w:hAnsi="Arial"/>
          <w:sz w:val="20"/>
          <w:szCs w:val="20"/>
        </w:rPr>
        <w:t xml:space="preserve">Hematologic: No Grade &gt;= 3 hematologic AEs were attributed to cervimab. Grade 1-2 lymphopenia was observed in 22.5% of patients and was not clinically significant. No Grade &gt;= 3 neutropenia was observed.</w:t>
      </w:r>
    </w:p>
    <w:p>
      <w:pPr>
        <w:spacing w:before="60" w:after="80"/>
      </w:pPr>
      <w:r>
        <w:rPr>
          <w:rFonts w:ascii="Arial" w:cs="Arial" w:eastAsia="Arial" w:hAnsi="Arial"/>
          <w:sz w:val="20"/>
          <w:szCs w:val="20"/>
        </w:rPr>
        <w:t xml:space="preserve">Hepatic: Transaminase elevations (ALT or AST) were the most common laboratory irAEs, occurring in 15.0% of patients (all grades); 7.5% were Grade 3 (ALT) and 5.0% Grade 3 (AST). All resolved with corticosteroids; none met Hy's Law criteria for drug-induced liver injury (no patient had concurrent hyperbilirubinemia with transaminase elevation).</w:t>
      </w:r>
    </w:p>
    <w:p>
      <w:pPr>
        <w:spacing w:before="60" w:after="80"/>
      </w:pPr>
      <w:r>
        <w:rPr>
          <w:rFonts w:ascii="Arial" w:cs="Arial" w:eastAsia="Arial" w:hAnsi="Arial"/>
          <w:sz w:val="20"/>
          <w:szCs w:val="20"/>
        </w:rPr>
        <w:t xml:space="preserve">Endocrine: TSH abnormalities (elevated or suppressed) were observed in 10/40 (25.0%) patients. Hypothyroidism (7/40, 17.5%) was the most common endocrine irAE, treated with levothyroxine replacement in all cases. Two patients developed adrenal insufficiency requiring long-term hydrocortisone replacement.</w:t>
      </w:r>
    </w:p>
    <w:p>
      <w:pPr>
        <w:pStyle w:val="Heading2"/>
        <w:spacing w:before="200" w:after="80"/>
      </w:pPr>
      <w:r>
        <w:rPr>
          <w:rFonts w:ascii="Arial" w:cs="Arial" w:eastAsia="Arial" w:hAnsi="Arial"/>
          <w:b/>
          <w:bCs/>
          <w:color w:val="1F4E79"/>
          <w:sz w:val="24"/>
          <w:szCs w:val="24"/>
        </w:rPr>
        <w:t xml:space="preserve">12.8 Pharmacokinetics</w:t>
      </w:r>
    </w:p>
    <w:p>
      <w:pPr>
        <w:spacing w:before="60" w:after="80"/>
      </w:pPr>
      <w:r>
        <w:rPr>
          <w:rFonts w:ascii="Arial" w:cs="Arial" w:eastAsia="Arial" w:hAnsi="Arial"/>
          <w:sz w:val="20"/>
          <w:szCs w:val="20"/>
        </w:rPr>
        <w:t xml:space="preserve">PK data were available from 37/40 (92.5%) evaluable patients. At steady state (Cycle 3), the geometric mean Ctrough was 28.4 microg/mL (CV% 34.2) and geometric mean Cmax was 142.6 microg/mL (CV% 28.7), consistent with near-complete PD-1 receptor occupancy throughout the dosing interval and in line with Phase 1 predictions. No clinically significant accumulation was observed beyond Cycle 3. ADA-positive patients (2/37; 5.4%) did not show evidence of altered PK or reduced clinical activity.</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13. DISCUSSION AND OVERALL CONCLUSIONS</w:t>
      </w:r>
    </w:p>
    <w:p>
      <w:pPr>
        <w:pStyle w:val="Heading2"/>
        <w:spacing w:before="200" w:after="80"/>
      </w:pPr>
      <w:r>
        <w:rPr>
          <w:rFonts w:ascii="Arial" w:cs="Arial" w:eastAsia="Arial" w:hAnsi="Arial"/>
          <w:b/>
          <w:bCs/>
          <w:color w:val="1F4E79"/>
          <w:sz w:val="24"/>
          <w:szCs w:val="24"/>
        </w:rPr>
        <w:t xml:space="preserve">13.1 Efficacy</w:t>
      </w:r>
    </w:p>
    <w:p>
      <w:pPr>
        <w:spacing w:before="60" w:after="80"/>
      </w:pPr>
      <w:r>
        <w:rPr>
          <w:rFonts w:ascii="Arial" w:cs="Arial" w:eastAsia="Arial" w:hAnsi="Arial"/>
          <w:sz w:val="20"/>
          <w:szCs w:val="20"/>
        </w:rPr>
        <w:t xml:space="preserve">This Phase 2a study demonstrated that cervimab 200 mg IV Q3W has clinically meaningful antitumor activity in patients with previously treated dMMR/MSI-H mCRC. The primary endpoint was met: an ORR of 42.5% (17/40; 95% CI: 27.0%, 59.1%) was observed by BICR per RECIST v1.1, exceeding the pre-specified Simon design threshold of 13 responses (one-sided p=0.011). These results are consistent with the emerging class evidence for PD-1 inhibitors in dMMR/MSI-H mCRC, compare favorably to approved agents (pembrolizumab ORR ~33% in second-line, KEYNOTE-158; nivolumab ORR ~31%, CheckMate 142), and provide the most compelling data to date for cervimab in this indication.</w:t>
      </w:r>
    </w:p>
    <w:p>
      <w:pPr>
        <w:spacing w:before="60" w:after="80"/>
      </w:pPr>
      <w:r>
        <w:rPr>
          <w:rFonts w:ascii="Arial" w:cs="Arial" w:eastAsia="Arial" w:hAnsi="Arial"/>
          <w:sz w:val="20"/>
          <w:szCs w:val="20"/>
        </w:rPr>
        <w:t xml:space="preserve">The durability of response is particularly noteworthy. With a median follow-up of 14.2 months, median DoR had not been reached and 76.5% of responders remained in response at data cutoff. The 12-month PFS rate of 47.8% and 12-month OS rate of 79.8% in a heavily pretreated population (55% having received &gt;= 2 prior lines) compare favorably to historical control data from second-line chemotherapy (12-month OS ~50%) and align with immunotherapy benchmarks in this biomarker-defined population.</w:t>
      </w:r>
    </w:p>
    <w:p>
      <w:pPr>
        <w:spacing w:before="60" w:after="80"/>
      </w:pPr>
      <w:r>
        <w:rPr>
          <w:rFonts w:ascii="Arial" w:cs="Arial" w:eastAsia="Arial" w:hAnsi="Arial"/>
          <w:sz w:val="20"/>
          <w:szCs w:val="20"/>
        </w:rPr>
        <w:t xml:space="preserve">Exploratory analyses suggest that PD-L1 CPS and TMB may further enrich the responding population, though the overlapping CIs and small subgroup sizes preclude definitive conclusions. Importantly, responses were observed even in PD-L1 CPS &lt; 1 (ORR 20%) patients, consistent with the established principle that dMMR/MSI-H status, rather than PD-L1 expression, is the primary predictive biomarker for this population. The ctDNA dynamics data are particularly intriguing, showing that early molecular response at Cycle 2 strongly predicts final ORR, warranting prospective validation.</w:t>
      </w:r>
    </w:p>
    <w:p>
      <w:pPr>
        <w:pStyle w:val="Heading2"/>
        <w:spacing w:before="200" w:after="80"/>
      </w:pPr>
      <w:r>
        <w:rPr>
          <w:rFonts w:ascii="Arial" w:cs="Arial" w:eastAsia="Arial" w:hAnsi="Arial"/>
          <w:b/>
          <w:bCs/>
          <w:color w:val="1F4E79"/>
          <w:sz w:val="24"/>
          <w:szCs w:val="24"/>
        </w:rPr>
        <w:t xml:space="preserve">13.2 Safety</w:t>
      </w:r>
    </w:p>
    <w:p>
      <w:pPr>
        <w:spacing w:before="60" w:after="80"/>
      </w:pPr>
      <w:r>
        <w:rPr>
          <w:rFonts w:ascii="Arial" w:cs="Arial" w:eastAsia="Arial" w:hAnsi="Arial"/>
          <w:sz w:val="20"/>
          <w:szCs w:val="20"/>
        </w:rPr>
        <w:t xml:space="preserve">The safety profile of cervimab was consistent with the known class effects of PD-1 inhibitors and was generally manageable with established protocols. The overall TRAE rate (87.5%) and Grade &gt;= 3 TRAE rate (27.5%) are consistent with the approved PD-1 inhibitors in comparable settings. The irAE rate (55.0%) and Grade &gt;= 3 irAE rate (17.5%) are within the expected range for PD-1 inhibitors used as monotherapy in oncology.</w:t>
      </w:r>
    </w:p>
    <w:p>
      <w:pPr>
        <w:spacing w:before="60" w:after="80"/>
      </w:pPr>
      <w:r>
        <w:rPr>
          <w:rFonts w:ascii="Arial" w:cs="Arial" w:eastAsia="Arial" w:hAnsi="Arial"/>
          <w:sz w:val="20"/>
          <w:szCs w:val="20"/>
        </w:rPr>
        <w:t xml:space="preserve">Importantly, no treatment-related deaths were observed. The four cases of Grade &gt;= 3 serious irAEs (pneumonitis, myocarditis, recurrent colitis, Grade 3 colitis) all resolved with appropriate immunosuppression. The single case of myocarditis (Grade 4) was notable; although rare (2.5%), this AE is a class effect of PD-1 inhibitors with potentially fatal outcomes and requires vigilant monitoring and immediate intervention. Two of the 4 patients who discontinued due to AEs subsequently received alternative therapy and are in survival follow-up.</w:t>
      </w:r>
    </w:p>
    <w:p>
      <w:pPr>
        <w:pStyle w:val="Heading2"/>
        <w:spacing w:before="200" w:after="80"/>
      </w:pPr>
      <w:r>
        <w:rPr>
          <w:rFonts w:ascii="Arial" w:cs="Arial" w:eastAsia="Arial" w:hAnsi="Arial"/>
          <w:b/>
          <w:bCs/>
          <w:color w:val="1F4E79"/>
          <w:sz w:val="24"/>
          <w:szCs w:val="24"/>
        </w:rPr>
        <w:t xml:space="preserve">13.3 Benefit-Risk Assessment</w:t>
      </w:r>
    </w:p>
    <w:p>
      <w:pPr>
        <w:spacing w:before="60" w:after="80"/>
      </w:pPr>
      <w:r>
        <w:rPr>
          <w:rFonts w:ascii="Arial" w:cs="Arial" w:eastAsia="Arial" w:hAnsi="Arial"/>
          <w:sz w:val="20"/>
          <w:szCs w:val="20"/>
        </w:rPr>
        <w:t xml:space="preserve">In the context of the significant unmet medical need in previously treated dMMR/MSI-H mCRC — a population with no approved second-line immunotherapy options following progression on pembrolizumab or nivolumab, and limited chemotherapy efficacy — the benefit-risk profile of cervimab 200 mg IV Q3W is favorable. The efficacy results (ORR 42.5%, durable responses, meaningful PFS and OS data) in this heavily pretreated population represent a clinically meaningful treatment effect, and the safety profile is manageable with established medical practices.</w:t>
      </w:r>
    </w:p>
    <w:p>
      <w:pPr>
        <w:pStyle w:val="Heading2"/>
        <w:spacing w:before="200" w:after="80"/>
      </w:pPr>
      <w:r>
        <w:rPr>
          <w:rFonts w:ascii="Arial" w:cs="Arial" w:eastAsia="Arial" w:hAnsi="Arial"/>
          <w:b/>
          <w:bCs/>
          <w:color w:val="1F4E79"/>
          <w:sz w:val="24"/>
          <w:szCs w:val="24"/>
        </w:rPr>
        <w:t xml:space="preserve">13.4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7375E"/>
                <w:sz w:val="20"/>
                <w:szCs w:val="20"/>
              </w:rPr>
              <w:t xml:space="preserve">CONCLUSION: Cervimab 200 mg IV Q3W demonstrated clinically meaningful antitumor activity (ORR 42.5%; 95% CI: 27.0%, 59.1%) with durable responses and a manageable safety profile in patients with previously treated dMMR/MSI-H mCRC. The primary study objective was met (H0 rejected; p=0.011). These data support advancement of cervimab to a randomized Phase 2b/3 study in this indication.</w:t>
            </w:r>
          </w:p>
        </w:tc>
      </w:tr>
    </w:tbl>
    <w:p>
      <w:r>
        <w:t xml:space="preserve"/>
      </w:r>
    </w:p>
    <w:p>
      <w:pPr>
        <w:spacing w:before="60" w:after="80"/>
      </w:pPr>
      <w:r>
        <w:rPr>
          <w:rFonts w:ascii="Arial" w:cs="Arial" w:eastAsia="Arial" w:hAnsi="Arial"/>
          <w:sz w:val="20"/>
          <w:szCs w:val="20"/>
        </w:rPr>
        <w:t xml:space="preserve">Based on these results, Cervi Therapeutics intends to: (1) initiate a Phase 2b randomized study comparing cervimab to investigator's choice of standard second-line therapy in dMMR/MSI-H mCRC patients who have progressed on first-line PD-1 inhibitor-based therapy; (2) pursue Breakthrough Therapy Designation from the FDA based on the ORR and durability results; and (3) explore cervimab in combination with other agents (anti-VEGF, anti-LAG3) in Phase 1b expansion cohorts.</w:t>
      </w:r>
    </w:p>
    <w:p>
      <w:pPr>
        <w:pageBreakBefore/>
      </w:pPr>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14. REFERENCES</w:t>
      </w:r>
    </w:p>
    <w:p>
      <w:pPr>
        <w:pStyle w:val="ListParagraph"/>
        <w:numPr>
          <w:ilvl w:val="0"/>
          <w:numId w:val="3"/>
        </w:numPr>
        <w:spacing w:before="40" w:after="40"/>
      </w:pPr>
      <w:r>
        <w:rPr>
          <w:rFonts w:ascii="Arial" w:cs="Arial" w:eastAsia="Arial" w:hAnsi="Arial"/>
          <w:sz w:val="20"/>
          <w:szCs w:val="20"/>
        </w:rPr>
        <w:t xml:space="preserve">Le DT, et al. Mismatch repair deficiency predicts response of solid tumors to PD-1 blockade. Science. 2017;357(6349):409-413.</w:t>
      </w:r>
    </w:p>
    <w:p>
      <w:pPr>
        <w:pStyle w:val="ListParagraph"/>
        <w:numPr>
          <w:ilvl w:val="0"/>
          <w:numId w:val="3"/>
        </w:numPr>
        <w:spacing w:before="40" w:after="40"/>
      </w:pPr>
      <w:r>
        <w:rPr>
          <w:rFonts w:ascii="Arial" w:cs="Arial" w:eastAsia="Arial" w:hAnsi="Arial"/>
          <w:sz w:val="20"/>
          <w:szCs w:val="20"/>
        </w:rPr>
        <w:t xml:space="preserve">Andre T, et al. Pembrolizumab in Microsatellite-Instability-High Advanced Colorectal Cancer. N Engl J Med. 2020;383(23):2207-2218.</w:t>
      </w:r>
    </w:p>
    <w:p>
      <w:pPr>
        <w:pStyle w:val="ListParagraph"/>
        <w:numPr>
          <w:ilvl w:val="0"/>
          <w:numId w:val="3"/>
        </w:numPr>
        <w:spacing w:before="40" w:after="40"/>
      </w:pPr>
      <w:r>
        <w:rPr>
          <w:rFonts w:ascii="Arial" w:cs="Arial" w:eastAsia="Arial" w:hAnsi="Arial"/>
          <w:sz w:val="20"/>
          <w:szCs w:val="20"/>
        </w:rPr>
        <w:t xml:space="preserve">Overman MJ, et al. Nivolumab in patients with metastatic DNA mismatch repair-deficient or microsatellite instability-high colorectal cancer (CheckMate 142). Lancet Oncol. 2017;18(9):1182-1191.</w:t>
      </w:r>
    </w:p>
    <w:p>
      <w:pPr>
        <w:pStyle w:val="ListParagraph"/>
        <w:numPr>
          <w:ilvl w:val="0"/>
          <w:numId w:val="3"/>
        </w:numPr>
        <w:spacing w:before="40" w:after="40"/>
      </w:pPr>
      <w:r>
        <w:rPr>
          <w:rFonts w:ascii="Arial" w:cs="Arial" w:eastAsia="Arial" w:hAnsi="Arial"/>
          <w:sz w:val="20"/>
          <w:szCs w:val="20"/>
        </w:rPr>
        <w:t xml:space="preserve">Overman MJ, et al. Durable clinical benefit with nivolumab plus ipilimumab in DNA mismatch repair-deficient/microsatellite instability-high metastatic colorectal cancer. J Clin Oncol. 2018;36(8):773-779.</w:t>
      </w:r>
    </w:p>
    <w:p>
      <w:pPr>
        <w:pStyle w:val="ListParagraph"/>
        <w:numPr>
          <w:ilvl w:val="0"/>
          <w:numId w:val="3"/>
        </w:numPr>
        <w:spacing w:before="40" w:after="40"/>
      </w:pPr>
      <w:r>
        <w:rPr>
          <w:rFonts w:ascii="Arial" w:cs="Arial" w:eastAsia="Arial" w:hAnsi="Arial"/>
          <w:sz w:val="20"/>
          <w:szCs w:val="20"/>
        </w:rPr>
        <w:t xml:space="preserve">Eisenhauer EA, et al. New response evaluation criteria in solid tumours: Revised RECIST guideline (version 1.1). Eur J Cancer. 2009;45(2):228-247.</w:t>
      </w:r>
    </w:p>
    <w:p>
      <w:pPr>
        <w:pStyle w:val="ListParagraph"/>
        <w:numPr>
          <w:ilvl w:val="0"/>
          <w:numId w:val="3"/>
        </w:numPr>
        <w:spacing w:before="40" w:after="40"/>
      </w:pPr>
      <w:r>
        <w:rPr>
          <w:rFonts w:ascii="Arial" w:cs="Arial" w:eastAsia="Arial" w:hAnsi="Arial"/>
          <w:sz w:val="20"/>
          <w:szCs w:val="20"/>
        </w:rPr>
        <w:t xml:space="preserve">Simon R. Optimal two-stage designs for phase II clinical trials. Control Clin Trials. 1989;10(1):1-10.</w:t>
      </w:r>
    </w:p>
    <w:p>
      <w:pPr>
        <w:pStyle w:val="ListParagraph"/>
        <w:numPr>
          <w:ilvl w:val="0"/>
          <w:numId w:val="3"/>
        </w:numPr>
        <w:spacing w:before="40" w:after="40"/>
      </w:pPr>
      <w:r>
        <w:rPr>
          <w:rFonts w:ascii="Arial" w:cs="Arial" w:eastAsia="Arial" w:hAnsi="Arial"/>
          <w:sz w:val="20"/>
          <w:szCs w:val="20"/>
        </w:rPr>
        <w:t xml:space="preserve">FDA Guidance for Industry. Cancer Clinical Trial Eligibility Criteria: Patients with Organ Dysfunction or Prior or Concurrent Malignancies. 2020.</w:t>
      </w:r>
    </w:p>
    <w:p>
      <w:pPr>
        <w:pStyle w:val="ListParagraph"/>
        <w:numPr>
          <w:ilvl w:val="0"/>
          <w:numId w:val="3"/>
        </w:numPr>
        <w:spacing w:before="40" w:after="40"/>
      </w:pPr>
      <w:r>
        <w:rPr>
          <w:rFonts w:ascii="Arial" w:cs="Arial" w:eastAsia="Arial" w:hAnsi="Arial"/>
          <w:sz w:val="20"/>
          <w:szCs w:val="20"/>
        </w:rPr>
        <w:t xml:space="preserve">ICH E3 Guideline. Structure and Content of Clinical Study Reports. 1995.</w:t>
      </w:r>
    </w:p>
    <w:p>
      <w:pPr>
        <w:pStyle w:val="ListParagraph"/>
        <w:numPr>
          <w:ilvl w:val="0"/>
          <w:numId w:val="3"/>
        </w:numPr>
        <w:spacing w:before="40" w:after="40"/>
      </w:pPr>
      <w:r>
        <w:rPr>
          <w:rFonts w:ascii="Arial" w:cs="Arial" w:eastAsia="Arial" w:hAnsi="Arial"/>
          <w:sz w:val="20"/>
          <w:szCs w:val="20"/>
        </w:rPr>
        <w:t xml:space="preserve">ICH E6(R2) Guideline. Integrated Addendum to ICH E6(R1): Guideline for Good Clinical Practice. 2016.</w:t>
      </w:r>
    </w:p>
    <w:p>
      <w:pPr>
        <w:pStyle w:val="ListParagraph"/>
        <w:numPr>
          <w:ilvl w:val="0"/>
          <w:numId w:val="3"/>
        </w:numPr>
        <w:spacing w:before="40" w:after="40"/>
      </w:pPr>
      <w:r>
        <w:rPr>
          <w:rFonts w:ascii="Arial" w:cs="Arial" w:eastAsia="Arial" w:hAnsi="Arial"/>
          <w:sz w:val="20"/>
          <w:szCs w:val="20"/>
        </w:rPr>
        <w:t xml:space="preserve">National Cancer Institute. Common Terminology Criteria for Adverse Events (CTCAE) v5.0. 2017.</w:t>
      </w:r>
    </w:p>
    <w:p>
      <w:pPr>
        <w:pStyle w:val="ListParagraph"/>
        <w:numPr>
          <w:ilvl w:val="0"/>
          <w:numId w:val="3"/>
        </w:numPr>
        <w:spacing w:before="40" w:after="40"/>
      </w:pPr>
      <w:r>
        <w:rPr>
          <w:rFonts w:ascii="Arial" w:cs="Arial" w:eastAsia="Arial" w:hAnsi="Arial"/>
          <w:sz w:val="20"/>
          <w:szCs w:val="20"/>
        </w:rPr>
        <w:t xml:space="preserve">Seymour L, et al. iRECIST: guidelines for response criteria for use in trials testing immunotherapeutics. Lancet Oncol. 2017;18(3):e143-e152.</w:t>
      </w:r>
    </w:p>
    <w:p>
      <w:pPr>
        <w:pStyle w:val="ListParagraph"/>
        <w:numPr>
          <w:ilvl w:val="0"/>
          <w:numId w:val="3"/>
        </w:numPr>
        <w:spacing w:before="40" w:after="40"/>
      </w:pPr>
      <w:r>
        <w:rPr>
          <w:rFonts w:ascii="Arial" w:cs="Arial" w:eastAsia="Arial" w:hAnsi="Arial"/>
          <w:sz w:val="20"/>
          <w:szCs w:val="20"/>
        </w:rPr>
        <w:t xml:space="preserve">American Cancer Society. Cancer Facts &amp; Figures 2025. Atlanta: American Cancer Society; 2025.</w:t>
      </w:r>
    </w:p>
    <w:p>
      <w:r>
        <w:t xml:space="preserve"/>
      </w:r>
    </w:p>
    <w:p>
      <w:pPr>
        <w:pStyle w:val="Heading1"/>
        <w:pBdr>
          <w:bottom w:val="single" w:color="1F4E79" w:sz="6" w:space="4"/>
        </w:pBdr>
        <w:spacing w:before="320" w:after="100"/>
      </w:pPr>
      <w:r>
        <w:rPr>
          <w:rFonts w:ascii="Arial" w:cs="Arial" w:eastAsia="Arial" w:hAnsi="Arial"/>
          <w:b/>
          <w:bCs/>
          <w:color w:val="17375E"/>
          <w:sz w:val="28"/>
          <w:szCs w:val="28"/>
        </w:rPr>
        <w:t xml:space="preserve">APPENDICES</w:t>
      </w:r>
    </w:p>
    <w:p>
      <w:pPr>
        <w:spacing w:before="60" w:after="80"/>
      </w:pPr>
      <w:r>
        <w:rPr>
          <w:rFonts w:ascii="Arial" w:cs="Arial" w:eastAsia="Arial" w:hAnsi="Arial"/>
          <w:sz w:val="20"/>
          <w:szCs w:val="20"/>
        </w:rPr>
        <w:t xml:space="preserve">Appendix 16.1.1 — Protocol and Amendments (Protocol v1.0; Amendment 1 v1.1)</w:t>
      </w:r>
    </w:p>
    <w:p>
      <w:pPr>
        <w:spacing w:before="60" w:after="80"/>
      </w:pPr>
      <w:r>
        <w:rPr>
          <w:rFonts w:ascii="Arial" w:cs="Arial" w:eastAsia="Arial" w:hAnsi="Arial"/>
          <w:sz w:val="20"/>
          <w:szCs w:val="20"/>
        </w:rPr>
        <w:t xml:space="preserve">Appendix 16.1.2 — Statistical Analysis Plan (SAP v1.0; Final)</w:t>
      </w:r>
    </w:p>
    <w:p>
      <w:pPr>
        <w:spacing w:before="60" w:after="80"/>
      </w:pPr>
      <w:r>
        <w:rPr>
          <w:rFonts w:ascii="Arial" w:cs="Arial" w:eastAsia="Arial" w:hAnsi="Arial"/>
          <w:sz w:val="20"/>
          <w:szCs w:val="20"/>
        </w:rPr>
        <w:t xml:space="preserve">Appendix 16.1.3 — IRB/IEC Approvals and Membership Lists</w:t>
      </w:r>
    </w:p>
    <w:p>
      <w:pPr>
        <w:spacing w:before="60" w:after="80"/>
      </w:pPr>
      <w:r>
        <w:rPr>
          <w:rFonts w:ascii="Arial" w:cs="Arial" w:eastAsia="Arial" w:hAnsi="Arial"/>
          <w:sz w:val="20"/>
          <w:szCs w:val="20"/>
        </w:rPr>
        <w:t xml:space="preserve">Appendix 16.1.4 — Sponsor and Investigator Signature Pages</w:t>
      </w:r>
    </w:p>
    <w:p>
      <w:pPr>
        <w:spacing w:before="60" w:after="80"/>
      </w:pPr>
      <w:r>
        <w:rPr>
          <w:rFonts w:ascii="Arial" w:cs="Arial" w:eastAsia="Arial" w:hAnsi="Arial"/>
          <w:sz w:val="20"/>
          <w:szCs w:val="20"/>
        </w:rPr>
        <w:t xml:space="preserve">Appendix 16.1.5 — Informed Consent Form (ICF v1.0; ICF v1.1)</w:t>
      </w:r>
    </w:p>
    <w:p>
      <w:pPr>
        <w:spacing w:before="60" w:after="80"/>
      </w:pPr>
      <w:r>
        <w:rPr>
          <w:rFonts w:ascii="Arial" w:cs="Arial" w:eastAsia="Arial" w:hAnsi="Arial"/>
          <w:sz w:val="20"/>
          <w:szCs w:val="20"/>
        </w:rPr>
        <w:t xml:space="preserve">Appendix 16.1.6 — List of Investigators and Study Sites</w:t>
      </w:r>
    </w:p>
    <w:p>
      <w:pPr>
        <w:spacing w:before="60" w:after="80"/>
      </w:pPr>
      <w:r>
        <w:rPr>
          <w:rFonts w:ascii="Arial" w:cs="Arial" w:eastAsia="Arial" w:hAnsi="Arial"/>
          <w:sz w:val="20"/>
          <w:szCs w:val="20"/>
        </w:rPr>
        <w:t xml:space="preserve">Appendix 16.1.7 — Randomization Procedures (N/A — single arm study)</w:t>
      </w:r>
    </w:p>
    <w:p>
      <w:pPr>
        <w:spacing w:before="60" w:after="80"/>
      </w:pPr>
      <w:r>
        <w:rPr>
          <w:rFonts w:ascii="Arial" w:cs="Arial" w:eastAsia="Arial" w:hAnsi="Arial"/>
          <w:sz w:val="20"/>
          <w:szCs w:val="20"/>
        </w:rPr>
        <w:t xml:space="preserve">Appendix 16.1.8 — Audit Certificates and GCP Compliance Documentation</w:t>
      </w:r>
    </w:p>
    <w:p>
      <w:pPr>
        <w:spacing w:before="60" w:after="80"/>
      </w:pPr>
      <w:r>
        <w:rPr>
          <w:rFonts w:ascii="Arial" w:cs="Arial" w:eastAsia="Arial" w:hAnsi="Arial"/>
          <w:sz w:val="20"/>
          <w:szCs w:val="20"/>
        </w:rPr>
        <w:t xml:space="preserve">Appendix 16.1.9 — Drug Accountability Summary</w:t>
      </w:r>
    </w:p>
    <w:p>
      <w:pPr>
        <w:spacing w:before="60" w:after="80"/>
      </w:pPr>
      <w:r>
        <w:rPr>
          <w:rFonts w:ascii="Arial" w:cs="Arial" w:eastAsia="Arial" w:hAnsi="Arial"/>
          <w:sz w:val="20"/>
          <w:szCs w:val="20"/>
        </w:rPr>
        <w:t xml:space="preserve">Appendix 16.2.1 — Subject Disposition and Enrollment</w:t>
      </w:r>
    </w:p>
    <w:p>
      <w:pPr>
        <w:spacing w:before="60" w:after="80"/>
      </w:pPr>
      <w:r>
        <w:rPr>
          <w:rFonts w:ascii="Arial" w:cs="Arial" w:eastAsia="Arial" w:hAnsi="Arial"/>
          <w:sz w:val="20"/>
          <w:szCs w:val="20"/>
        </w:rPr>
        <w:t xml:space="preserve">Appendix 16.2.2 — Protocol Deviations Listing</w:t>
      </w:r>
    </w:p>
    <w:p>
      <w:pPr>
        <w:spacing w:before="60" w:after="80"/>
      </w:pPr>
      <w:r>
        <w:rPr>
          <w:rFonts w:ascii="Arial" w:cs="Arial" w:eastAsia="Arial" w:hAnsi="Arial"/>
          <w:sz w:val="20"/>
          <w:szCs w:val="20"/>
        </w:rPr>
        <w:t xml:space="preserve">Appendix 16.2.3 — Patients Excluded from the Per-Protocol Population</w:t>
      </w:r>
    </w:p>
    <w:p>
      <w:pPr>
        <w:spacing w:before="60" w:after="80"/>
      </w:pPr>
      <w:r>
        <w:rPr>
          <w:rFonts w:ascii="Arial" w:cs="Arial" w:eastAsia="Arial" w:hAnsi="Arial"/>
          <w:sz w:val="20"/>
          <w:szCs w:val="20"/>
        </w:rPr>
        <w:t xml:space="preserve">Appendix 16.2.4 — Demographic and Baseline Characteristics (Individual Patient Listing)</w:t>
      </w:r>
    </w:p>
    <w:p>
      <w:pPr>
        <w:spacing w:before="60" w:after="80"/>
      </w:pPr>
      <w:r>
        <w:rPr>
          <w:rFonts w:ascii="Arial" w:cs="Arial" w:eastAsia="Arial" w:hAnsi="Arial"/>
          <w:sz w:val="20"/>
          <w:szCs w:val="20"/>
        </w:rPr>
        <w:t xml:space="preserve">Appendix 16.2.5 — Prior and Concomitant Medications</w:t>
      </w:r>
    </w:p>
    <w:p>
      <w:pPr>
        <w:spacing w:before="60" w:after="80"/>
      </w:pPr>
      <w:r>
        <w:rPr>
          <w:rFonts w:ascii="Arial" w:cs="Arial" w:eastAsia="Arial" w:hAnsi="Arial"/>
          <w:sz w:val="20"/>
          <w:szCs w:val="20"/>
        </w:rPr>
        <w:t xml:space="preserve">Appendix 16.2.6 — Compliance and Extent of Exposure</w:t>
      </w:r>
    </w:p>
    <w:p>
      <w:pPr>
        <w:spacing w:before="60" w:after="80"/>
      </w:pPr>
      <w:r>
        <w:rPr>
          <w:rFonts w:ascii="Arial" w:cs="Arial" w:eastAsia="Arial" w:hAnsi="Arial"/>
          <w:sz w:val="20"/>
          <w:szCs w:val="20"/>
        </w:rPr>
        <w:t xml:space="preserve">Appendix 16.2.7 — Individual Patient Listings — Efficacy (Waterfall, Spider, Swimmer Plots)</w:t>
      </w:r>
    </w:p>
    <w:p>
      <w:pPr>
        <w:spacing w:before="60" w:after="80"/>
      </w:pPr>
      <w:r>
        <w:rPr>
          <w:rFonts w:ascii="Arial" w:cs="Arial" w:eastAsia="Arial" w:hAnsi="Arial"/>
          <w:sz w:val="20"/>
          <w:szCs w:val="20"/>
        </w:rPr>
        <w:t xml:space="preserve">Appendix 16.2.8 — Individual Patient Listings — Deaths and SAEs</w:t>
      </w:r>
    </w:p>
    <w:p>
      <w:pPr>
        <w:spacing w:before="60" w:after="80"/>
      </w:pPr>
      <w:r>
        <w:rPr>
          <w:rFonts w:ascii="Arial" w:cs="Arial" w:eastAsia="Arial" w:hAnsi="Arial"/>
          <w:sz w:val="20"/>
          <w:szCs w:val="20"/>
        </w:rPr>
        <w:t xml:space="preserve">Appendix 16.2.9 — Individual Patient Listings — Discontinuations Due to AE</w:t>
      </w:r>
    </w:p>
    <w:p>
      <w:pPr>
        <w:spacing w:before="60" w:after="80"/>
      </w:pPr>
      <w:r>
        <w:rPr>
          <w:rFonts w:ascii="Arial" w:cs="Arial" w:eastAsia="Arial" w:hAnsi="Arial"/>
          <w:sz w:val="20"/>
          <w:szCs w:val="20"/>
        </w:rPr>
        <w:t xml:space="preserve">Appendix 16.2.10 — Individual Patient Listings — Notable Laboratory Abnormalities</w:t>
      </w:r>
    </w:p>
    <w:p>
      <w:pPr>
        <w:spacing w:before="60" w:after="80"/>
      </w:pPr>
      <w:r>
        <w:rPr>
          <w:rFonts w:ascii="Arial" w:cs="Arial" w:eastAsia="Arial" w:hAnsi="Arial"/>
          <w:sz w:val="20"/>
          <w:szCs w:val="20"/>
        </w:rPr>
        <w:t xml:space="preserve">Appendix 16.3.1 — Patient-Reported Outcomes (EORTC QLQ-C30, EQ-5D-5L) — Full Results</w:t>
      </w:r>
    </w:p>
    <w:p>
      <w:pPr>
        <w:spacing w:before="60" w:after="80"/>
      </w:pPr>
      <w:r>
        <w:rPr>
          <w:rFonts w:ascii="Arial" w:cs="Arial" w:eastAsia="Arial" w:hAnsi="Arial"/>
          <w:sz w:val="20"/>
          <w:szCs w:val="20"/>
        </w:rPr>
        <w:t xml:space="preserve">Appendix 16.3.2 — Pharmacokinetic Analysis Report (CVB-CRC-201-PK-v1.0)</w:t>
      </w:r>
    </w:p>
    <w:p>
      <w:pPr>
        <w:spacing w:before="60" w:after="80"/>
      </w:pPr>
      <w:r>
        <w:rPr>
          <w:rFonts w:ascii="Arial" w:cs="Arial" w:eastAsia="Arial" w:hAnsi="Arial"/>
          <w:sz w:val="20"/>
          <w:szCs w:val="20"/>
        </w:rPr>
        <w:t xml:space="preserve">Appendix 16.3.3 — Exploratory Biomarker Analysis Report (CVB-CRC-201-BIO-v1.0)</w:t>
      </w:r>
    </w:p>
    <w:p>
      <w:pPr>
        <w:spacing w:before="60" w:after="80"/>
      </w:pPr>
      <w:r>
        <w:rPr>
          <w:rFonts w:ascii="Arial" w:cs="Arial" w:eastAsia="Arial" w:hAnsi="Arial"/>
          <w:sz w:val="20"/>
          <w:szCs w:val="20"/>
        </w:rPr>
        <w:t xml:space="preserve">Appendix 16.4.1 — Publications and Presentations Related to This Study</w:t>
      </w:r>
    </w:p>
    <w:sectPr>
      <w:headerReference w:type="default" r:id="rId6"/>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7375E"/>
        <w:sz w:val="18"/>
        <w:szCs w:val="18"/>
      </w:rPr>
      <w:t xml:space="preserve">CERVIMAB CVB-CRC-201 — CLINICAL STUDY REPORT</w:t>
    </w:r>
    <w:r>
      <w:rPr>
        <w:rFonts w:ascii="Arial" w:cs="Arial" w:eastAsia="Arial" w:hAnsi="Arial"/>
        <w:color w:val="888888"/>
        <w:sz w:val="16"/>
        <w:szCs w:val="16"/>
      </w:rPr>
      <w:t xml:space="preserve">	FINAL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7375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2026-03-16T13:56:59.365Z</dcterms:created>
  <dcterms:modified xsi:type="dcterms:W3CDTF">2026-03-16T13:56:59.366Z</dcterms:modified>
</cp:coreProperties>
</file>

<file path=docProps/custom.xml><?xml version="1.0" encoding="utf-8"?>
<Properties xmlns="http://schemas.openxmlformats.org/officeDocument/2006/custom-properties" xmlns:vt="http://schemas.openxmlformats.org/officeDocument/2006/docPropsVTypes"/>
</file>