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8"/>
          <w:szCs w:val="48"/>
        </w:rPr>
        <w:t xml:space="preserve">IND ANNUAL REPORT</w:t>
      </w:r>
    </w:p>
    <w:p>
      <w:pPr>
        <w:spacing w:after="80"/>
        <w:jc w:val="center"/>
      </w:pPr>
      <w:r>
        <w:rPr>
          <w:rFonts w:ascii="Arial" w:cs="Arial" w:eastAsia="Arial" w:hAnsi="Arial"/>
          <w:b/>
          <w:bCs/>
          <w:color w:val="2E5FA3"/>
          <w:sz w:val="28"/>
          <w:szCs w:val="28"/>
        </w:rPr>
        <w:t xml:space="preserve">Cervimab (Anti-PD-1 Monoclonal Antibody)</w:t>
      </w:r>
    </w:p>
    <w:p>
      <w:pPr>
        <w:spacing w:after="8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IND Number:</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IND 123456</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Drug:</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Cervimab (anti-PD-1 monoclonal antibody)</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Indication: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dMMR/MSI-H Metastatic Colorectal Cancer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Phase: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Phase 2</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Document ID:</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CERVI-AR-002</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Version: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Version 1.0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Date: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October 15, 2024</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Sponsor:</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Oncovance Therapeutics, Inc.</w:t>
            </w:r>
          </w:p>
        </w:tc>
      </w:tr>
    </w:tbl>
    <w:p>
      <w:pPr>
        <w:spacing w:after="240"/>
      </w:pPr>
      <w:r>
        <w:rPr>
          <w:sz w:val="22"/>
          <w:szCs w:val="22"/>
        </w:rPr>
        <w:t xml:space="preserve"/>
      </w:r>
    </w:p>
    <w:p>
      <w:pPr>
        <w:pBdr>
          <w:top w:val="single" w:color="C55A11" w:sz="6" w:space="1"/>
        </w:pBdr>
        <w:spacing w:after="80"/>
        <w:jc w:val="center"/>
      </w:pPr>
      <w:r>
        <w:rPr>
          <w:rFonts w:ascii="Arial" w:cs="Arial" w:eastAsia="Arial" w:hAnsi="Arial"/>
          <w:b/>
          <w:bCs/>
          <w:color w:val="C55A11"/>
          <w:sz w:val="18"/>
          <w:szCs w:val="18"/>
        </w:rPr>
        <w:t xml:space="preserve">CONFIDENTIAL — FOR REGULATORY PURPOSES ONLY</w:t>
      </w:r>
    </w:p>
    <w:p>
      <w:r>
        <w:br w:type="page"/>
      </w:r>
    </w:p>
    <w:p>
      <w:pPr>
        <w:pStyle w:val="Heading1"/>
        <w:spacing w:before="360" w:after="180"/>
      </w:pPr>
      <w:r>
        <w:rPr>
          <w:rFonts w:ascii="Arial" w:cs="Arial" w:eastAsia="Arial" w:hAnsi="Arial"/>
          <w:b/>
          <w:bCs/>
          <w:color w:val="1F3864"/>
          <w:sz w:val="32"/>
          <w:szCs w:val="32"/>
        </w:rPr>
        <w:t xml:space="preserve">1. INTRODUCTION AND REGULATORY CONTEXT</w:t>
      </w:r>
    </w:p>
    <w:p>
      <w:pPr>
        <w:spacing w:after="120"/>
        <w:jc w:val="left"/>
      </w:pPr>
      <w:r>
        <w:rPr>
          <w:rFonts w:ascii="Arial" w:cs="Arial" w:eastAsia="Arial" w:hAnsi="Arial"/>
          <w:b w:val="false"/>
          <w:bCs w:val="false"/>
          <w:i w:val="false"/>
          <w:iCs w:val="false"/>
          <w:color w:val="000000"/>
          <w:sz w:val="22"/>
          <w:szCs w:val="22"/>
        </w:rPr>
        <w:t xml:space="preserve">This IND Annual Report (AR) is submitted pursuant to 21 CFR 312.33 and covers the reporting period from October 1, 2023, through September 30, 2024. This report summarizes all clinical, preclinical, manufacturing, and safety information accumulated during Phase 2 development of Cervimab in patients with deficient mismatch repair (dMMR) / microsatellite instability-high (MSI-H) metastatic colorectal cancer (mCRC).</w:t>
      </w:r>
    </w:p>
    <w:p>
      <w:pPr>
        <w:spacing w:after="120"/>
        <w:jc w:val="left"/>
      </w:pPr>
      <w:r>
        <w:rPr>
          <w:rFonts w:ascii="Arial" w:cs="Arial" w:eastAsia="Arial" w:hAnsi="Arial"/>
          <w:b w:val="false"/>
          <w:bCs w:val="false"/>
          <w:i w:val="false"/>
          <w:iCs w:val="false"/>
          <w:color w:val="000000"/>
          <w:sz w:val="22"/>
          <w:szCs w:val="22"/>
        </w:rPr>
        <w:t xml:space="preserve">Regulatory references: 21 CFR Part 312 (IND regulations), ICH E6(R2) (GCP), ICH E3 (CSR structure), FDA Guidance for Industry: IND Annual Reports (2018).</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2. TITLE PAGE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w:t>
            </w:r>
          </w:p>
        </w:tc>
        <w:tc>
          <w:tcPr>
            <w:tcW w:type="dxa" w:w="636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 Number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 123456</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Drug Name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Drug Class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Humanized IgG4 anti-PD-1 monoclonal antibody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Route of Administration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Intravenous (IV) infusion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Indication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dMMR/MSI-H metastatic colorectal cancer (2L+)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Phase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Phase 2 (ongoing)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Sponsor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Oncovance Therapeutics, Inc.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Sponsor Address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500 Innovation Boulevard, Cambridge, MA 02139</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Responsible Medical Officer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Sarah Chen, MD, PhD — Chief Medical Officer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Annual Report Period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October 1, 2023 – September 30, 2024</w:t>
            </w:r>
          </w:p>
        </w:tc>
      </w:tr>
    </w:tbl>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3. INDIVIDUAL STUDY INFORMATION</w:t>
      </w:r>
    </w:p>
    <w:p>
      <w:pPr>
        <w:pStyle w:val="Heading2"/>
        <w:spacing w:before="240" w:after="120"/>
      </w:pPr>
      <w:r>
        <w:rPr>
          <w:rFonts w:ascii="Arial" w:cs="Arial" w:eastAsia="Arial" w:hAnsi="Arial"/>
          <w:b/>
          <w:bCs/>
          <w:color w:val="2E5FA3"/>
          <w:sz w:val="26"/>
          <w:szCs w:val="26"/>
        </w:rPr>
        <w:t xml:space="preserve">3.1 Study CERVI-201 — Primary Phase 2 Trial</w:t>
      </w:r>
    </w:p>
    <w:p>
      <w:pPr>
        <w:spacing w:after="120"/>
        <w:jc w:val="left"/>
      </w:pPr>
      <w:r>
        <w:rPr>
          <w:rFonts w:ascii="Arial" w:cs="Arial" w:eastAsia="Arial" w:hAnsi="Arial"/>
          <w:b w:val="false"/>
          <w:bCs w:val="false"/>
          <w:i w:val="false"/>
          <w:iCs w:val="false"/>
          <w:color w:val="000000"/>
          <w:sz w:val="22"/>
          <w:szCs w:val="22"/>
        </w:rPr>
        <w:t xml:space="preserve">Title: A Phase 2, Open-Label, Single-Arm Study of Cervimab Monotherapy in Patients with Previously Treated dMMR/MSI-H Metastatic Colorectal Cancer</w:t>
      </w:r>
    </w:p>
    <w:p>
      <w:pPr>
        <w:spacing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636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ClinicalTrials.gov</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NCT0XXXXXXX</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EudraCT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2023-XXXXXX-XX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Study Design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 open-label, single-arm, multicenter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Primary Endpoint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Objective response rate (ORR) per RECIST v1.1 by blinded IRC</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Key Secondary Endpoints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DOR, PFS, OS, DCR, safety, PK, biomarkers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Target Enrollment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110 patients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Enrolled (as of Sep 30, 2024)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89 patients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Active/Ongoing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72 patients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Completed Treatment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 patients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Discontinued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 patients (3 AE, 1 withdrawal, 1 PD)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Study Sites (US)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 sites activated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Dose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Cervimab 200 mg IV Q3W</w:t>
            </w:r>
          </w:p>
        </w:tc>
      </w:tr>
    </w:tbl>
    <w:p>
      <w:pPr>
        <w:spacing w:after="120"/>
      </w:pPr>
      <w:r>
        <w:rPr>
          <w:sz w:val="22"/>
          <w:szCs w:val="22"/>
        </w:rPr>
        <w:t xml:space="preserve"/>
      </w:r>
    </w:p>
    <w:p>
      <w:pPr>
        <w:pStyle w:val="Heading2"/>
        <w:spacing w:before="240" w:after="120"/>
      </w:pPr>
      <w:r>
        <w:rPr>
          <w:rFonts w:ascii="Arial" w:cs="Arial" w:eastAsia="Arial" w:hAnsi="Arial"/>
          <w:b/>
          <w:bCs/>
          <w:color w:val="2E5FA3"/>
          <w:sz w:val="26"/>
          <w:szCs w:val="26"/>
        </w:rPr>
        <w:t xml:space="preserve">3.2 Efficacy Interim Results (Data Cut: September 1, 2024)</w:t>
      </w:r>
    </w:p>
    <w:p>
      <w:pPr>
        <w:spacing w:after="120"/>
        <w:jc w:val="left"/>
      </w:pPr>
      <w:r>
        <w:rPr>
          <w:rFonts w:ascii="Arial" w:cs="Arial" w:eastAsia="Arial" w:hAnsi="Arial"/>
          <w:b w:val="false"/>
          <w:bCs w:val="false"/>
          <w:i w:val="false"/>
          <w:iCs w:val="false"/>
          <w:color w:val="000000"/>
          <w:sz w:val="22"/>
          <w:szCs w:val="22"/>
        </w:rPr>
        <w:t xml:space="preserve">The following results represent an interim analysis with a median follow-up of 8.4 months. Results are preliminary and subject to change.</w:t>
      </w:r>
    </w:p>
    <w:p>
      <w:pPr>
        <w:spacing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293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 (95% CI)</w:t>
            </w:r>
          </w:p>
        </w:tc>
        <w:tc>
          <w:tcPr>
            <w:tcW w:type="dxa" w:w="293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 Evaluable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Objective Response Rate (ORR)</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42.7% (32.0–53.9%)</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Complete Response (CR)</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Partial Response (PR)</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34.1%</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Stable Disease (SD)</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28.0%</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Disease Control Rate (DCR)</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70.7%</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Median Duration of Response</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Not reached (NR)</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35 responders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Median PFS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9.8 months (7.2–NR)</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Median OS</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Not reached</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89</w:t>
            </w:r>
          </w:p>
        </w:tc>
      </w:tr>
    </w:tbl>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4. SUMMARY OF SAFETY INFORMATION</w:t>
      </w:r>
    </w:p>
    <w:p>
      <w:pPr>
        <w:pStyle w:val="Heading2"/>
        <w:spacing w:before="240" w:after="120"/>
      </w:pPr>
      <w:r>
        <w:rPr>
          <w:rFonts w:ascii="Arial" w:cs="Arial" w:eastAsia="Arial" w:hAnsi="Arial"/>
          <w:b/>
          <w:bCs/>
          <w:color w:val="2E5FA3"/>
          <w:sz w:val="26"/>
          <w:szCs w:val="26"/>
        </w:rPr>
        <w:t xml:space="preserve">4.1 Adverse Events Summary</w:t>
      </w:r>
    </w:p>
    <w:p>
      <w:pPr>
        <w:spacing w:after="120"/>
        <w:jc w:val="left"/>
      </w:pPr>
      <w:r>
        <w:rPr>
          <w:rFonts w:ascii="Arial" w:cs="Arial" w:eastAsia="Arial" w:hAnsi="Arial"/>
          <w:b w:val="false"/>
          <w:bCs w:val="false"/>
          <w:i w:val="false"/>
          <w:iCs w:val="false"/>
          <w:color w:val="000000"/>
          <w:sz w:val="22"/>
          <w:szCs w:val="22"/>
        </w:rPr>
        <w:t xml:space="preserve">All 89 enrolled patients were included in the safety analysis set. The safety profile of Cervimab is consistent with the known class effects of PD-1 inhibitors. No new or unexpected safety signals were identified during this reporting period.</w:t>
      </w:r>
    </w:p>
    <w:p>
      <w:pPr>
        <w:spacing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Adverse Event Category</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Any Grade
n (%)</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3
n (%)</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4/5
n (%)</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Any adverse event</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85 (95.5%)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28 (31.5%)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 (6.7%)</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Any treatment-related AE (TRAE)</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74 (83.1%)</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18 (20.2%)</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(3.4%)</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Immune-related AEs (irAEs)</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41 (46.1%)</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 (10.1%)</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(2.2%)</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AEs leading to discontinuation</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(3.4%)</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(3.4%)</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 (0%)</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AEs leading to dose delay</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 (12.4%)</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(9.0%)</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(2.2%)</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Serious adverse events (SAEs)</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22 (24.7%)</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14 (15.7%)</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 (6.7%)</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Treatment-related SAEs</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 (10.1%)</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 (7.9%)</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(2.2%)</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Deaths (any cause)</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 (4.5%)</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Deaths (treatment-related)</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(0%)</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sz w:val="22"/>
          <w:szCs w:val="22"/>
        </w:rPr>
        <w:t xml:space="preserve"/>
      </w:r>
    </w:p>
    <w:p>
      <w:pPr>
        <w:pStyle w:val="Heading2"/>
        <w:spacing w:before="240" w:after="120"/>
      </w:pPr>
      <w:r>
        <w:rPr>
          <w:rFonts w:ascii="Arial" w:cs="Arial" w:eastAsia="Arial" w:hAnsi="Arial"/>
          <w:b/>
          <w:bCs/>
          <w:color w:val="2E5FA3"/>
          <w:sz w:val="26"/>
          <w:szCs w:val="26"/>
        </w:rPr>
        <w:t xml:space="preserve">4.2 Most Frequent Treatment-Related Adverse Events (≥10% Any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Preferred Term (MedDRA)</w:t>
            </w:r>
          </w:p>
        </w:tc>
        <w:tc>
          <w:tcPr>
            <w:tcW w:type="dxa" w:w="16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Any Grade
n (%)</w:t>
            </w:r>
          </w:p>
        </w:tc>
        <w:tc>
          <w:tcPr>
            <w:tcW w:type="dxa" w:w="16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3
n (%)</w:t>
            </w:r>
          </w:p>
        </w:tc>
        <w:tc>
          <w:tcPr>
            <w:tcW w:type="dxa" w:w="16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4
n (%)</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Fatigue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38 (42.7%)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(4.5%)</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Diarrhea</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29 (32.6%)</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(3.4%)</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Pruritus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 (27.0%)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(1.1%)</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Nausea</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21 (23.6%)</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 (2.2%)</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Rash (all types)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19 (21.3%)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(2.2%)</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Hypothyroidism</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17 (19.1%)</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 (0%)</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Decreased appetite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(16.9%)</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(1.1%)</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Immune-mediated colitis</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 (10.1%)</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 (4.5%)</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 (1.1%)</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Immune-mediated hepatitis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 (7.9%)</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(3.4%)</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(1.1%)</w:t>
            </w:r>
          </w:p>
        </w:tc>
      </w:tr>
      <w:tr>
        <w:tc>
          <w:tcPr>
            <w:tcW w:type="dxa" w:w="4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Infusion-related reaction</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 (10.1%)</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 (0%)</w:t>
            </w:r>
          </w:p>
        </w:tc>
        <w:tc>
          <w:tcPr>
            <w:tcW w:type="dxa" w:w="1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bl>
    <w:p>
      <w:pPr>
        <w:spacing w:after="120"/>
      </w:pPr>
      <w:r>
        <w:rPr>
          <w:sz w:val="22"/>
          <w:szCs w:val="22"/>
        </w:rPr>
        <w:t xml:space="preserve"/>
      </w:r>
    </w:p>
    <w:p>
      <w:pPr>
        <w:pStyle w:val="Heading2"/>
        <w:spacing w:before="240" w:after="120"/>
      </w:pPr>
      <w:r>
        <w:rPr>
          <w:rFonts w:ascii="Arial" w:cs="Arial" w:eastAsia="Arial" w:hAnsi="Arial"/>
          <w:b/>
          <w:bCs/>
          <w:color w:val="2E5FA3"/>
          <w:sz w:val="26"/>
          <w:szCs w:val="26"/>
        </w:rPr>
        <w:t xml:space="preserve">4.3 Deaths</w:t>
      </w:r>
    </w:p>
    <w:p>
      <w:pPr>
        <w:spacing w:after="120"/>
        <w:jc w:val="left"/>
      </w:pPr>
      <w:r>
        <w:rPr>
          <w:rFonts w:ascii="Arial" w:cs="Arial" w:eastAsia="Arial" w:hAnsi="Arial"/>
          <w:b w:val="false"/>
          <w:bCs w:val="false"/>
          <w:i w:val="false"/>
          <w:iCs w:val="false"/>
          <w:color w:val="000000"/>
          <w:sz w:val="22"/>
          <w:szCs w:val="22"/>
        </w:rPr>
        <w:t xml:space="preserve">Four patients died during the reporting period. None of the deaths were attributed to Cervimab:</w:t>
      </w:r>
    </w:p>
    <w:p>
      <w:pPr>
        <w:pStyle w:val="ListParagraph"/>
        <w:numPr>
          <w:ilvl w:val="0"/>
          <w:numId w:val="2"/>
        </w:numPr>
        <w:spacing w:after="60"/>
      </w:pPr>
      <w:r>
        <w:rPr>
          <w:rFonts w:ascii="Arial" w:cs="Arial" w:eastAsia="Arial" w:hAnsi="Arial"/>
          <w:sz w:val="22"/>
          <w:szCs w:val="22"/>
        </w:rPr>
        <w:t xml:space="preserve">Patient 201-012: Disease progression (CRC) — Day 142</w:t>
      </w:r>
    </w:p>
    <w:p>
      <w:pPr>
        <w:pStyle w:val="ListParagraph"/>
        <w:numPr>
          <w:ilvl w:val="0"/>
          <w:numId w:val="2"/>
        </w:numPr>
        <w:spacing w:after="60"/>
      </w:pPr>
      <w:r>
        <w:rPr>
          <w:rFonts w:ascii="Arial" w:cs="Arial" w:eastAsia="Arial" w:hAnsi="Arial"/>
          <w:sz w:val="22"/>
          <w:szCs w:val="22"/>
        </w:rPr>
        <w:t xml:space="preserve">Patient 201-031: Disease progression (CRC) — Day 187</w:t>
      </w:r>
    </w:p>
    <w:p>
      <w:pPr>
        <w:pStyle w:val="ListParagraph"/>
        <w:numPr>
          <w:ilvl w:val="0"/>
          <w:numId w:val="2"/>
        </w:numPr>
        <w:spacing w:after="60"/>
      </w:pPr>
      <w:r>
        <w:rPr>
          <w:rFonts w:ascii="Arial" w:cs="Arial" w:eastAsia="Arial" w:hAnsi="Arial"/>
          <w:sz w:val="22"/>
          <w:szCs w:val="22"/>
        </w:rPr>
        <w:t xml:space="preserve">Patient 201-047: Pulmonary embolism, assessed as unrelated to study drug — Day 203</w:t>
      </w:r>
    </w:p>
    <w:p>
      <w:pPr>
        <w:pStyle w:val="ListParagraph"/>
        <w:numPr>
          <w:ilvl w:val="0"/>
          <w:numId w:val="2"/>
        </w:numPr>
        <w:spacing w:after="60"/>
      </w:pPr>
      <w:r>
        <w:rPr>
          <w:rFonts w:ascii="Arial" w:cs="Arial" w:eastAsia="Arial" w:hAnsi="Arial"/>
          <w:sz w:val="22"/>
          <w:szCs w:val="22"/>
        </w:rPr>
        <w:t xml:space="preserve">Patient 201-058: Acute myocardial infarction, pre-existing cardiovascular risk, unrelated — Day 94</w:t>
      </w:r>
    </w:p>
    <w:p>
      <w:pPr>
        <w:spacing w:after="120"/>
      </w:pPr>
      <w:r>
        <w:rPr>
          <w:sz w:val="22"/>
          <w:szCs w:val="22"/>
        </w:rPr>
        <w:t xml:space="preserve"/>
      </w:r>
    </w:p>
    <w:p>
      <w:pPr>
        <w:pStyle w:val="Heading2"/>
        <w:spacing w:before="240" w:after="120"/>
      </w:pPr>
      <w:r>
        <w:rPr>
          <w:rFonts w:ascii="Arial" w:cs="Arial" w:eastAsia="Arial" w:hAnsi="Arial"/>
          <w:b/>
          <w:bCs/>
          <w:color w:val="2E5FA3"/>
          <w:sz w:val="26"/>
          <w:szCs w:val="26"/>
        </w:rPr>
        <w:t xml:space="preserve">4.4 Serious Adverse Events Narratives Summary</w:t>
      </w:r>
    </w:p>
    <w:p>
      <w:pPr>
        <w:spacing w:after="120"/>
        <w:jc w:val="left"/>
      </w:pPr>
      <w:r>
        <w:rPr>
          <w:rFonts w:ascii="Arial" w:cs="Arial" w:eastAsia="Arial" w:hAnsi="Arial"/>
          <w:b w:val="false"/>
          <w:bCs w:val="false"/>
          <w:i w:val="false"/>
          <w:iCs w:val="false"/>
          <w:color w:val="000000"/>
          <w:sz w:val="22"/>
          <w:szCs w:val="22"/>
        </w:rPr>
        <w:t xml:space="preserve">Twenty-two SAEs were reported across 22 patients. Selected narratives for treatment-related Grade ≥3 SAEs are summarized in Appendix A. SAE causality assessments were reviewed by the Medical Monitor and are consistent with the known PD-1 inhibitor safety profile.</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5. PRECLINICAL STUDIES</w:t>
      </w:r>
    </w:p>
    <w:p>
      <w:pPr>
        <w:spacing w:after="120"/>
        <w:jc w:val="left"/>
      </w:pPr>
      <w:r>
        <w:rPr>
          <w:rFonts w:ascii="Arial" w:cs="Arial" w:eastAsia="Arial" w:hAnsi="Arial"/>
          <w:b w:val="false"/>
          <w:bCs w:val="false"/>
          <w:i w:val="false"/>
          <w:iCs w:val="false"/>
          <w:color w:val="000000"/>
          <w:sz w:val="22"/>
          <w:szCs w:val="22"/>
        </w:rPr>
        <w:t xml:space="preserve">No new preclinical studies were initiated or completed during the current reporting period specifically for Cervimab. Previously submitted chronic toxicology data (NHP 26-week repeat-dose), reproductive toxicology, and genotoxicity studies remain the basis for ongoing safety monitoring. No new non-clinical findings require updates to the Investigator Brochure (IB) beyond those captured in IB Version 3.0 (July 2024).</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6. MANUFACTURING CHANGES</w:t>
      </w:r>
    </w:p>
    <w:p>
      <w:pPr>
        <w:spacing w:after="120"/>
        <w:jc w:val="left"/>
      </w:pPr>
      <w:r>
        <w:rPr>
          <w:rFonts w:ascii="Arial" w:cs="Arial" w:eastAsia="Arial" w:hAnsi="Arial"/>
          <w:b w:val="false"/>
          <w:bCs w:val="false"/>
          <w:i w:val="false"/>
          <w:iCs w:val="false"/>
          <w:color w:val="000000"/>
          <w:sz w:val="22"/>
          <w:szCs w:val="22"/>
        </w:rPr>
        <w:t xml:space="preserve">One manufacturing change was implemented during this reporting period:</w:t>
      </w:r>
    </w:p>
    <w:p>
      <w:pPr>
        <w:pStyle w:val="ListParagraph"/>
        <w:numPr>
          <w:ilvl w:val="0"/>
          <w:numId w:val="2"/>
        </w:numPr>
        <w:spacing w:after="60"/>
      </w:pPr>
      <w:r>
        <w:rPr>
          <w:rFonts w:ascii="Arial" w:cs="Arial" w:eastAsia="Arial" w:hAnsi="Arial"/>
          <w:sz w:val="22"/>
          <w:szCs w:val="22"/>
        </w:rPr>
        <w:t xml:space="preserve">Drug substance manufacturing scale-up from 500 L to 2,000 L bioreactor (approved via CBE-30 supplement, submitted August 2024). Comparability studies confirmed no impact on drug product quality attributes, pharmacological activity, or safety profile.</w:t>
      </w:r>
    </w:p>
    <w:p>
      <w:pPr>
        <w:spacing w:after="120"/>
        <w:jc w:val="left"/>
      </w:pPr>
      <w:r>
        <w:rPr>
          <w:rFonts w:ascii="Arial" w:cs="Arial" w:eastAsia="Arial" w:hAnsi="Arial"/>
          <w:b w:val="false"/>
          <w:bCs w:val="false"/>
          <w:i w:val="false"/>
          <w:iCs w:val="false"/>
          <w:color w:val="000000"/>
          <w:sz w:val="22"/>
          <w:szCs w:val="22"/>
        </w:rPr>
        <w:t xml:space="preserve">Certificate of Analysis and comparability data are included in Appendix B.</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7. INVESTIGATOR BROCHURE UPDATES</w:t>
      </w:r>
    </w:p>
    <w:p>
      <w:pPr>
        <w:spacing w:after="120"/>
        <w:jc w:val="left"/>
      </w:pPr>
      <w:r>
        <w:rPr>
          <w:rFonts w:ascii="Arial" w:cs="Arial" w:eastAsia="Arial" w:hAnsi="Arial"/>
          <w:b w:val="false"/>
          <w:bCs w:val="false"/>
          <w:i w:val="false"/>
          <w:iCs w:val="false"/>
          <w:color w:val="000000"/>
          <w:sz w:val="22"/>
          <w:szCs w:val="22"/>
        </w:rPr>
        <w:t xml:space="preserve">Investigator Brochure Version 3.0 was issued on July 15, 2024. Key updates from Version 2.1 include:</w:t>
      </w:r>
    </w:p>
    <w:p>
      <w:pPr>
        <w:pStyle w:val="ListParagraph"/>
        <w:numPr>
          <w:ilvl w:val="0"/>
          <w:numId w:val="2"/>
        </w:numPr>
        <w:spacing w:after="60"/>
      </w:pPr>
      <w:r>
        <w:rPr>
          <w:rFonts w:ascii="Arial" w:cs="Arial" w:eastAsia="Arial" w:hAnsi="Arial"/>
          <w:sz w:val="22"/>
          <w:szCs w:val="22"/>
        </w:rPr>
        <w:t xml:space="preserve">Addition of immune-mediated myocarditis as a rare but potentially serious irAE based on spontaneous post-marketing reports from a related PD-1 inhibitor (class effect); 2 cases total in Cervimab clinical program (non-serious, resolved with corticosteroids)</w:t>
      </w:r>
    </w:p>
    <w:p>
      <w:pPr>
        <w:pStyle w:val="ListParagraph"/>
        <w:numPr>
          <w:ilvl w:val="0"/>
          <w:numId w:val="2"/>
        </w:numPr>
        <w:spacing w:after="60"/>
      </w:pPr>
      <w:r>
        <w:rPr>
          <w:rFonts w:ascii="Arial" w:cs="Arial" w:eastAsia="Arial" w:hAnsi="Arial"/>
          <w:sz w:val="22"/>
          <w:szCs w:val="22"/>
        </w:rPr>
        <w:t xml:space="preserve">Revised guidance on corticosteroid management algorithms for Grade 2–4 irAEs</w:t>
      </w:r>
    </w:p>
    <w:p>
      <w:pPr>
        <w:pStyle w:val="ListParagraph"/>
        <w:numPr>
          <w:ilvl w:val="0"/>
          <w:numId w:val="2"/>
        </w:numPr>
        <w:spacing w:after="60"/>
      </w:pPr>
      <w:r>
        <w:rPr>
          <w:rFonts w:ascii="Arial" w:cs="Arial" w:eastAsia="Arial" w:hAnsi="Arial"/>
          <w:sz w:val="22"/>
          <w:szCs w:val="22"/>
        </w:rPr>
        <w:t xml:space="preserve">Updated pharmacokinetic summary incorporating CERVI-201 interim PK data</w:t>
      </w:r>
    </w:p>
    <w:p>
      <w:pPr>
        <w:pStyle w:val="ListParagraph"/>
        <w:numPr>
          <w:ilvl w:val="0"/>
          <w:numId w:val="2"/>
        </w:numPr>
        <w:spacing w:after="60"/>
      </w:pPr>
      <w:r>
        <w:rPr>
          <w:rFonts w:ascii="Arial" w:cs="Arial" w:eastAsia="Arial" w:hAnsi="Arial"/>
          <w:sz w:val="22"/>
          <w:szCs w:val="22"/>
        </w:rPr>
        <w:t xml:space="preserve">Addition of biomarker section summarizing PD-L1 CPS correlation data</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8. PROTOCOL AMENDMENTS</w:t>
      </w:r>
    </w:p>
    <w:p>
      <w:pPr>
        <w:spacing w:after="120"/>
        <w:jc w:val="left"/>
      </w:pPr>
      <w:r>
        <w:rPr>
          <w:rFonts w:ascii="Arial" w:cs="Arial" w:eastAsia="Arial" w:hAnsi="Arial"/>
          <w:b w:val="false"/>
          <w:bCs w:val="false"/>
          <w:i w:val="false"/>
          <w:iCs w:val="false"/>
          <w:color w:val="000000"/>
          <w:sz w:val="22"/>
          <w:szCs w:val="22"/>
        </w:rPr>
        <w:t xml:space="preserve">Two protocol amendments were filed during this reporting period:</w:t>
      </w:r>
    </w:p>
    <w:p>
      <w:pPr>
        <w:pStyle w:val="ListParagraph"/>
        <w:numPr>
          <w:ilvl w:val="0"/>
          <w:numId w:val="2"/>
        </w:numPr>
        <w:spacing w:after="60"/>
      </w:pPr>
      <w:r>
        <w:rPr>
          <w:rFonts w:ascii="Arial" w:cs="Arial" w:eastAsia="Arial" w:hAnsi="Arial"/>
          <w:sz w:val="22"/>
          <w:szCs w:val="22"/>
        </w:rPr>
        <w:t xml:space="preserve">Amendment 2 (January 2024): Expansion of inclusion criteria to permit patients with controlled autoimmune disease on stable low-dose immunosuppression (prednisone ≤10 mg/day equivalent). Implemented following safety data review at Protocol Review Committee meeting.</w:t>
      </w:r>
    </w:p>
    <w:p>
      <w:pPr>
        <w:pStyle w:val="ListParagraph"/>
        <w:numPr>
          <w:ilvl w:val="0"/>
          <w:numId w:val="2"/>
        </w:numPr>
        <w:spacing w:after="60"/>
      </w:pPr>
      <w:r>
        <w:rPr>
          <w:rFonts w:ascii="Arial" w:cs="Arial" w:eastAsia="Arial" w:hAnsi="Arial"/>
          <w:sz w:val="22"/>
          <w:szCs w:val="22"/>
        </w:rPr>
        <w:t xml:space="preserve">Amendment 3 (July 2024): Added optional biopsy substudy for exploratory tumor microenvironment biomarker analysis. No changes to dosing or safety monitoring.</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9. PUBLICATIONS AND PRESENTATIONS</w:t>
      </w:r>
    </w:p>
    <w:p>
      <w:pPr>
        <w:spacing w:after="120"/>
        <w:jc w:val="left"/>
      </w:pPr>
      <w:r>
        <w:rPr>
          <w:rFonts w:ascii="Arial" w:cs="Arial" w:eastAsia="Arial" w:hAnsi="Arial"/>
          <w:b w:val="false"/>
          <w:bCs w:val="false"/>
          <w:i w:val="false"/>
          <w:iCs w:val="false"/>
          <w:color w:val="000000"/>
          <w:sz w:val="22"/>
          <w:szCs w:val="22"/>
        </w:rPr>
        <w:t xml:space="preserve">The following scientific outputs were generated during the reporting period:</w:t>
      </w:r>
    </w:p>
    <w:p>
      <w:pPr>
        <w:pStyle w:val="ListParagraph"/>
        <w:numPr>
          <w:ilvl w:val="0"/>
          <w:numId w:val="2"/>
        </w:numPr>
        <w:spacing w:after="60"/>
      </w:pPr>
      <w:r>
        <w:rPr>
          <w:rFonts w:ascii="Arial" w:cs="Arial" w:eastAsia="Arial" w:hAnsi="Arial"/>
          <w:sz w:val="22"/>
          <w:szCs w:val="22"/>
        </w:rPr>
        <w:t xml:space="preserve">Chen S, et al. Phase 2 interim results of Cervimab in dMMR/MSI-H mCRC. Oral presentation. American Society of Clinical Oncology (ASCO) Annual Meeting, June 2024. Abstract #4127.</w:t>
      </w:r>
    </w:p>
    <w:p>
      <w:pPr>
        <w:pStyle w:val="ListParagraph"/>
        <w:numPr>
          <w:ilvl w:val="0"/>
          <w:numId w:val="2"/>
        </w:numPr>
        <w:spacing w:after="60"/>
      </w:pPr>
      <w:r>
        <w:rPr>
          <w:rFonts w:ascii="Arial" w:cs="Arial" w:eastAsia="Arial" w:hAnsi="Arial"/>
          <w:sz w:val="22"/>
          <w:szCs w:val="22"/>
        </w:rPr>
        <w:t xml:space="preserve">Johnson M, et al. PD-1 blockade with Cervimab: pharmacokinetics and exposure-response analysis. Poster. American Association for Cancer Research (AACR) Annual Meeting, April 2024.</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10. SUMMARY AND CONCLUSIONS</w:t>
      </w:r>
    </w:p>
    <w:p>
      <w:pPr>
        <w:spacing w:after="120"/>
        <w:jc w:val="left"/>
      </w:pPr>
      <w:r>
        <w:rPr>
          <w:rFonts w:ascii="Arial" w:cs="Arial" w:eastAsia="Arial" w:hAnsi="Arial"/>
          <w:b w:val="false"/>
          <w:bCs w:val="false"/>
          <w:i w:val="false"/>
          <w:iCs w:val="false"/>
          <w:color w:val="000000"/>
          <w:sz w:val="22"/>
          <w:szCs w:val="22"/>
        </w:rPr>
        <w:t xml:space="preserve">Cervimab continues to demonstrate a favorable benefit-risk profile in patients with dMMR/MSI-H mCRC. The interim ORR of 42.7% compares favorably to historical data in this population. The safety profile is consistent with the known class effects of PD-1 inhibitors, with no treatment-related deaths and manageable irAEs. Enrollment is proceeding on schedule, with completion anticipated Q1 2025. The program remains in good standing with all regulatory obligations fulfilled.</w:t>
      </w:r>
    </w:p>
    <w:p>
      <w:pPr>
        <w:spacing w:after="120"/>
      </w:pPr>
      <w:r>
        <w:rPr>
          <w:sz w:val="22"/>
          <w:szCs w:val="22"/>
        </w:rPr>
        <w:t xml:space="preserve"/>
      </w:r>
    </w:p>
    <w:p>
      <w:pPr>
        <w:pBdr>
          <w:bottom w:val="single" w:color="4472C4" w:sz="4" w:space="1"/>
        </w:pBdr>
        <w:spacing w:before="60" w:after="60"/>
      </w:pPr>
    </w:p>
    <w:p>
      <w:pPr>
        <w:spacing w:after="120"/>
        <w:jc w:val="left"/>
      </w:pPr>
      <w:r>
        <w:rPr>
          <w:rFonts w:ascii="Arial" w:cs="Arial" w:eastAsia="Arial" w:hAnsi="Arial"/>
          <w:b w:val="false"/>
          <w:bCs w:val="false"/>
          <w:i w:val="false"/>
          <w:iCs w:val="false"/>
          <w:color w:val="595959"/>
          <w:sz w:val="18"/>
          <w:szCs w:val="18"/>
        </w:rPr>
        <w:t xml:space="preserve">Prepared by: Sarah Chen, MD, PhD — Chief Medical Officer, Oncovance Therapeutics, Inc.</w:t>
      </w:r>
    </w:p>
    <w:p>
      <w:pPr>
        <w:spacing w:after="120"/>
        <w:jc w:val="left"/>
      </w:pPr>
      <w:r>
        <w:rPr>
          <w:rFonts w:ascii="Arial" w:cs="Arial" w:eastAsia="Arial" w:hAnsi="Arial"/>
          <w:b w:val="false"/>
          <w:bCs w:val="false"/>
          <w:i w:val="false"/>
          <w:iCs w:val="false"/>
          <w:color w:val="595959"/>
          <w:sz w:val="18"/>
          <w:szCs w:val="18"/>
        </w:rPr>
        <w:t xml:space="preserve">Submission Date: October 15, 2024</w:t>
      </w:r>
    </w:p>
    <w:p>
      <w:pPr>
        <w:spacing w:after="120"/>
        <w:jc w:val="left"/>
      </w:pPr>
      <w:r>
        <w:rPr>
          <w:rFonts w:ascii="Arial" w:cs="Arial" w:eastAsia="Arial" w:hAnsi="Arial"/>
          <w:b/>
          <w:bCs/>
          <w:i w:val="false"/>
          <w:iCs w:val="false"/>
          <w:color w:val="C55A11"/>
          <w:sz w:val="18"/>
          <w:szCs w:val="18"/>
        </w:rPr>
        <w:t xml:space="preserve">This document is a draft example for regulatory training purposes only.</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pPr>
    <w:r>
      <w:rPr>
        <w:rFonts w:ascii="Arial" w:cs="Arial" w:eastAsia="Arial" w:hAnsi="Arial"/>
        <w:color w:val="595959"/>
        <w:sz w:val="16"/>
        <w:szCs w:val="16"/>
      </w:rPr>
      <w:t xml:space="preserve">Oncovance Therapeutics, Inc.  |  Draft Example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pPr>
    <w:r>
      <w:rPr>
        <w:rFonts w:ascii="Arial" w:cs="Arial" w:eastAsia="Arial" w:hAnsi="Arial"/>
        <w:color w:val="595959"/>
        <w:sz w:val="18"/>
        <w:szCs w:val="18"/>
      </w:rPr>
      <w:t xml:space="preserve">CERVIMAB  |  IND 123456  |  Phase 2</w:t>
    </w:r>
    <w:r>
      <w:rPr>
        <w:rFonts w:ascii="Arial" w:cs="Arial" w:eastAsia="Arial" w:hAnsi="Arial"/>
        <w:sz w:val="18"/>
        <w:szCs w:val="18"/>
      </w:rPr>
      <w:t xml:space="preserve">	</w:t>
    </w:r>
    <w:r>
      <w:rPr>
        <w:rFonts w:ascii="Arial" w:cs="Arial" w:eastAsia="Arial" w:hAnsi="Arial"/>
        <w:b/>
        <w:bCs/>
        <w:color w:val="C55A1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2026-03-16T13:54:59.820Z</dcterms:created>
  <dcterms:modified xsi:type="dcterms:W3CDTF">2026-03-16T13:54:59.821Z</dcterms:modified>
</cp:coreProperties>
</file>

<file path=docProps/custom.xml><?xml version="1.0" encoding="utf-8"?>
<Properties xmlns="http://schemas.openxmlformats.org/officeDocument/2006/custom-properties" xmlns:vt="http://schemas.openxmlformats.org/officeDocument/2006/docPropsVTypes"/>
</file>