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20"/>
        <w:jc w:val="center"/>
      </w:pPr>
      <w:r>
        <w:rPr>
          <w:rFonts w:ascii="Arial" w:cs="Arial" w:eastAsia="Arial" w:hAnsi="Arial"/>
          <w:b/>
          <w:bCs/>
          <w:color w:val="1F3864"/>
          <w:sz w:val="48"/>
          <w:szCs w:val="48"/>
        </w:rPr>
        <w:t xml:space="preserve">SAFETY UPDATE REPORT (SUR)</w:t>
      </w:r>
    </w:p>
    <w:p>
      <w:pPr>
        <w:spacing w:after="80"/>
        <w:jc w:val="center"/>
      </w:pPr>
      <w:r>
        <w:rPr>
          <w:rFonts w:ascii="Arial" w:cs="Arial" w:eastAsia="Arial" w:hAnsi="Arial"/>
          <w:b/>
          <w:bCs/>
          <w:color w:val="2E5FA3"/>
          <w:sz w:val="28"/>
          <w:szCs w:val="28"/>
        </w:rPr>
        <w:t xml:space="preserve">Cervimab (Anti-PD-1 Monoclonal Antibody)</w:t>
      </w:r>
    </w:p>
    <w:p>
      <w:pPr>
        <w:spacing w:after="80"/>
      </w:pPr>
      <w:r>
        <w:rPr>
          <w:sz w:val="22"/>
          <w:szCs w:val="22"/>
        </w:rP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1F3864"/>
                <w:sz w:val="20"/>
                <w:szCs w:val="20"/>
              </w:rPr>
              <w:t xml:space="preserve">IND Number:</w:t>
            </w:r>
          </w:p>
        </w:tc>
        <w:tc>
          <w:tcPr>
            <w:tcW w:type="dxa" w:w="36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sz w:val="20"/>
                <w:szCs w:val="20"/>
              </w:rPr>
              <w:t xml:space="preserve">IND 123456</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1F3864"/>
                <w:sz w:val="20"/>
                <w:szCs w:val="20"/>
              </w:rPr>
              <w:t xml:space="preserve">Drug:</w:t>
            </w:r>
          </w:p>
        </w:tc>
        <w:tc>
          <w:tcPr>
            <w:tcW w:type="dxa" w:w="36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sz w:val="20"/>
                <w:szCs w:val="20"/>
              </w:rPr>
              <w:t xml:space="preserve">Cervimab (anti-PD-1 monoclonal antibody)</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1F3864"/>
                <w:sz w:val="20"/>
                <w:szCs w:val="20"/>
              </w:rPr>
              <w:t xml:space="preserve">Indication:</w:t>
            </w:r>
          </w:p>
        </w:tc>
        <w:tc>
          <w:tcPr>
            <w:tcW w:type="dxa" w:w="36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sz w:val="20"/>
                <w:szCs w:val="20"/>
              </w:rPr>
              <w:t xml:space="preserve">dMMR/MSI-H Metastatic Colorectal Cancer</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1F3864"/>
                <w:sz w:val="20"/>
                <w:szCs w:val="20"/>
              </w:rPr>
              <w:t xml:space="preserve">Phase:</w:t>
            </w:r>
          </w:p>
        </w:tc>
        <w:tc>
          <w:tcPr>
            <w:tcW w:type="dxa" w:w="36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sz w:val="20"/>
                <w:szCs w:val="20"/>
              </w:rPr>
              <w:t xml:space="preserve">Phase 2</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1F3864"/>
                <w:sz w:val="20"/>
                <w:szCs w:val="20"/>
              </w:rPr>
              <w:t xml:space="preserve">Document ID:</w:t>
            </w:r>
          </w:p>
        </w:tc>
        <w:tc>
          <w:tcPr>
            <w:tcW w:type="dxa" w:w="36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sz w:val="20"/>
                <w:szCs w:val="20"/>
              </w:rPr>
              <w:t xml:space="preserve">CERVI-SUR-003</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1F3864"/>
                <w:sz w:val="20"/>
                <w:szCs w:val="20"/>
              </w:rPr>
              <w:t xml:space="preserve">Version:</w:t>
            </w:r>
          </w:p>
        </w:tc>
        <w:tc>
          <w:tcPr>
            <w:tcW w:type="dxa" w:w="36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sz w:val="20"/>
                <w:szCs w:val="20"/>
              </w:rPr>
              <w:t xml:space="preserve">Version 1.0</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1F3864"/>
                <w:sz w:val="20"/>
                <w:szCs w:val="20"/>
              </w:rPr>
              <w:t xml:space="preserve">Date:</w:t>
            </w:r>
          </w:p>
        </w:tc>
        <w:tc>
          <w:tcPr>
            <w:tcW w:type="dxa" w:w="36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sz w:val="20"/>
                <w:szCs w:val="20"/>
              </w:rPr>
              <w:t xml:space="preserve">April 15, 2024</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1F3864"/>
                <w:sz w:val="20"/>
                <w:szCs w:val="20"/>
              </w:rPr>
              <w:t xml:space="preserve">Sponsor:</w:t>
            </w:r>
          </w:p>
        </w:tc>
        <w:tc>
          <w:tcPr>
            <w:tcW w:type="dxa" w:w="36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sz w:val="20"/>
                <w:szCs w:val="20"/>
              </w:rPr>
              <w:t xml:space="preserve">Oncovance Therapeutics, Inc.</w:t>
            </w:r>
          </w:p>
        </w:tc>
      </w:tr>
    </w:tbl>
    <w:p>
      <w:pPr>
        <w:spacing w:after="240"/>
      </w:pPr>
      <w:r>
        <w:rPr>
          <w:sz w:val="22"/>
          <w:szCs w:val="22"/>
        </w:rPr>
        <w:t xml:space="preserve"/>
      </w:r>
    </w:p>
    <w:p>
      <w:pPr>
        <w:pBdr>
          <w:top w:val="single" w:color="C55A11" w:sz="6" w:space="1"/>
        </w:pBdr>
        <w:spacing w:after="80"/>
        <w:jc w:val="center"/>
      </w:pPr>
      <w:r>
        <w:rPr>
          <w:rFonts w:ascii="Arial" w:cs="Arial" w:eastAsia="Arial" w:hAnsi="Arial"/>
          <w:b/>
          <w:bCs/>
          <w:color w:val="C55A11"/>
          <w:sz w:val="18"/>
          <w:szCs w:val="18"/>
        </w:rPr>
        <w:t xml:space="preserve">CONFIDENTIAL — FOR REGULATORY PURPOSES ONLY</w:t>
      </w:r>
    </w:p>
    <w:p>
      <w:r>
        <w:br w:type="page"/>
      </w:r>
    </w:p>
    <w:p>
      <w:pPr>
        <w:pStyle w:val="Heading1"/>
        <w:spacing w:before="360" w:after="180"/>
      </w:pPr>
      <w:r>
        <w:rPr>
          <w:rFonts w:ascii="Arial" w:cs="Arial" w:eastAsia="Arial" w:hAnsi="Arial"/>
          <w:b/>
          <w:bCs/>
          <w:color w:val="1F3864"/>
          <w:sz w:val="32"/>
          <w:szCs w:val="32"/>
        </w:rPr>
        <w:t xml:space="preserve">1. OVERVIEW AND PURPOSE</w:t>
      </w:r>
    </w:p>
    <w:p>
      <w:pPr>
        <w:spacing w:after="120"/>
        <w:jc w:val="left"/>
      </w:pPr>
      <w:r>
        <w:rPr>
          <w:rFonts w:ascii="Arial" w:cs="Arial" w:eastAsia="Arial" w:hAnsi="Arial"/>
          <w:b w:val="false"/>
          <w:bCs w:val="false"/>
          <w:i w:val="false"/>
          <w:iCs w:val="false"/>
          <w:color w:val="000000"/>
          <w:sz w:val="22"/>
          <w:szCs w:val="22"/>
        </w:rPr>
        <w:t xml:space="preserve">This Safety Update Report (SUR) is submitted pursuant to 21 CFR 312.32(c) and ICH E2F guidance. This report covers the period January 1, 2024 through March 31, 2024 (Q1 2024 reporting period). The purpose of this SUR is to provide FDA with an interim update on the accumulating safety database for Cervimab in the ongoing Phase 2 study CERVI-201.</w:t>
      </w:r>
    </w:p>
    <w:p>
      <w:pPr>
        <w:spacing w:after="120"/>
        <w:jc w:val="left"/>
      </w:pPr>
      <w:r>
        <w:rPr>
          <w:rFonts w:ascii="Arial" w:cs="Arial" w:eastAsia="Arial" w:hAnsi="Arial"/>
          <w:b w:val="false"/>
          <w:bCs w:val="false"/>
          <w:i w:val="false"/>
          <w:iCs w:val="false"/>
          <w:color w:val="000000"/>
          <w:sz w:val="22"/>
          <w:szCs w:val="22"/>
        </w:rPr>
        <w:t xml:space="preserve">This SUR is submitted because (1) the aggregate blinded safety data review identified a new potential signal for immune-mediated myocarditis; and (2) the sponsor is proactively updating the FDA per its pharmacovigilance commitment.</w:t>
      </w:r>
    </w:p>
    <w:p>
      <w:pPr>
        <w:spacing w:after="120"/>
      </w:pPr>
      <w:r>
        <w:rPr>
          <w:sz w:val="22"/>
          <w:szCs w:val="22"/>
        </w:rPr>
        <w:t xml:space="preserve"/>
      </w:r>
    </w:p>
    <w:p>
      <w:pPr>
        <w:pStyle w:val="Heading1"/>
        <w:spacing w:before="360" w:after="180"/>
      </w:pPr>
      <w:r>
        <w:rPr>
          <w:rFonts w:ascii="Arial" w:cs="Arial" w:eastAsia="Arial" w:hAnsi="Arial"/>
          <w:b/>
          <w:bCs/>
          <w:color w:val="1F3864"/>
          <w:sz w:val="32"/>
          <w:szCs w:val="32"/>
        </w:rPr>
        <w:t xml:space="preserve">2. CLINICAL DEVELOPMENT STATUS</w:t>
      </w:r>
    </w:p>
    <w:p>
      <w:pPr>
        <w:spacing w:after="120"/>
        <w:jc w:val="left"/>
      </w:pPr>
      <w:r>
        <w:rPr>
          <w:rFonts w:ascii="Arial" w:cs="Arial" w:eastAsia="Arial" w:hAnsi="Arial"/>
          <w:b w:val="false"/>
          <w:bCs w:val="false"/>
          <w:i w:val="false"/>
          <w:iCs w:val="false"/>
          <w:color w:val="000000"/>
          <w:sz w:val="22"/>
          <w:szCs w:val="22"/>
        </w:rPr>
        <w:t xml:space="preserve">As of March 31, 2024 (data cut), the following patients have been enrolled and/or treated: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5FA3" w:sz="1"/>
              <w:left w:val="single" w:color="2E5FA3" w:sz="1"/>
              <w:bottom w:val="single" w:color="2E5FA3" w:sz="1"/>
              <w:right w:val="single" w:color="2E5FA3"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Parameter</w:t>
            </w:r>
          </w:p>
        </w:tc>
        <w:tc>
          <w:tcPr>
            <w:tcW w:type="dxa" w:w="4680"/>
            <w:tcBorders>
              <w:top w:val="single" w:color="2E5FA3" w:sz="1"/>
              <w:left w:val="single" w:color="2E5FA3" w:sz="1"/>
              <w:bottom w:val="single" w:color="2E5FA3" w:sz="1"/>
              <w:right w:val="single" w:color="2E5FA3"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Value</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Patients enrolled</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67</w:t>
            </w:r>
          </w:p>
        </w:tc>
      </w:tr>
      <w:tr>
        <w:tc>
          <w:tcPr>
            <w:tcW w:type="dxa" w:w="46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Patients treated (≥1 dose)</w:t>
            </w:r>
          </w:p>
        </w:tc>
        <w:tc>
          <w:tcPr>
            <w:tcW w:type="dxa" w:w="46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67</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Patients ongoing</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58</w:t>
            </w:r>
          </w:p>
        </w:tc>
      </w:tr>
      <w:tr>
        <w:tc>
          <w:tcPr>
            <w:tcW w:type="dxa" w:w="46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Patients discontinued</w:t>
            </w:r>
          </w:p>
        </w:tc>
        <w:tc>
          <w:tcPr>
            <w:tcW w:type="dxa" w:w="46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9</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Median number of cycles delivered</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6 (range: 1–22)</w:t>
            </w:r>
          </w:p>
        </w:tc>
      </w:tr>
      <w:tr>
        <w:tc>
          <w:tcPr>
            <w:tcW w:type="dxa" w:w="46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Total patient-years of exposure</w:t>
            </w:r>
          </w:p>
        </w:tc>
        <w:tc>
          <w:tcPr>
            <w:tcW w:type="dxa" w:w="46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31.7 patient-years</w:t>
            </w:r>
          </w:p>
        </w:tc>
      </w:tr>
    </w:tbl>
    <w:p>
      <w:pPr>
        <w:spacing w:after="120"/>
      </w:pPr>
      <w:r>
        <w:rPr>
          <w:sz w:val="22"/>
          <w:szCs w:val="22"/>
        </w:rPr>
        <w:t xml:space="preserve"/>
      </w:r>
    </w:p>
    <w:p>
      <w:pPr>
        <w:pStyle w:val="Heading1"/>
        <w:spacing w:before="360" w:after="180"/>
      </w:pPr>
      <w:r>
        <w:rPr>
          <w:rFonts w:ascii="Arial" w:cs="Arial" w:eastAsia="Arial" w:hAnsi="Arial"/>
          <w:b/>
          <w:bCs/>
          <w:color w:val="1F3864"/>
          <w:sz w:val="32"/>
          <w:szCs w:val="32"/>
        </w:rPr>
        <w:t xml:space="preserve">3. NEW SAFETY SIGNAL: IMMUNE-MEDIATED MYOCARDITIS</w:t>
      </w:r>
    </w:p>
    <w:p>
      <w:pPr>
        <w:pStyle w:val="Heading2"/>
        <w:spacing w:before="240" w:after="120"/>
      </w:pPr>
      <w:r>
        <w:rPr>
          <w:rFonts w:ascii="Arial" w:cs="Arial" w:eastAsia="Arial" w:hAnsi="Arial"/>
          <w:b/>
          <w:bCs/>
          <w:color w:val="2E5FA3"/>
          <w:sz w:val="26"/>
          <w:szCs w:val="26"/>
        </w:rPr>
        <w:t xml:space="preserve">3.1 Signal Description</w:t>
      </w:r>
    </w:p>
    <w:p>
      <w:pPr>
        <w:spacing w:after="120"/>
        <w:jc w:val="left"/>
      </w:pPr>
      <w:r>
        <w:rPr>
          <w:rFonts w:ascii="Arial" w:cs="Arial" w:eastAsia="Arial" w:hAnsi="Arial"/>
          <w:b w:val="false"/>
          <w:bCs w:val="false"/>
          <w:i w:val="false"/>
          <w:iCs w:val="false"/>
          <w:color w:val="000000"/>
          <w:sz w:val="22"/>
          <w:szCs w:val="22"/>
        </w:rPr>
        <w:t xml:space="preserve">Two cases of immune-mediated myocarditis have been identified in study CERVI-201 as of the Q1 2024 data cut. This represents a reporting rate of 3.0% (2/67 treated patients). Both cases were Grade 2 per CTCAE v5.0, clinically manageable, and resolved with high-dose corticosteroid therapy. Neither case resulted in hospitalization beyond protocol-required monitoring.</w:t>
      </w:r>
    </w:p>
    <w:p>
      <w:pPr>
        <w:spacing w:after="60"/>
      </w:pPr>
      <w:r>
        <w:rPr>
          <w:sz w:val="22"/>
          <w:szCs w:val="22"/>
        </w:rPr>
        <w:t xml:space="preserve"/>
      </w:r>
    </w:p>
    <w:p>
      <w:pPr>
        <w:pStyle w:val="Heading2"/>
        <w:spacing w:before="240" w:after="120"/>
      </w:pPr>
      <w:r>
        <w:rPr>
          <w:rFonts w:ascii="Arial" w:cs="Arial" w:eastAsia="Arial" w:hAnsi="Arial"/>
          <w:b/>
          <w:bCs/>
          <w:color w:val="2E5FA3"/>
          <w:sz w:val="26"/>
          <w:szCs w:val="26"/>
        </w:rPr>
        <w:t xml:space="preserve">3.2 Case Narratives</w:t>
      </w:r>
    </w:p>
    <w:p>
      <w:pPr>
        <w:pStyle w:val="Heading3"/>
        <w:spacing w:before="180" w:after="80"/>
      </w:pPr>
      <w:r>
        <w:rPr>
          <w:rFonts w:ascii="Arial" w:cs="Arial" w:eastAsia="Arial" w:hAnsi="Arial"/>
          <w:b/>
          <w:bCs/>
          <w:color w:val="4472C4"/>
          <w:sz w:val="22"/>
          <w:szCs w:val="22"/>
        </w:rPr>
        <w:t xml:space="preserve">Case 1 — Patient 201-039</w:t>
      </w:r>
    </w:p>
    <w:p>
      <w:pPr>
        <w:spacing w:after="120"/>
        <w:jc w:val="left"/>
      </w:pPr>
      <w:r>
        <w:rPr>
          <w:rFonts w:ascii="Arial" w:cs="Arial" w:eastAsia="Arial" w:hAnsi="Arial"/>
          <w:b w:val="false"/>
          <w:bCs w:val="false"/>
          <w:i w:val="false"/>
          <w:iCs w:val="false"/>
          <w:color w:val="000000"/>
          <w:sz w:val="22"/>
          <w:szCs w:val="22"/>
        </w:rPr>
        <w:t xml:space="preserve">A 58-year-old male with dMMR mCRC presented with chest discomfort and palpitations on Day 43 (after Cycle 3). ECG showed non-specific ST changes. Troponin I was 2.1x ULN. Cardiac MRI confirmed focal myocardial inflammation consistent with immune-mediated myocarditis (Grade 2). Cervimab was held. The patient received methylprednisolone 1 mg/kg/day for 4 weeks with taper. Troponin normalized by Day 63. Cardiac MRI on Day 90 showed complete resolution. Cervimab was permanently discontinued per protocol. The event was assessed as possibly related to Cervimab.</w:t>
      </w:r>
    </w:p>
    <w:p>
      <w:pPr>
        <w:spacing w:after="60"/>
      </w:pPr>
      <w:r>
        <w:rPr>
          <w:sz w:val="22"/>
          <w:szCs w:val="22"/>
        </w:rPr>
        <w:t xml:space="preserve"/>
      </w:r>
    </w:p>
    <w:p>
      <w:pPr>
        <w:pStyle w:val="Heading3"/>
        <w:spacing w:before="180" w:after="80"/>
      </w:pPr>
      <w:r>
        <w:rPr>
          <w:rFonts w:ascii="Arial" w:cs="Arial" w:eastAsia="Arial" w:hAnsi="Arial"/>
          <w:b/>
          <w:bCs/>
          <w:color w:val="4472C4"/>
          <w:sz w:val="22"/>
          <w:szCs w:val="22"/>
        </w:rPr>
        <w:t xml:space="preserve">Case 2 — Patient 201-054</w:t>
      </w:r>
    </w:p>
    <w:p>
      <w:pPr>
        <w:spacing w:after="120"/>
        <w:jc w:val="left"/>
      </w:pPr>
      <w:r>
        <w:rPr>
          <w:rFonts w:ascii="Arial" w:cs="Arial" w:eastAsia="Arial" w:hAnsi="Arial"/>
          <w:b w:val="false"/>
          <w:bCs w:val="false"/>
          <w:i w:val="false"/>
          <w:iCs w:val="false"/>
          <w:color w:val="000000"/>
          <w:sz w:val="22"/>
          <w:szCs w:val="22"/>
        </w:rPr>
        <w:t xml:space="preserve">A 64-year-old female with dMMR mCRC presented with new dyspnea and fatigue on Day 72 (after Cycle 5). BNP was elevated at 340 pg/mL. Echocardiogram revealed mildly reduced LVEF of 48% (baseline 62%). Cardiac MRI was performed confirming myocardial edema consistent with myocarditis (Grade 2). Cervimab was held and the patient received prednisone 1 mg/kg/day for 3 weeks with taper. LVEF normalized to 58% at 6-week follow-up. The event was assessed as probably related to Cervimab.</w:t>
      </w:r>
    </w:p>
    <w:p>
      <w:pPr>
        <w:spacing w:after="120"/>
      </w:pPr>
      <w:r>
        <w:rPr>
          <w:sz w:val="22"/>
          <w:szCs w:val="22"/>
        </w:rPr>
        <w:t xml:space="preserve"/>
      </w:r>
    </w:p>
    <w:p>
      <w:pPr>
        <w:pStyle w:val="Heading2"/>
        <w:spacing w:before="240" w:after="120"/>
      </w:pPr>
      <w:r>
        <w:rPr>
          <w:rFonts w:ascii="Arial" w:cs="Arial" w:eastAsia="Arial" w:hAnsi="Arial"/>
          <w:b/>
          <w:bCs/>
          <w:color w:val="2E5FA3"/>
          <w:sz w:val="26"/>
          <w:szCs w:val="26"/>
        </w:rPr>
        <w:t xml:space="preserve">3.3 Regulatory Assessment and Actions Taken</w:t>
      </w:r>
    </w:p>
    <w:p>
      <w:pPr>
        <w:spacing w:after="120"/>
        <w:jc w:val="left"/>
      </w:pPr>
      <w:r>
        <w:rPr>
          <w:rFonts w:ascii="Arial" w:cs="Arial" w:eastAsia="Arial" w:hAnsi="Arial"/>
          <w:b w:val="false"/>
          <w:bCs w:val="false"/>
          <w:i w:val="false"/>
          <w:iCs w:val="false"/>
          <w:color w:val="000000"/>
          <w:sz w:val="22"/>
          <w:szCs w:val="22"/>
        </w:rPr>
        <w:t xml:space="preserve">The sponsor has taken the following actions in response to this signal:</w:t>
      </w:r>
    </w:p>
    <w:p>
      <w:pPr>
        <w:pStyle w:val="ListParagraph"/>
        <w:numPr>
          <w:ilvl w:val="0"/>
          <w:numId w:val="2"/>
        </w:numPr>
        <w:spacing w:after="60"/>
      </w:pPr>
      <w:r>
        <w:rPr>
          <w:rFonts w:ascii="Arial" w:cs="Arial" w:eastAsia="Arial" w:hAnsi="Arial"/>
          <w:sz w:val="22"/>
          <w:szCs w:val="22"/>
        </w:rPr>
        <w:t xml:space="preserve">Both cases were reported as expedited IND safety reports (7-day and 15-day reports) consistent with 21 CFR 312.32</w:t>
      </w:r>
    </w:p>
    <w:p>
      <w:pPr>
        <w:pStyle w:val="ListParagraph"/>
        <w:numPr>
          <w:ilvl w:val="0"/>
          <w:numId w:val="2"/>
        </w:numPr>
        <w:spacing w:after="60"/>
      </w:pPr>
      <w:r>
        <w:rPr>
          <w:rFonts w:ascii="Arial" w:cs="Arial" w:eastAsia="Arial" w:hAnsi="Arial"/>
          <w:sz w:val="22"/>
          <w:szCs w:val="22"/>
        </w:rPr>
        <w:t xml:space="preserve">Investigator Brochure Version 3.0 has been updated to add immune-mediated myocarditis as a potential serious irAE</w:t>
      </w:r>
    </w:p>
    <w:p>
      <w:pPr>
        <w:pStyle w:val="ListParagraph"/>
        <w:numPr>
          <w:ilvl w:val="0"/>
          <w:numId w:val="2"/>
        </w:numPr>
        <w:spacing w:after="60"/>
      </w:pPr>
      <w:r>
        <w:rPr>
          <w:rFonts w:ascii="Arial" w:cs="Arial" w:eastAsia="Arial" w:hAnsi="Arial"/>
          <w:sz w:val="22"/>
          <w:szCs w:val="22"/>
        </w:rPr>
        <w:t xml:space="preserve">Protocol Amendment 2 has been filed to update cardiac monitoring requirements (baseline and Q3W troponin monitoring for first 6 cycles)</w:t>
      </w:r>
    </w:p>
    <w:p>
      <w:pPr>
        <w:pStyle w:val="ListParagraph"/>
        <w:numPr>
          <w:ilvl w:val="0"/>
          <w:numId w:val="2"/>
        </w:numPr>
        <w:spacing w:after="60"/>
      </w:pPr>
      <w:r>
        <w:rPr>
          <w:rFonts w:ascii="Arial" w:cs="Arial" w:eastAsia="Arial" w:hAnsi="Arial"/>
          <w:sz w:val="22"/>
          <w:szCs w:val="22"/>
        </w:rPr>
        <w:t xml:space="preserve">A Dear Investigator letter was issued to all active sites on February 12, 2024</w:t>
      </w:r>
    </w:p>
    <w:p>
      <w:pPr>
        <w:pStyle w:val="ListParagraph"/>
        <w:numPr>
          <w:ilvl w:val="0"/>
          <w:numId w:val="2"/>
        </w:numPr>
        <w:spacing w:after="60"/>
      </w:pPr>
      <w:r>
        <w:rPr>
          <w:rFonts w:ascii="Arial" w:cs="Arial" w:eastAsia="Arial" w:hAnsi="Arial"/>
          <w:sz w:val="22"/>
          <w:szCs w:val="22"/>
        </w:rPr>
        <w:t xml:space="preserve">Data Safety Monitoring Board (DSMB) conducted an unscheduled review on March 1, 2024 and recommended continued enrollment with enhanced monitoring</w:t>
      </w:r>
    </w:p>
    <w:p>
      <w:pPr>
        <w:spacing w:after="120"/>
      </w:pPr>
      <w:r>
        <w:rPr>
          <w:sz w:val="22"/>
          <w:szCs w:val="22"/>
        </w:rPr>
        <w:t xml:space="preserve"/>
      </w:r>
    </w:p>
    <w:p>
      <w:pPr>
        <w:pStyle w:val="Heading1"/>
        <w:spacing w:before="360" w:after="180"/>
      </w:pPr>
      <w:r>
        <w:rPr>
          <w:rFonts w:ascii="Arial" w:cs="Arial" w:eastAsia="Arial" w:hAnsi="Arial"/>
          <w:b/>
          <w:bCs/>
          <w:color w:val="1F3864"/>
          <w:sz w:val="32"/>
          <w:szCs w:val="32"/>
        </w:rPr>
        <w:t xml:space="preserve">4. EXPEDITED SAFETY REPORTS (IND SAFETY REPORTS) FILED IN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200"/>
        <w:gridCol w:w="1980"/>
        <w:gridCol w:w="1480"/>
      </w:tblGrid>
      <w:tr>
        <w:trPr>
          <w:tblHeader/>
        </w:trPr>
        <w:tc>
          <w:tcPr>
            <w:tcW w:type="dxa" w:w="1500"/>
            <w:tcBorders>
              <w:top w:val="single" w:color="2E5FA3" w:sz="1"/>
              <w:left w:val="single" w:color="2E5FA3" w:sz="1"/>
              <w:bottom w:val="single" w:color="2E5FA3" w:sz="1"/>
              <w:right w:val="single" w:color="2E5FA3"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Report ID</w:t>
            </w:r>
          </w:p>
        </w:tc>
        <w:tc>
          <w:tcPr>
            <w:tcW w:type="dxa" w:w="2200"/>
            <w:tcBorders>
              <w:top w:val="single" w:color="2E5FA3" w:sz="1"/>
              <w:left w:val="single" w:color="2E5FA3" w:sz="1"/>
              <w:bottom w:val="single" w:color="2E5FA3" w:sz="1"/>
              <w:right w:val="single" w:color="2E5FA3"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Event (MedDRA PT)</w:t>
            </w:r>
          </w:p>
        </w:tc>
        <w:tc>
          <w:tcPr>
            <w:tcW w:type="dxa" w:w="2200"/>
            <w:tcBorders>
              <w:top w:val="single" w:color="2E5FA3" w:sz="1"/>
              <w:left w:val="single" w:color="2E5FA3" w:sz="1"/>
              <w:bottom w:val="single" w:color="2E5FA3" w:sz="1"/>
              <w:right w:val="single" w:color="2E5FA3"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Patient ID</w:t>
            </w:r>
          </w:p>
        </w:tc>
        <w:tc>
          <w:tcPr>
            <w:tcW w:type="dxa" w:w="1980"/>
            <w:tcBorders>
              <w:top w:val="single" w:color="2E5FA3" w:sz="1"/>
              <w:left w:val="single" w:color="2E5FA3" w:sz="1"/>
              <w:bottom w:val="single" w:color="2E5FA3" w:sz="1"/>
              <w:right w:val="single" w:color="2E5FA3"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Causality</w:t>
            </w:r>
          </w:p>
        </w:tc>
        <w:tc>
          <w:tcPr>
            <w:tcW w:type="dxa" w:w="1480"/>
            <w:tcBorders>
              <w:top w:val="single" w:color="2E5FA3" w:sz="1"/>
              <w:left w:val="single" w:color="2E5FA3" w:sz="1"/>
              <w:bottom w:val="single" w:color="2E5FA3" w:sz="1"/>
              <w:right w:val="single" w:color="2E5FA3"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Report Type</w:t>
            </w:r>
          </w:p>
        </w:tc>
      </w:tr>
      <w:tr>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CERVI-ISR-007</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Myocarditis immune-mediated</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201-039</w:t>
            </w:r>
          </w:p>
        </w:tc>
        <w:tc>
          <w:tcPr>
            <w:tcW w:type="dxa" w:w="19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Possibly related</w:t>
            </w:r>
          </w:p>
        </w:tc>
        <w:tc>
          <w:tcPr>
            <w:tcW w:type="dxa" w:w="1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15-day</w:t>
            </w:r>
          </w:p>
        </w:tc>
      </w:tr>
      <w:tr>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CERVI-ISR-008</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Immune-mediated hepatitis Grade 3</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201-041</w:t>
            </w:r>
          </w:p>
        </w:tc>
        <w:tc>
          <w:tcPr>
            <w:tcW w:type="dxa" w:w="19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Probably related</w:t>
            </w:r>
          </w:p>
        </w:tc>
        <w:tc>
          <w:tcPr>
            <w:tcW w:type="dxa" w:w="14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15-day</w:t>
            </w:r>
          </w:p>
        </w:tc>
      </w:tr>
      <w:tr>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CERVI-ISR-009</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Myocarditis immune-mediated</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201-054</w:t>
            </w:r>
          </w:p>
        </w:tc>
        <w:tc>
          <w:tcPr>
            <w:tcW w:type="dxa" w:w="19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Probably related</w:t>
            </w:r>
          </w:p>
        </w:tc>
        <w:tc>
          <w:tcPr>
            <w:tcW w:type="dxa" w:w="1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7-day</w:t>
            </w:r>
          </w:p>
        </w:tc>
      </w:tr>
      <w:tr>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CERVI-ISR-010</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Type 1 diabetes mellitus (new onset)</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201-049</w:t>
            </w:r>
          </w:p>
        </w:tc>
        <w:tc>
          <w:tcPr>
            <w:tcW w:type="dxa" w:w="19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Possibly related</w:t>
            </w:r>
          </w:p>
        </w:tc>
        <w:tc>
          <w:tcPr>
            <w:tcW w:type="dxa" w:w="14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15-day</w:t>
            </w:r>
          </w:p>
        </w:tc>
      </w:tr>
    </w:tbl>
    <w:p>
      <w:pPr>
        <w:spacing w:after="120"/>
      </w:pPr>
      <w:r>
        <w:rPr>
          <w:sz w:val="22"/>
          <w:szCs w:val="22"/>
        </w:rPr>
        <w:t xml:space="preserve"/>
      </w:r>
    </w:p>
    <w:p>
      <w:pPr>
        <w:pStyle w:val="Heading1"/>
        <w:spacing w:before="360" w:after="180"/>
      </w:pPr>
      <w:r>
        <w:rPr>
          <w:rFonts w:ascii="Arial" w:cs="Arial" w:eastAsia="Arial" w:hAnsi="Arial"/>
          <w:b/>
          <w:bCs/>
          <w:color w:val="1F3864"/>
          <w:sz w:val="32"/>
          <w:szCs w:val="32"/>
        </w:rPr>
        <w:t xml:space="preserve">5. CUMULATIVE SAFETY SUMMARY</w:t>
      </w:r>
    </w:p>
    <w:p>
      <w:pPr>
        <w:pStyle w:val="Heading2"/>
        <w:spacing w:before="240" w:after="120"/>
      </w:pPr>
      <w:r>
        <w:rPr>
          <w:rFonts w:ascii="Arial" w:cs="Arial" w:eastAsia="Arial" w:hAnsi="Arial"/>
          <w:b/>
          <w:bCs/>
          <w:color w:val="2E5FA3"/>
          <w:sz w:val="26"/>
          <w:szCs w:val="26"/>
        </w:rPr>
        <w:t xml:space="preserve">5.1 Cumulative irAE Profile (All Patients Treated, n=67)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720"/>
        <w:gridCol w:w="1720"/>
        <w:gridCol w:w="1720"/>
      </w:tblGrid>
      <w:tr>
        <w:trPr>
          <w:tblHeader/>
        </w:trPr>
        <w:tc>
          <w:tcPr>
            <w:tcW w:type="dxa" w:w="4200"/>
            <w:tcBorders>
              <w:top w:val="single" w:color="2E5FA3" w:sz="1"/>
              <w:left w:val="single" w:color="2E5FA3" w:sz="1"/>
              <w:bottom w:val="single" w:color="2E5FA3" w:sz="1"/>
              <w:right w:val="single" w:color="2E5FA3"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Immune-Related AE (irAE)</w:t>
            </w:r>
          </w:p>
        </w:tc>
        <w:tc>
          <w:tcPr>
            <w:tcW w:type="dxa" w:w="1720"/>
            <w:tcBorders>
              <w:top w:val="single" w:color="2E5FA3" w:sz="1"/>
              <w:left w:val="single" w:color="2E5FA3" w:sz="1"/>
              <w:bottom w:val="single" w:color="2E5FA3" w:sz="1"/>
              <w:right w:val="single" w:color="2E5FA3"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Any Grade
n (%)</w:t>
            </w:r>
          </w:p>
        </w:tc>
        <w:tc>
          <w:tcPr>
            <w:tcW w:type="dxa" w:w="1720"/>
            <w:tcBorders>
              <w:top w:val="single" w:color="2E5FA3" w:sz="1"/>
              <w:left w:val="single" w:color="2E5FA3" w:sz="1"/>
              <w:bottom w:val="single" w:color="2E5FA3" w:sz="1"/>
              <w:right w:val="single" w:color="2E5FA3"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Grade 3
n (%)</w:t>
            </w:r>
          </w:p>
        </w:tc>
        <w:tc>
          <w:tcPr>
            <w:tcW w:type="dxa" w:w="1720"/>
            <w:tcBorders>
              <w:top w:val="single" w:color="2E5FA3" w:sz="1"/>
              <w:left w:val="single" w:color="2E5FA3" w:sz="1"/>
              <w:bottom w:val="single" w:color="2E5FA3" w:sz="1"/>
              <w:right w:val="single" w:color="2E5FA3"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Grade 4/5
n (%)</w:t>
            </w:r>
          </w:p>
        </w:tc>
      </w:tr>
      <w:tr>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Immune-mediated colitis/diarrhea</w:t>
            </w:r>
          </w:p>
        </w:tc>
        <w:tc>
          <w:tcPr>
            <w:tcW w:type="dxa" w:w="1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8 (11.9%)</w:t>
            </w:r>
          </w:p>
        </w:tc>
        <w:tc>
          <w:tcPr>
            <w:tcW w:type="dxa" w:w="1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3 (4.5%)</w:t>
            </w:r>
          </w:p>
        </w:tc>
        <w:tc>
          <w:tcPr>
            <w:tcW w:type="dxa" w:w="1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w:t>
            </w:r>
          </w:p>
        </w:tc>
      </w:tr>
      <w:tr>
        <w:tc>
          <w:tcPr>
            <w:tcW w:type="dxa" w:w="4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Hypothyroidism</w:t>
            </w:r>
          </w:p>
        </w:tc>
        <w:tc>
          <w:tcPr>
            <w:tcW w:type="dxa" w:w="17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13 (19.4%)</w:t>
            </w:r>
          </w:p>
        </w:tc>
        <w:tc>
          <w:tcPr>
            <w:tcW w:type="dxa" w:w="17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0 (0%)</w:t>
            </w:r>
          </w:p>
        </w:tc>
        <w:tc>
          <w:tcPr>
            <w:tcW w:type="dxa" w:w="17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0</w:t>
            </w:r>
          </w:p>
        </w:tc>
      </w:tr>
      <w:tr>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Hyperthyroidism / thyroiditis</w:t>
            </w:r>
          </w:p>
        </w:tc>
        <w:tc>
          <w:tcPr>
            <w:tcW w:type="dxa" w:w="1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4 (6.0%)</w:t>
            </w:r>
          </w:p>
        </w:tc>
        <w:tc>
          <w:tcPr>
            <w:tcW w:type="dxa" w:w="1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 (0%)</w:t>
            </w:r>
          </w:p>
        </w:tc>
        <w:tc>
          <w:tcPr>
            <w:tcW w:type="dxa" w:w="1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w:t>
            </w:r>
          </w:p>
        </w:tc>
      </w:tr>
      <w:tr>
        <w:tc>
          <w:tcPr>
            <w:tcW w:type="dxa" w:w="4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Immune-mediated hepatitis</w:t>
            </w:r>
          </w:p>
        </w:tc>
        <w:tc>
          <w:tcPr>
            <w:tcW w:type="dxa" w:w="17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6 (9.0%)</w:t>
            </w:r>
          </w:p>
        </w:tc>
        <w:tc>
          <w:tcPr>
            <w:tcW w:type="dxa" w:w="17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3 (4.5%)</w:t>
            </w:r>
          </w:p>
        </w:tc>
        <w:tc>
          <w:tcPr>
            <w:tcW w:type="dxa" w:w="17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1 (1.5%)</w:t>
            </w:r>
          </w:p>
        </w:tc>
      </w:tr>
      <w:tr>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Immune-mediated pneumonitis</w:t>
            </w:r>
          </w:p>
        </w:tc>
        <w:tc>
          <w:tcPr>
            <w:tcW w:type="dxa" w:w="1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3 (4.5%)</w:t>
            </w:r>
          </w:p>
        </w:tc>
        <w:tc>
          <w:tcPr>
            <w:tcW w:type="dxa" w:w="1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 (1.5%)</w:t>
            </w:r>
          </w:p>
        </w:tc>
        <w:tc>
          <w:tcPr>
            <w:tcW w:type="dxa" w:w="1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w:t>
            </w:r>
          </w:p>
        </w:tc>
      </w:tr>
      <w:tr>
        <w:tc>
          <w:tcPr>
            <w:tcW w:type="dxa" w:w="4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Immune-mediated myocarditis (NEW)</w:t>
            </w:r>
          </w:p>
        </w:tc>
        <w:tc>
          <w:tcPr>
            <w:tcW w:type="dxa" w:w="17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2 (3.0%)</w:t>
            </w:r>
          </w:p>
        </w:tc>
        <w:tc>
          <w:tcPr>
            <w:tcW w:type="dxa" w:w="17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0 (0%)</w:t>
            </w:r>
          </w:p>
        </w:tc>
        <w:tc>
          <w:tcPr>
            <w:tcW w:type="dxa" w:w="17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0</w:t>
            </w:r>
          </w:p>
        </w:tc>
      </w:tr>
      <w:tr>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Adrenal insufficiency</w:t>
            </w:r>
          </w:p>
        </w:tc>
        <w:tc>
          <w:tcPr>
            <w:tcW w:type="dxa" w:w="1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 (3.0%)</w:t>
            </w:r>
          </w:p>
        </w:tc>
        <w:tc>
          <w:tcPr>
            <w:tcW w:type="dxa" w:w="1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 (1.5%)</w:t>
            </w:r>
          </w:p>
        </w:tc>
        <w:tc>
          <w:tcPr>
            <w:tcW w:type="dxa" w:w="1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w:t>
            </w:r>
          </w:p>
        </w:tc>
      </w:tr>
      <w:tr>
        <w:tc>
          <w:tcPr>
            <w:tcW w:type="dxa" w:w="4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New onset Type 1 diabetes</w:t>
            </w:r>
          </w:p>
        </w:tc>
        <w:tc>
          <w:tcPr>
            <w:tcW w:type="dxa" w:w="17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1 (1.5%)</w:t>
            </w:r>
          </w:p>
        </w:tc>
        <w:tc>
          <w:tcPr>
            <w:tcW w:type="dxa" w:w="17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1 (1.5%)</w:t>
            </w:r>
          </w:p>
        </w:tc>
        <w:tc>
          <w:tcPr>
            <w:tcW w:type="dxa" w:w="17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0</w:t>
            </w:r>
          </w:p>
        </w:tc>
      </w:tr>
      <w:tr>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Immune-mediated dermatitis (Grade ≥2)</w:t>
            </w:r>
          </w:p>
        </w:tc>
        <w:tc>
          <w:tcPr>
            <w:tcW w:type="dxa" w:w="1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5 (7.5%)</w:t>
            </w:r>
          </w:p>
        </w:tc>
        <w:tc>
          <w:tcPr>
            <w:tcW w:type="dxa" w:w="1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 (1.5%)</w:t>
            </w:r>
          </w:p>
        </w:tc>
        <w:tc>
          <w:tcPr>
            <w:tcW w:type="dxa" w:w="1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w:t>
            </w:r>
          </w:p>
        </w:tc>
      </w:tr>
    </w:tbl>
    <w:p>
      <w:pPr>
        <w:spacing w:after="120"/>
      </w:pPr>
      <w:r>
        <w:rPr>
          <w:sz w:val="22"/>
          <w:szCs w:val="22"/>
        </w:rPr>
        <w:t xml:space="preserve"/>
      </w:r>
    </w:p>
    <w:p>
      <w:pPr>
        <w:pStyle w:val="Heading1"/>
        <w:spacing w:before="360" w:after="180"/>
      </w:pPr>
      <w:r>
        <w:rPr>
          <w:rFonts w:ascii="Arial" w:cs="Arial" w:eastAsia="Arial" w:hAnsi="Arial"/>
          <w:b/>
          <w:bCs/>
          <w:color w:val="1F3864"/>
          <w:sz w:val="32"/>
          <w:szCs w:val="32"/>
        </w:rPr>
        <w:t xml:space="preserve">6. BENEFIT-RISK ASSESSMENT</w:t>
      </w:r>
    </w:p>
    <w:p>
      <w:pPr>
        <w:spacing w:after="120"/>
        <w:jc w:val="left"/>
      </w:pPr>
      <w:r>
        <w:rPr>
          <w:rFonts w:ascii="Arial" w:cs="Arial" w:eastAsia="Arial" w:hAnsi="Arial"/>
          <w:b w:val="false"/>
          <w:bCs w:val="false"/>
          <w:i w:val="false"/>
          <w:iCs w:val="false"/>
          <w:color w:val="000000"/>
          <w:sz w:val="22"/>
          <w:szCs w:val="22"/>
        </w:rPr>
        <w:t xml:space="preserve">The emerging safety profile of Cervimab remains consistent with the anti-PD-1 antibody class. The new signal of immune-mediated myocarditis (2 cases, both Grade 2, both resolved) represents a known class effect that has been addressed through protocol and IB amendments. No treatment-related deaths have occurred. Interim efficacy data continue to demonstrate clinically meaningful anti-tumor activity with an ORR of 40.3% in the 67 evaluable patients, supporting a favorable benefit-risk profile for continued enrollment with enhanced cardiac monitoring.</w:t>
      </w:r>
    </w:p>
    <w:p>
      <w:pPr>
        <w:spacing w:after="120"/>
      </w:pPr>
      <w:r>
        <w:rPr>
          <w:sz w:val="22"/>
          <w:szCs w:val="22"/>
        </w:rPr>
        <w:t xml:space="preserve"/>
      </w:r>
    </w:p>
    <w:p>
      <w:pPr>
        <w:pStyle w:val="Heading1"/>
        <w:spacing w:before="360" w:after="180"/>
      </w:pPr>
      <w:r>
        <w:rPr>
          <w:rFonts w:ascii="Arial" w:cs="Arial" w:eastAsia="Arial" w:hAnsi="Arial"/>
          <w:b/>
          <w:bCs/>
          <w:color w:val="1F3864"/>
          <w:sz w:val="32"/>
          <w:szCs w:val="32"/>
        </w:rPr>
        <w:t xml:space="preserve">7. PROPOSED ACTIONS AND REGULATORY COMMITMENTS</w:t>
      </w:r>
    </w:p>
    <w:p>
      <w:pPr>
        <w:pStyle w:val="ListParagraph"/>
        <w:numPr>
          <w:ilvl w:val="0"/>
          <w:numId w:val="2"/>
        </w:numPr>
        <w:spacing w:after="60"/>
      </w:pPr>
      <w:r>
        <w:rPr>
          <w:rFonts w:ascii="Arial" w:cs="Arial" w:eastAsia="Arial" w:hAnsi="Arial"/>
          <w:sz w:val="22"/>
          <w:szCs w:val="22"/>
        </w:rPr>
        <w:t xml:space="preserve">Continue enrollment with enhanced cardiac safety monitoring per Amendment 2</w:t>
      </w:r>
    </w:p>
    <w:p>
      <w:pPr>
        <w:pStyle w:val="ListParagraph"/>
        <w:numPr>
          <w:ilvl w:val="0"/>
          <w:numId w:val="2"/>
        </w:numPr>
        <w:spacing w:after="60"/>
      </w:pPr>
      <w:r>
        <w:rPr>
          <w:rFonts w:ascii="Arial" w:cs="Arial" w:eastAsia="Arial" w:hAnsi="Arial"/>
          <w:sz w:val="22"/>
          <w:szCs w:val="22"/>
        </w:rPr>
        <w:t xml:space="preserve">Conduct DSMB review after every 25 additional patients enrolled</w:t>
      </w:r>
    </w:p>
    <w:p>
      <w:pPr>
        <w:pStyle w:val="ListParagraph"/>
        <w:numPr>
          <w:ilvl w:val="0"/>
          <w:numId w:val="2"/>
        </w:numPr>
        <w:spacing w:after="60"/>
      </w:pPr>
      <w:r>
        <w:rPr>
          <w:rFonts w:ascii="Arial" w:cs="Arial" w:eastAsia="Arial" w:hAnsi="Arial"/>
          <w:sz w:val="22"/>
          <w:szCs w:val="22"/>
        </w:rPr>
        <w:t xml:space="preserve">Provide updated SUR if additional myocarditis cases are identified</w:t>
      </w:r>
    </w:p>
    <w:p>
      <w:pPr>
        <w:pStyle w:val="ListParagraph"/>
        <w:numPr>
          <w:ilvl w:val="0"/>
          <w:numId w:val="2"/>
        </w:numPr>
        <w:spacing w:after="60"/>
      </w:pPr>
      <w:r>
        <w:rPr>
          <w:rFonts w:ascii="Arial" w:cs="Arial" w:eastAsia="Arial" w:hAnsi="Arial"/>
          <w:sz w:val="22"/>
          <w:szCs w:val="22"/>
        </w:rPr>
        <w:t xml:space="preserve">IB Version 3.0 (submitted separately) fully reflects current safety profile</w:t>
      </w:r>
    </w:p>
    <w:p>
      <w:pPr>
        <w:pStyle w:val="ListParagraph"/>
        <w:numPr>
          <w:ilvl w:val="0"/>
          <w:numId w:val="2"/>
        </w:numPr>
        <w:spacing w:after="60"/>
      </w:pPr>
      <w:r>
        <w:rPr>
          <w:rFonts w:ascii="Arial" w:cs="Arial" w:eastAsia="Arial" w:hAnsi="Arial"/>
          <w:sz w:val="22"/>
          <w:szCs w:val="22"/>
        </w:rPr>
        <w:t xml:space="preserve">Sponsor will conduct pooled cardiac safety analysis as part of the planned interim CSR (Q3 2024)</w:t>
      </w:r>
    </w:p>
    <w:p>
      <w:pPr>
        <w:spacing w:after="120"/>
      </w:pPr>
      <w:r>
        <w:rPr>
          <w:sz w:val="22"/>
          <w:szCs w:val="22"/>
        </w:rPr>
        <w:t xml:space="preserve"/>
      </w:r>
    </w:p>
    <w:p>
      <w:pPr>
        <w:pBdr>
          <w:bottom w:val="single" w:color="4472C4" w:sz="4" w:space="1"/>
        </w:pBdr>
        <w:spacing w:before="60" w:after="60"/>
      </w:pPr>
    </w:p>
    <w:p>
      <w:pPr>
        <w:spacing w:after="120"/>
        <w:jc w:val="left"/>
      </w:pPr>
      <w:r>
        <w:rPr>
          <w:rFonts w:ascii="Arial" w:cs="Arial" w:eastAsia="Arial" w:hAnsi="Arial"/>
          <w:b w:val="false"/>
          <w:bCs w:val="false"/>
          <w:i w:val="false"/>
          <w:iCs w:val="false"/>
          <w:color w:val="595959"/>
          <w:sz w:val="18"/>
          <w:szCs w:val="18"/>
        </w:rPr>
        <w:t xml:space="preserve">Submitted by: Sarah Chen, MD, PhD — Chief Medical Officer, Oncovance Therapeutics, Inc.</w:t>
      </w:r>
    </w:p>
    <w:p>
      <w:pPr>
        <w:spacing w:after="120"/>
        <w:jc w:val="left"/>
      </w:pPr>
      <w:r>
        <w:rPr>
          <w:rFonts w:ascii="Arial" w:cs="Arial" w:eastAsia="Arial" w:hAnsi="Arial"/>
          <w:b w:val="false"/>
          <w:bCs w:val="false"/>
          <w:i w:val="false"/>
          <w:iCs w:val="false"/>
          <w:color w:val="595959"/>
          <w:sz w:val="18"/>
          <w:szCs w:val="18"/>
        </w:rPr>
        <w:t xml:space="preserve">Date: April 15, 2024</w:t>
      </w:r>
    </w:p>
    <w:p>
      <w:pPr>
        <w:spacing w:after="120"/>
        <w:jc w:val="left"/>
      </w:pPr>
      <w:r>
        <w:rPr>
          <w:rFonts w:ascii="Arial" w:cs="Arial" w:eastAsia="Arial" w:hAnsi="Arial"/>
          <w:b/>
          <w:bCs/>
          <w:i w:val="false"/>
          <w:iCs w:val="false"/>
          <w:color w:val="C55A11"/>
          <w:sz w:val="18"/>
          <w:szCs w:val="18"/>
        </w:rPr>
        <w:t xml:space="preserve">This document is a draft example for regulatory training purposes only.</w:t>
      </w:r>
    </w:p>
    <w:sectPr>
      <w:headerReference w:type="default" r:id="rId6"/>
      <w:footerReference w:type="default" r:id="rId7"/>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4"/>
      </w:pBdr>
      <w:tabs>
        <w:tab w:val="right" w:pos="9360"/>
      </w:tabs>
    </w:pPr>
    <w:r>
      <w:rPr>
        <w:rFonts w:ascii="Arial" w:cs="Arial" w:eastAsia="Arial" w:hAnsi="Arial"/>
        <w:color w:val="595959"/>
        <w:sz w:val="16"/>
        <w:szCs w:val="16"/>
      </w:rPr>
      <w:t xml:space="preserve">Oncovance Therapeutics, Inc.  |  Draft Example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4"/>
      </w:pBdr>
      <w:tabs>
        <w:tab w:val="right" w:pos="9360"/>
      </w:tabs>
    </w:pPr>
    <w:r>
      <w:rPr>
        <w:rFonts w:ascii="Arial" w:cs="Arial" w:eastAsia="Arial" w:hAnsi="Arial"/>
        <w:color w:val="595959"/>
        <w:sz w:val="18"/>
        <w:szCs w:val="18"/>
      </w:rPr>
      <w:t xml:space="preserve">CERVIMAB  |  IND 123456  |  Phase 2</w:t>
    </w:r>
    <w:r>
      <w:rPr>
        <w:rFonts w:ascii="Arial" w:cs="Arial" w:eastAsia="Arial" w:hAnsi="Arial"/>
        <w:sz w:val="18"/>
        <w:szCs w:val="18"/>
      </w:rPr>
      <w:t xml:space="preserve">	</w:t>
    </w:r>
    <w:r>
      <w:rPr>
        <w:rFonts w:ascii="Arial" w:cs="Arial" w:eastAsia="Arial" w:hAnsi="Arial"/>
        <w:b/>
        <w:bCs/>
        <w:color w:val="C55A11"/>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5FA3"/>
      <w:sz w:val="26"/>
      <w:szCs w:val="26"/>
    </w:rPr>
  </w:style>
  <w:style w:type="paragraph" w:styleId="Heading3">
    <w:name w:val="Heading 3"/>
    <w:basedOn w:val="Normal"/>
    <w:next w:val="Normal"/>
    <w:qFormat/>
    <w:pPr>
      <w:spacing w:before="180" w:after="80"/>
      <w:outlineLvl w:val="2"/>
    </w:pPr>
    <w:rPr>
      <w:rFonts w:ascii="Arial" w:cs="Arial" w:eastAsia="Arial" w:hAnsi="Arial"/>
      <w:b/>
      <w:bCs/>
      <w:color w:val="4472C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2026-03-16T13:55:00.093Z</dcterms:created>
  <dcterms:modified xsi:type="dcterms:W3CDTF">2026-03-16T13:55:00.093Z</dcterms:modified>
</cp:coreProperties>
</file>

<file path=docProps/custom.xml><?xml version="1.0" encoding="utf-8"?>
<Properties xmlns="http://schemas.openxmlformats.org/officeDocument/2006/custom-properties" xmlns:vt="http://schemas.openxmlformats.org/officeDocument/2006/docPropsVTypes"/>
</file>