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F3864"/>
          <w:sz w:val="52"/>
          <w:szCs w:val="52"/>
        </w:rPr>
        <w:t xml:space="preserve">COMPARABILITY PROTOCOL</w:t>
      </w:r>
    </w:p>
    <w:p>
      <w:pPr>
        <w:spacing w:after="120"/>
        <w:jc w:val="center"/>
      </w:pPr>
      <w:r>
        <w:rPr>
          <w:rFonts w:ascii="Arial" w:cs="Arial" w:eastAsia="Arial" w:hAnsi="Arial"/>
          <w:color w:val="2E5FA3"/>
          <w:sz w:val="28"/>
          <w:szCs w:val="28"/>
        </w:rPr>
        <w:t xml:space="preserve">Cervimab (CVM-001) - Anti-PD-1 IgG4 Monoclonal Antibody</w:t>
      </w:r>
    </w:p>
    <w:p>
      <w:pPr>
        <w:spacing w:after="120"/>
        <w:jc w:val="center"/>
      </w:pPr>
      <w:r>
        <w:rPr>
          <w:rFonts w:ascii="Arial" w:cs="Arial" w:eastAsia="Arial" w:hAnsi="Arial"/>
          <w:i/>
          <w:iCs/>
          <w:color w:val="4B0082"/>
          <w:sz w:val="24"/>
          <w:szCs w:val="24"/>
        </w:rPr>
        <w:t xml:space="preserve">Manufacturing Process Change: Phase 3 to Commercial Scale</w:t>
      </w:r>
    </w:p>
    <w:p>
      <w:pPr>
        <w:spacing w:after="600"/>
        <w:jc w:val="center"/>
      </w:pPr>
      <w:r>
        <w:rPr>
          <w:rFonts w:ascii="Arial" w:cs="Arial" w:eastAsia="Arial" w:hAnsi="Arial"/>
          <w:i/>
          <w:iCs/>
          <w:color w:val="444444"/>
          <w:sz w:val="22"/>
          <w:szCs w:val="22"/>
        </w:rPr>
        <w:t xml:space="preserve">Pre-Change (Phase 3) vs. Post-Change (Commercial PPQ) Drug Substance</w:t>
      </w:r>
    </w:p>
    <w:p>
      <w:pPr>
        <w:pBdr>
          <w:bottom w:val="single" w:color="2E5FA3" w:sz="6" w:space="1"/>
        </w:pBdr>
        <w:spacing w:after="24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tblGrid>
      <w:tr>
        <w:tc>
          <w:tcPr>
            <w:tcW w:type="dxa" w:w="26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Protocol No.</w:t>
            </w:r>
          </w:p>
        </w:tc>
        <w:tc>
          <w:tcPr>
            <w:tcW w:type="dxa" w:w="5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CMP-001</w:t>
            </w:r>
          </w:p>
        </w:tc>
      </w:tr>
      <w:tr>
        <w:tc>
          <w:tcPr>
            <w:tcW w:type="dxa" w:w="26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Molecule</w:t>
            </w:r>
          </w:p>
        </w:tc>
        <w:tc>
          <w:tcPr>
            <w:tcW w:type="dxa" w:w="5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Cervimab (CVM-001)</w:t>
            </w:r>
          </w:p>
        </w:tc>
      </w:tr>
      <w:tr>
        <w:tc>
          <w:tcPr>
            <w:tcW w:type="dxa" w:w="26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Change Description</w:t>
            </w:r>
          </w:p>
        </w:tc>
        <w:tc>
          <w:tcPr>
            <w:tcW w:type="dxa" w:w="5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Scale-up: 200 L (Phase 3) to 2,000 L (commercial) bioreactor; introduction of single-use bioreactor technology at N-1 seed stage; updated UF/DF membrane module</w:t>
            </w:r>
          </w:p>
        </w:tc>
      </w:tr>
      <w:tr>
        <w:tc>
          <w:tcPr>
            <w:tcW w:type="dxa" w:w="26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Pre-Change Material</w:t>
            </w:r>
          </w:p>
        </w:tc>
        <w:tc>
          <w:tcPr>
            <w:tcW w:type="dxa" w:w="5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Phase 3 clinical batches: CVM-DS-P3-001, P3-002, P3-003 (200 L scale)</w:t>
            </w:r>
          </w:p>
        </w:tc>
      </w:tr>
      <w:tr>
        <w:tc>
          <w:tcPr>
            <w:tcW w:type="dxa" w:w="26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Post-Change Material</w:t>
            </w:r>
          </w:p>
        </w:tc>
        <w:tc>
          <w:tcPr>
            <w:tcW w:type="dxa" w:w="5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Commercial PPQ batches: CVM-DS-PPQ-V01, V02, V03 (2,000 L scale)</w:t>
            </w:r>
          </w:p>
        </w:tc>
      </w:tr>
      <w:tr>
        <w:tc>
          <w:tcPr>
            <w:tcW w:type="dxa" w:w="26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Regulatory Pathway</w:t>
            </w:r>
          </w:p>
        </w:tc>
        <w:tc>
          <w:tcPr>
            <w:tcW w:type="dxa" w:w="5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ICH Q5E - Comparability of Biotechnological/Biological Products; FDA Guidance on Comparability (1996); EMA CHMP Guideline on Comparability</w:t>
            </w:r>
          </w:p>
        </w:tc>
      </w:tr>
      <w:tr>
        <w:tc>
          <w:tcPr>
            <w:tcW w:type="dxa" w:w="26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Conclusion Required By</w:t>
            </w:r>
          </w:p>
        </w:tc>
        <w:tc>
          <w:tcPr>
            <w:tcW w:type="dxa" w:w="5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Prior to commercial launch; submission with BLA [pending]</w:t>
            </w:r>
          </w:p>
        </w:tc>
      </w:tr>
      <w:tr>
        <w:tc>
          <w:tcPr>
            <w:tcW w:type="dxa" w:w="26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Document Status</w:t>
            </w:r>
          </w:p>
        </w:tc>
        <w:tc>
          <w:tcPr>
            <w:tcW w:type="dxa" w:w="5400"/>
            <w:tcBorders>
              <w:top w:val="single" w:color="B0C4DE" w:sz="1"/>
              <w:left w:val="single" w:color="B0C4DE" w:sz="1"/>
              <w:bottom w:val="single" w:color="B0C4DE" w:sz="1"/>
              <w:right w:val="single" w:color="B0C4DE" w:sz="1"/>
            </w:tcBorders>
            <w:shd w:fill="FFF8E1" w:val="clear"/>
            <w:tcMar>
              <w:top w:type="dxa" w:w="80"/>
              <w:left w:type="dxa" w:w="120"/>
              <w:bottom w:type="dxa" w:w="80"/>
              <w:right w:type="dxa" w:w="120"/>
            </w:tcMar>
          </w:tcPr>
          <w:p>
            <w:r>
              <w:rPr>
                <w:rFonts w:ascii="Arial" w:cs="Arial" w:eastAsia="Arial" w:hAnsi="Arial"/>
                <w:b/>
                <w:bCs/>
                <w:color w:val="7B5700"/>
                <w:sz w:val="18"/>
                <w:szCs w:val="18"/>
              </w:rPr>
              <w:t xml:space="preserve">EXAMPLE DOCUMENT - ILLUSTRATIVE PURPOSES ONLY</w:t>
            </w:r>
          </w:p>
        </w:tc>
      </w:tr>
    </w:tbl>
    <w:p>
      <w:r>
        <w:br w:type="page"/>
      </w:r>
    </w:p>
    <w:p>
      <w:pPr>
        <w:pStyle w:val="Heading1"/>
      </w:pPr>
      <w:r>
        <w:rPr>
          <w:rFonts w:ascii="Arial" w:cs="Arial" w:eastAsia="Arial" w:hAnsi="Arial"/>
          <w:b/>
          <w:bCs/>
          <w:sz w:val="32"/>
          <w:szCs w:val="32"/>
        </w:rPr>
        <w:t xml:space="preserve">1. INTRODUCTION AND BACKGROUND</w:t>
      </w:r>
    </w:p>
    <w:p>
      <w:pPr>
        <w:pBdr>
          <w:bottom w:val="single" w:color="2E5FA3" w:sz="6" w:space="1"/>
        </w:pBdr>
        <w:spacing w:after="240"/>
      </w:pPr>
    </w:p>
    <w:p>
      <w:pPr>
        <w:pStyle w:val="Heading2"/>
      </w:pPr>
      <w:r>
        <w:rPr>
          <w:rFonts w:ascii="Arial" w:cs="Arial" w:eastAsia="Arial" w:hAnsi="Arial"/>
          <w:b/>
          <w:bCs/>
          <w:sz w:val="26"/>
          <w:szCs w:val="26"/>
        </w:rPr>
        <w:t xml:space="preserve">1.1 Purpose</w:t>
      </w:r>
    </w:p>
    <w:p>
      <w:pPr>
        <w:spacing w:after="160" w:line="276"/>
        <w:jc w:val="left"/>
      </w:pPr>
      <w:r>
        <w:rPr>
          <w:rFonts w:ascii="Arial" w:cs="Arial" w:eastAsia="Arial" w:hAnsi="Arial"/>
          <w:b w:val="false"/>
          <w:bCs w:val="false"/>
          <w:i w:val="false"/>
          <w:iCs w:val="false"/>
          <w:color w:val="000000"/>
          <w:sz w:val="20"/>
          <w:szCs w:val="20"/>
        </w:rPr>
        <w:t xml:space="preserve">This Comparability Protocol (CMP-001) defines the criteria and analytical testing strategy to assess whether cervimab drug substance manufactured at the commercial scale (2,000 L fed-batch bioreactor, Site A) is comparable to drug substance manufactured at the Phase 3 clinical scale (200 L fed-batch bioreactor, Site A) used in the pivotal Phase 3 clinical trial (Study CVM-301). The objective is to demonstrate that the manufacturing process change has not adversely affected the safety, efficacy, or quality of cervimab.</w:t>
      </w:r>
    </w:p>
    <w:p>
      <w:pPr>
        <w:spacing w:after="160" w:line="276"/>
        <w:jc w:val="left"/>
      </w:pPr>
      <w:r>
        <w:rPr>
          <w:rFonts w:ascii="Arial" w:cs="Arial" w:eastAsia="Arial" w:hAnsi="Arial"/>
          <w:b w:val="false"/>
          <w:bCs w:val="false"/>
          <w:i w:val="false"/>
          <w:iCs w:val="false"/>
          <w:color w:val="000000"/>
          <w:sz w:val="20"/>
          <w:szCs w:val="20"/>
        </w:rPr>
        <w:t xml:space="preserve"/>
      </w:r>
    </w:p>
    <w:p>
      <w:pPr>
        <w:pStyle w:val="Heading2"/>
      </w:pPr>
      <w:r>
        <w:rPr>
          <w:rFonts w:ascii="Arial" w:cs="Arial" w:eastAsia="Arial" w:hAnsi="Arial"/>
          <w:b/>
          <w:bCs/>
          <w:sz w:val="26"/>
          <w:szCs w:val="26"/>
        </w:rPr>
        <w:t xml:space="preserve">1.2 Description of Manufacturing Changes</w:t>
      </w:r>
    </w:p>
    <w:p>
      <w:pPr>
        <w:spacing w:after="160" w:line="276"/>
        <w:jc w:val="left"/>
      </w:pPr>
      <w:r>
        <w:rPr>
          <w:rFonts w:ascii="Arial" w:cs="Arial" w:eastAsia="Arial" w:hAnsi="Arial"/>
          <w:b w:val="false"/>
          <w:bCs w:val="false"/>
          <w:i w:val="false"/>
          <w:iCs w:val="false"/>
          <w:color w:val="000000"/>
          <w:sz w:val="20"/>
          <w:szCs w:val="20"/>
        </w:rPr>
        <w:t xml:space="preserve">Three manufacturing changes were introduced between Phase 3 and commercial-scale manufacturing: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2520"/>
        <w:gridCol w:w="3000"/>
        <w:gridCol w:w="3000"/>
      </w:tblGrid>
      <w:tr>
        <w:tc>
          <w:tcPr>
            <w:tcW w:type="dxa" w:w="84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No.</w:t>
            </w:r>
          </w:p>
        </w:tc>
        <w:tc>
          <w:tcPr>
            <w:tcW w:type="dxa" w:w="252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Change</w:t>
            </w:r>
          </w:p>
        </w:tc>
        <w:tc>
          <w:tcPr>
            <w:tcW w:type="dxa" w:w="30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Phase 3 (Pre-Change)</w:t>
            </w:r>
          </w:p>
        </w:tc>
        <w:tc>
          <w:tcPr>
            <w:tcW w:type="dxa" w:w="30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Commercial (Post-Change)</w:t>
            </w:r>
          </w:p>
        </w:tc>
      </w:tr>
      <w:tr>
        <w:tc>
          <w:tcPr>
            <w:tcW w:type="dxa" w:w="8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1</w:t>
            </w:r>
          </w:p>
        </w:tc>
        <w:tc>
          <w:tcPr>
            <w:tcW w:type="dxa" w:w="25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Production Bioreactor Scale</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200 L stainless steel stirred tank</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2,000 L stainless steel stirred tank (10x scale-up)</w:t>
            </w:r>
          </w:p>
        </w:tc>
      </w:tr>
      <w:tr>
        <w:tc>
          <w:tcPr>
            <w:tcW w:type="dxa" w:w="8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252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N-1 Seed Bioreactor</w:t>
            </w:r>
          </w:p>
        </w:tc>
        <w:tc>
          <w:tcPr>
            <w:tcW w:type="dxa" w:w="3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20 L stainless steel, N-1 stage</w:t>
            </w:r>
          </w:p>
        </w:tc>
        <w:tc>
          <w:tcPr>
            <w:tcW w:type="dxa" w:w="3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200 L single-use bioreactor (Thermo Fisher HyPerforma S.U.B.)</w:t>
            </w:r>
          </w:p>
        </w:tc>
      </w:tr>
      <w:tr>
        <w:tc>
          <w:tcPr>
            <w:tcW w:type="dxa" w:w="8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3</w:t>
            </w:r>
          </w:p>
        </w:tc>
        <w:tc>
          <w:tcPr>
            <w:tcW w:type="dxa" w:w="25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UF/DF Module</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0.1 m2 Millipore Pellicon 3, 30 kDa MWCO</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 m2 Millipore Pellicon 3, 30 kDa MWCO (same membrane material, larger cassette format)</w:t>
            </w:r>
          </w:p>
        </w:tc>
      </w:tr>
    </w:tbl>
    <w:p>
      <w:pPr>
        <w:spacing w:after="160" w:line="276"/>
        <w:jc w:val="left"/>
      </w:pPr>
      <w:r>
        <w:rPr>
          <w:rFonts w:ascii="Arial" w:cs="Arial" w:eastAsia="Arial" w:hAnsi="Arial"/>
          <w:b w:val="false"/>
          <w:bCs w:val="false"/>
          <w:i w:val="false"/>
          <w:iCs w:val="false"/>
          <w:color w:val="000000"/>
          <w:sz w:val="20"/>
          <w:szCs w:val="20"/>
        </w:rPr>
        <w:t xml:space="preserve"/>
      </w:r>
    </w:p>
    <w:p>
      <w:pPr>
        <w:spacing w:after="160" w:line="276"/>
        <w:jc w:val="left"/>
      </w:pPr>
      <w:r>
        <w:rPr>
          <w:rFonts w:ascii="Arial" w:cs="Arial" w:eastAsia="Arial" w:hAnsi="Arial"/>
          <w:b w:val="false"/>
          <w:bCs w:val="false"/>
          <w:i w:val="false"/>
          <w:iCs w:val="false"/>
          <w:color w:val="000000"/>
          <w:sz w:val="20"/>
          <w:szCs w:val="20"/>
        </w:rPr>
        <w:t xml:space="preserve">The formulation, downstream purification chemistry, and container closure system are UNCHANGED between Phase 3 and commercial manufacturing. The production bioreactor process conditions (temperature, pH, DO, nutrient feeds, culture duration) are within the established proven acceptable ranges (PARs) and characterized design space.</w:t>
      </w:r>
    </w:p>
    <w:p>
      <w:pPr>
        <w:spacing w:after="160" w:line="276"/>
        <w:jc w:val="left"/>
      </w:pPr>
      <w:r>
        <w:rPr>
          <w:rFonts w:ascii="Arial" w:cs="Arial" w:eastAsia="Arial" w:hAnsi="Arial"/>
          <w:b w:val="false"/>
          <w:bCs w:val="false"/>
          <w:i w:val="false"/>
          <w:iCs w:val="false"/>
          <w:color w:val="000000"/>
          <w:sz w:val="20"/>
          <w:szCs w:val="20"/>
        </w:rPr>
        <w:t xml:space="preserve"/>
      </w:r>
    </w:p>
    <w:p>
      <w:pPr>
        <w:pStyle w:val="Heading2"/>
      </w:pPr>
      <w:r>
        <w:rPr>
          <w:rFonts w:ascii="Arial" w:cs="Arial" w:eastAsia="Arial" w:hAnsi="Arial"/>
          <w:b/>
          <w:bCs/>
          <w:sz w:val="26"/>
          <w:szCs w:val="26"/>
        </w:rPr>
        <w:t xml:space="preserve">1.3 Regulatory Context</w:t>
      </w:r>
    </w:p>
    <w:p>
      <w:pPr>
        <w:spacing w:after="160" w:line="276"/>
        <w:jc w:val="left"/>
      </w:pPr>
      <w:r>
        <w:rPr>
          <w:rFonts w:ascii="Arial" w:cs="Arial" w:eastAsia="Arial" w:hAnsi="Arial"/>
          <w:b w:val="false"/>
          <w:bCs w:val="false"/>
          <w:i w:val="false"/>
          <w:iCs w:val="false"/>
          <w:color w:val="000000"/>
          <w:sz w:val="20"/>
          <w:szCs w:val="20"/>
        </w:rPr>
        <w:t xml:space="preserve">Under ICH Q5E, the purpose of comparability assessment is to establish that the pre- and post-change product has a similar profile with respect to quality, safety, and efficacy. If comparability is established at the quality level, clinical bridging is not required. This protocol defines the approach to demonstrating quality comparability. Safety and efficacy comparability are supported by the unchanged clinical indication, dosing regimen, and formulation.</w:t>
      </w:r>
    </w:p>
    <w:p>
      <w:r>
        <w:br w:type="page"/>
      </w:r>
    </w:p>
    <w:p>
      <w:pPr>
        <w:pStyle w:val="Heading1"/>
      </w:pPr>
      <w:r>
        <w:rPr>
          <w:rFonts w:ascii="Arial" w:cs="Arial" w:eastAsia="Arial" w:hAnsi="Arial"/>
          <w:b/>
          <w:bCs/>
          <w:sz w:val="32"/>
          <w:szCs w:val="32"/>
        </w:rPr>
        <w:t xml:space="preserve">2. COMPARABILITY TESTING STRATEGY</w:t>
      </w:r>
    </w:p>
    <w:p>
      <w:pPr>
        <w:pBdr>
          <w:bottom w:val="single" w:color="2E5FA3" w:sz="6" w:space="1"/>
        </w:pBdr>
        <w:spacing w:after="240"/>
      </w:pPr>
    </w:p>
    <w:p>
      <w:pPr>
        <w:pStyle w:val="Heading2"/>
      </w:pPr>
      <w:r>
        <w:rPr>
          <w:rFonts w:ascii="Arial" w:cs="Arial" w:eastAsia="Arial" w:hAnsi="Arial"/>
          <w:b/>
          <w:bCs/>
          <w:sz w:val="26"/>
          <w:szCs w:val="26"/>
        </w:rPr>
        <w:t xml:space="preserve">2.1 Tiered Testing Approach</w:t>
      </w:r>
    </w:p>
    <w:p>
      <w:pPr>
        <w:spacing w:after="160" w:line="276"/>
        <w:jc w:val="left"/>
      </w:pPr>
      <w:r>
        <w:rPr>
          <w:rFonts w:ascii="Arial" w:cs="Arial" w:eastAsia="Arial" w:hAnsi="Arial"/>
          <w:b w:val="false"/>
          <w:bCs w:val="false"/>
          <w:i w:val="false"/>
          <w:iCs w:val="false"/>
          <w:color w:val="000000"/>
          <w:sz w:val="20"/>
          <w:szCs w:val="20"/>
        </w:rPr>
        <w:t xml:space="preserve">A risk-based, tiered testing approach is employed, consistent with ICH Q5E and ICH Q8(R2). Testing is categorized into three tiers based on the criticality of the attribute to clinical safety and efficacy: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000"/>
        <w:gridCol w:w="3000"/>
      </w:tblGrid>
      <w:tr>
        <w:tc>
          <w:tcPr>
            <w:tcW w:type="dxa" w:w="12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Tier</w:t>
            </w:r>
          </w:p>
        </w:tc>
        <w:tc>
          <w:tcPr>
            <w:tcW w:type="dxa" w:w="21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Category</w:t>
            </w:r>
          </w:p>
        </w:tc>
        <w:tc>
          <w:tcPr>
            <w:tcW w:type="dxa" w:w="30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Description</w:t>
            </w:r>
          </w:p>
        </w:tc>
        <w:tc>
          <w:tcPr>
            <w:tcW w:type="dxa" w:w="30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Statistical Criterion</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1</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Critical / High Risk</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Attributes with direct impact on safety or efficacy (potency, aggregates, glycosylation pattern)</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Equivalence test (90% CI within acceptance margin) or individual value comparison vs. specification</w:t>
            </w:r>
          </w:p>
        </w:tc>
      </w:tr>
      <w:tr>
        <w:tc>
          <w:tcPr>
            <w:tcW w:type="dxa" w:w="12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21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Important / Medium Risk</w:t>
            </w:r>
          </w:p>
        </w:tc>
        <w:tc>
          <w:tcPr>
            <w:tcW w:type="dxa" w:w="3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Attributes important for product consistency but with indirect clinical impact (charge variants, HCP, process impurities)</w:t>
            </w:r>
          </w:p>
        </w:tc>
        <w:tc>
          <w:tcPr>
            <w:tcW w:type="dxa" w:w="30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Statistical comparison (two-sample t-test or Mann-Whitney, p &lt; 0.05) and within-specification assessment</w:t>
            </w:r>
          </w:p>
        </w:tc>
      </w:tr>
      <w:tr>
        <w:tc>
          <w:tcPr>
            <w:tcW w:type="dxa" w:w="12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3</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Supportive / Low Risk</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Attributes providing structural confirmation or supporting data (CD spectroscopy, DSC, higher-order structure)</w:t>
            </w:r>
          </w:p>
        </w:tc>
        <w:tc>
          <w:tcPr>
            <w:tcW w:type="dxa" w:w="30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Qualitative assessment; visual comparison; overlay of profiles</w:t>
            </w:r>
          </w:p>
        </w:tc>
      </w:tr>
    </w:tbl>
    <w:p>
      <w:pPr>
        <w:spacing w:after="160" w:line="276"/>
        <w:jc w:val="left"/>
      </w:pPr>
      <w:r>
        <w:rPr>
          <w:rFonts w:ascii="Arial" w:cs="Arial" w:eastAsia="Arial" w:hAnsi="Arial"/>
          <w:b w:val="false"/>
          <w:bCs w:val="false"/>
          <w:i w:val="false"/>
          <w:iCs w:val="false"/>
          <w:color w:val="000000"/>
          <w:sz w:val="20"/>
          <w:szCs w:val="20"/>
        </w:rPr>
        <w:t xml:space="preserve"/>
      </w:r>
    </w:p>
    <w:p>
      <w:pPr>
        <w:pStyle w:val="Heading2"/>
      </w:pPr>
      <w:r>
        <w:rPr>
          <w:rFonts w:ascii="Arial" w:cs="Arial" w:eastAsia="Arial" w:hAnsi="Arial"/>
          <w:b/>
          <w:bCs/>
          <w:sz w:val="26"/>
          <w:szCs w:val="26"/>
        </w:rPr>
        <w:t xml:space="preserve">2.2 Batch Disposition for Comparability</w:t>
      </w:r>
    </w:p>
    <w:p>
      <w:pPr>
        <w:spacing w:after="160" w:line="276"/>
        <w:jc w:val="left"/>
      </w:pPr>
      <w:r>
        <w:rPr>
          <w:rFonts w:ascii="Arial" w:cs="Arial" w:eastAsia="Arial" w:hAnsi="Arial"/>
          <w:b w:val="false"/>
          <w:bCs w:val="false"/>
          <w:i w:val="false"/>
          <w:iCs w:val="false"/>
          <w:color w:val="000000"/>
          <w:sz w:val="20"/>
          <w:szCs w:val="20"/>
        </w:rPr>
        <w:t xml:space="preserve">Pre-change: Three Phase 3 clinical-scale drug substance batches (CVM-DS-P3-001, P3-002, P3-003), manufactured at 200 L scale under the Phase 3 process.</w:t>
      </w:r>
    </w:p>
    <w:p>
      <w:pPr>
        <w:spacing w:after="160" w:line="276"/>
        <w:jc w:val="left"/>
      </w:pPr>
      <w:r>
        <w:rPr>
          <w:rFonts w:ascii="Arial" w:cs="Arial" w:eastAsia="Arial" w:hAnsi="Arial"/>
          <w:b w:val="false"/>
          <w:bCs w:val="false"/>
          <w:i w:val="false"/>
          <w:iCs w:val="false"/>
          <w:color w:val="000000"/>
          <w:sz w:val="20"/>
          <w:szCs w:val="20"/>
        </w:rPr>
        <w:t xml:space="preserve">Post-change: Three commercial-scale PPQ drug substance batches (CVM-DS-PPQ-V01, V02, V03), manufactured at 2,000 L scale.</w:t>
      </w:r>
    </w:p>
    <w:p>
      <w:pPr>
        <w:spacing w:after="160" w:line="276"/>
        <w:jc w:val="left"/>
      </w:pPr>
      <w:r>
        <w:rPr>
          <w:rFonts w:ascii="Arial" w:cs="Arial" w:eastAsia="Arial" w:hAnsi="Arial"/>
          <w:b w:val="false"/>
          <w:bCs w:val="false"/>
          <w:i w:val="false"/>
          <w:iCs w:val="false"/>
          <w:color w:val="000000"/>
          <w:sz w:val="20"/>
          <w:szCs w:val="20"/>
        </w:rPr>
        <w:t xml:space="preserve">All six batches were manufactured at the same site (Acme Biologics, RTP) using the same CHO-K1 cell bank (MCB-Gen3-Lot001). Side-by-side testing was conducted from retained samples stored at &lt;=−70°C.</w:t>
      </w:r>
    </w:p>
    <w:p>
      <w:r>
        <w:br w:type="page"/>
      </w:r>
    </w:p>
    <w:p>
      <w:pPr>
        <w:pStyle w:val="Heading1"/>
      </w:pPr>
      <w:r>
        <w:rPr>
          <w:rFonts w:ascii="Arial" w:cs="Arial" w:eastAsia="Arial" w:hAnsi="Arial"/>
          <w:b/>
          <w:bCs/>
          <w:sz w:val="32"/>
          <w:szCs w:val="32"/>
        </w:rPr>
        <w:t xml:space="preserve">3. ANALYTICAL TESTING PLAN</w:t>
      </w:r>
    </w:p>
    <w:p>
      <w:pPr>
        <w:pBdr>
          <w:bottom w:val="single" w:color="2E5FA3" w:sz="6" w:space="1"/>
        </w:pBdr>
        <w:spacing w:after="240"/>
      </w:pPr>
    </w:p>
    <w:p>
      <w:pPr>
        <w:pStyle w:val="Heading2"/>
      </w:pPr>
      <w:r>
        <w:rPr>
          <w:rFonts w:ascii="Arial" w:cs="Arial" w:eastAsia="Arial" w:hAnsi="Arial"/>
          <w:b/>
          <w:bCs/>
          <w:sz w:val="26"/>
          <w:szCs w:val="26"/>
        </w:rPr>
        <w:t xml:space="preserve">3.1 Tier 1 - Critical Attributes (Full Comparability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920"/>
        <w:gridCol w:w="1920"/>
        <w:gridCol w:w="1680"/>
        <w:gridCol w:w="1680"/>
      </w:tblGrid>
      <w:tr>
        <w:tc>
          <w:tcPr>
            <w:tcW w:type="dxa" w:w="21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Attribute</w:t>
            </w:r>
          </w:p>
        </w:tc>
        <w:tc>
          <w:tcPr>
            <w:tcW w:type="dxa" w:w="192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Method</w:t>
            </w:r>
          </w:p>
        </w:tc>
        <w:tc>
          <w:tcPr>
            <w:tcW w:type="dxa" w:w="192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Acceptance Criterion</w:t>
            </w:r>
          </w:p>
        </w:tc>
        <w:tc>
          <w:tcPr>
            <w:tcW w:type="dxa" w:w="168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Statistical Test</w:t>
            </w:r>
          </w:p>
        </w:tc>
        <w:tc>
          <w:tcPr>
            <w:tcW w:type="dxa" w:w="168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Margin</w:t>
            </w:r>
          </w:p>
        </w:tc>
      </w:tr>
      <w:tr>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Biological Potency (PD-1/PD-L1 blockade, EC50)</w:t>
            </w:r>
          </w:p>
        </w:tc>
        <w:tc>
          <w:tcPr>
            <w:tcW w:type="dxa" w:w="19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Cell-based reporter assay</w:t>
            </w:r>
          </w:p>
        </w:tc>
        <w:tc>
          <w:tcPr>
            <w:tcW w:type="dxa" w:w="19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90% CI of post/pre ratio within 0.80-1.25</w:t>
            </w:r>
          </w:p>
        </w:tc>
        <w:tc>
          <w:tcPr>
            <w:tcW w:type="dxa" w:w="1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Equivalence test</w:t>
            </w:r>
          </w:p>
        </w:tc>
        <w:tc>
          <w:tcPr>
            <w:tcW w:type="dxa" w:w="1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w:t>
            </w:r>
          </w:p>
        </w:tc>
      </w:tr>
      <w:tr>
        <w:tc>
          <w:tcPr>
            <w:tcW w:type="dxa" w:w="21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Purity (SEC-HPLC, % monomer)</w:t>
            </w:r>
          </w:p>
        </w:tc>
        <w:tc>
          <w:tcPr>
            <w:tcW w:type="dxa" w:w="192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SEC-HPLC</w:t>
            </w:r>
          </w:p>
        </w:tc>
        <w:tc>
          <w:tcPr>
            <w:tcW w:type="dxa" w:w="192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90% CI of difference within +/-1.5%</w:t>
            </w:r>
          </w:p>
        </w:tc>
        <w:tc>
          <w:tcPr>
            <w:tcW w:type="dxa" w:w="1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Equivalence test</w:t>
            </w:r>
          </w:p>
        </w:tc>
        <w:tc>
          <w:tcPr>
            <w:tcW w:type="dxa" w:w="1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r>
      <w:tr>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N-Glycan Profile (major species: G0F, G1F, G2F, high mannose)</w:t>
            </w:r>
          </w:p>
        </w:tc>
        <w:tc>
          <w:tcPr>
            <w:tcW w:type="dxa" w:w="19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HILIC-FLD + LC-MS</w:t>
            </w:r>
          </w:p>
        </w:tc>
        <w:tc>
          <w:tcPr>
            <w:tcW w:type="dxa" w:w="19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Individual glycan species: diff &lt;= 10% (absolute)</w:t>
            </w:r>
          </w:p>
        </w:tc>
        <w:tc>
          <w:tcPr>
            <w:tcW w:type="dxa" w:w="1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Descriptive comparison</w:t>
            </w:r>
          </w:p>
        </w:tc>
        <w:tc>
          <w:tcPr>
            <w:tcW w:type="dxa" w:w="1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 abs.</w:t>
            </w:r>
          </w:p>
        </w:tc>
      </w:tr>
      <w:tr>
        <w:tc>
          <w:tcPr>
            <w:tcW w:type="dxa" w:w="21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Aggregates (SEC-HPLC, % HMW)</w:t>
            </w:r>
          </w:p>
        </w:tc>
        <w:tc>
          <w:tcPr>
            <w:tcW w:type="dxa" w:w="192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SEC-HPLC</w:t>
            </w:r>
          </w:p>
        </w:tc>
        <w:tc>
          <w:tcPr>
            <w:tcW w:type="dxa" w:w="192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90% CI of difference within +/-0.5%</w:t>
            </w:r>
          </w:p>
        </w:tc>
        <w:tc>
          <w:tcPr>
            <w:tcW w:type="dxa" w:w="1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Equivalence test</w:t>
            </w:r>
          </w:p>
        </w:tc>
        <w:tc>
          <w:tcPr>
            <w:tcW w:type="dxa" w:w="1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+/-0.5%</w:t>
            </w:r>
          </w:p>
        </w:tc>
      </w:tr>
      <w:tr>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Sub-visible Particles (MFI, &gt;=2 um and &gt;=10 um/mL)</w:t>
            </w:r>
          </w:p>
        </w:tc>
        <w:tc>
          <w:tcPr>
            <w:tcW w:type="dxa" w:w="19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MFI</w:t>
            </w:r>
          </w:p>
        </w:tc>
        <w:tc>
          <w:tcPr>
            <w:tcW w:type="dxa" w:w="19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Individual batch values within specification; no statistically significant increase</w:t>
            </w:r>
          </w:p>
        </w:tc>
        <w:tc>
          <w:tcPr>
            <w:tcW w:type="dxa" w:w="1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Comparison to spec + t-test</w:t>
            </w:r>
          </w:p>
        </w:tc>
        <w:tc>
          <w:tcPr>
            <w:tcW w:type="dxa" w:w="168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Within spec.</w:t>
            </w:r>
          </w:p>
        </w:tc>
      </w:tr>
      <w:tr>
        <w:tc>
          <w:tcPr>
            <w:tcW w:type="dxa" w:w="21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Binding Affinity to PD-1 (KD, nM, SPR)</w:t>
            </w:r>
          </w:p>
        </w:tc>
        <w:tc>
          <w:tcPr>
            <w:tcW w:type="dxa" w:w="192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SPR (Biacore T200)</w:t>
            </w:r>
          </w:p>
        </w:tc>
        <w:tc>
          <w:tcPr>
            <w:tcW w:type="dxa" w:w="192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Ratio of post/pre means: 0.75-1.33</w:t>
            </w:r>
          </w:p>
        </w:tc>
        <w:tc>
          <w:tcPr>
            <w:tcW w:type="dxa" w:w="1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Ratio comparison</w:t>
            </w:r>
          </w:p>
        </w:tc>
        <w:tc>
          <w:tcPr>
            <w:tcW w:type="dxa" w:w="168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+/-33%</w:t>
            </w:r>
          </w:p>
        </w:tc>
      </w:tr>
    </w:tbl>
    <w:p>
      <w:pPr>
        <w:spacing w:after="160" w:line="276"/>
        <w:jc w:val="left"/>
      </w:pPr>
      <w:r>
        <w:rPr>
          <w:rFonts w:ascii="Arial" w:cs="Arial" w:eastAsia="Arial" w:hAnsi="Arial"/>
          <w:b w:val="false"/>
          <w:bCs w:val="false"/>
          <w:i w:val="false"/>
          <w:iCs w:val="false"/>
          <w:color w:val="000000"/>
          <w:sz w:val="20"/>
          <w:szCs w:val="20"/>
        </w:rPr>
        <w:t xml:space="preserve"/>
      </w:r>
    </w:p>
    <w:p>
      <w:pPr>
        <w:pStyle w:val="Heading2"/>
      </w:pPr>
      <w:r>
        <w:rPr>
          <w:rFonts w:ascii="Arial" w:cs="Arial" w:eastAsia="Arial" w:hAnsi="Arial"/>
          <w:b/>
          <w:bCs/>
          <w:sz w:val="26"/>
          <w:szCs w:val="26"/>
        </w:rPr>
        <w:t xml:space="preserve">3.2 Tier 2 - Important Attributes (Statistical Comparability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2400"/>
        <w:gridCol w:w="2400"/>
      </w:tblGrid>
      <w:tr>
        <w:tc>
          <w:tcPr>
            <w:tcW w:type="dxa" w:w="2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Attribute</w:t>
            </w:r>
          </w:p>
        </w:tc>
        <w:tc>
          <w:tcPr>
            <w:tcW w:type="dxa" w:w="21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Method</w:t>
            </w:r>
          </w:p>
        </w:tc>
        <w:tc>
          <w:tcPr>
            <w:tcW w:type="dxa" w:w="2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Acceptance Criterion</w:t>
            </w:r>
          </w:p>
        </w:tc>
        <w:tc>
          <w:tcPr>
            <w:tcW w:type="dxa" w:w="2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Statistical Test</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Charge Variant Profile (cIEF - main peak, acidic, basic %)</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cIEF (iCE3)</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statistically significant difference; all values within spec</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Two-sample t-test (alpha=0.05)</w:t>
            </w:r>
          </w:p>
        </w:tc>
      </w:tr>
      <w:tr>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HCP (ppm)</w:t>
            </w:r>
          </w:p>
        </w:tc>
        <w:tc>
          <w:tcPr>
            <w:tcW w:type="dxa" w:w="21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CHO HCP ELISA</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No significant increase; within spec</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Two-sample t-test</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Host Cell DNA (pg/mg)</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qPCR</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Both pre and post within spec; no significant increase</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Comparison to specification</w:t>
            </w:r>
          </w:p>
        </w:tc>
      </w:tr>
      <w:tr>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Deamidation (Asn-55 HC, % by peptide mapping)</w:t>
            </w:r>
          </w:p>
        </w:tc>
        <w:tc>
          <w:tcPr>
            <w:tcW w:type="dxa" w:w="21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Peptide mapping (LC-MS/MS)</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Diff &lt;= 3% absolute; within spec</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Descriptive + within spec</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Oxidation (Met-254 HC, % by peptide mapping)</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Peptide mapping (LC-MS/MS)</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Diff &lt;= 2% absolute; within spec</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Descriptive + within spec</w:t>
            </w:r>
          </w:p>
        </w:tc>
      </w:tr>
      <w:tr>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Polysorbate 20 content</w:t>
            </w:r>
          </w:p>
        </w:tc>
        <w:tc>
          <w:tcPr>
            <w:tcW w:type="dxa" w:w="21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HPLC-CAD</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Within specification</w:t>
            </w:r>
          </w:p>
        </w:tc>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Comparison to spec</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Endotoxin (EU/mg)</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LAL USP &lt;85&gt;</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Within specification (&lt;=1.0 EU/mg)</w:t>
            </w:r>
          </w:p>
        </w:tc>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Comparison to spec</w:t>
            </w:r>
          </w:p>
        </w:tc>
      </w:tr>
    </w:tbl>
    <w:p>
      <w:pPr>
        <w:spacing w:after="160" w:line="276"/>
        <w:jc w:val="left"/>
      </w:pPr>
      <w:r>
        <w:rPr>
          <w:rFonts w:ascii="Arial" w:cs="Arial" w:eastAsia="Arial" w:hAnsi="Arial"/>
          <w:b w:val="false"/>
          <w:bCs w:val="false"/>
          <w:i w:val="false"/>
          <w:iCs w:val="false"/>
          <w:color w:val="000000"/>
          <w:sz w:val="20"/>
          <w:szCs w:val="20"/>
        </w:rPr>
        <w:t xml:space="preserve"/>
      </w:r>
    </w:p>
    <w:p>
      <w:pPr>
        <w:pStyle w:val="Heading2"/>
      </w:pPr>
      <w:r>
        <w:rPr>
          <w:rFonts w:ascii="Arial" w:cs="Arial" w:eastAsia="Arial" w:hAnsi="Arial"/>
          <w:b/>
          <w:bCs/>
          <w:sz w:val="26"/>
          <w:szCs w:val="26"/>
        </w:rPr>
        <w:t xml:space="preserve">3.3 Tier 3 - Supportive Structural Characterization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Attribute</w:t>
            </w:r>
          </w:p>
        </w:tc>
        <w:tc>
          <w:tcPr>
            <w:tcW w:type="dxa" w:w="21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Method</w:t>
            </w:r>
          </w:p>
        </w:tc>
        <w:tc>
          <w:tcPr>
            <w:tcW w:type="dxa" w:w="480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Comparability Assessment</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Higher-Order Structure (secondary, tertiary)</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CD spectroscopy + HDX-MS</w:t>
            </w:r>
          </w:p>
        </w:tc>
        <w:tc>
          <w:tcPr>
            <w:tcW w:type="dxa" w:w="4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Overlay of CD spectra (190-260 nm); visual comparison; no significant shift in secondary structure content</w:t>
            </w:r>
          </w:p>
        </w:tc>
      </w:tr>
      <w:tr>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Thermal Stability (Tm1, Tm2)</w:t>
            </w:r>
          </w:p>
        </w:tc>
        <w:tc>
          <w:tcPr>
            <w:tcW w:type="dxa" w:w="21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DSC (nano-DSC)</w:t>
            </w:r>
          </w:p>
        </w:tc>
        <w:tc>
          <w:tcPr>
            <w:tcW w:type="dxa" w:w="4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Tm within +/-2 deg C; thermogram profile qualitatively similar</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Hydrodynamic Radius (Rh) by DLS</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DLS</w:t>
            </w:r>
          </w:p>
        </w:tc>
        <w:tc>
          <w:tcPr>
            <w:tcW w:type="dxa" w:w="4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Mean Rh within +/-0.5 nm; PDI comparable</w:t>
            </w:r>
          </w:p>
        </w:tc>
      </w:tr>
      <w:tr>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Intact Mass (non-reduced, deglycosylated)</w:t>
            </w:r>
          </w:p>
        </w:tc>
        <w:tc>
          <w:tcPr>
            <w:tcW w:type="dxa" w:w="21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LC-MS (intact mass)</w:t>
            </w:r>
          </w:p>
        </w:tc>
        <w:tc>
          <w:tcPr>
            <w:tcW w:type="dxa" w:w="4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Mass difference &lt;= 5 Da from theoretical; consistent with expected primary sequence</w:t>
            </w:r>
          </w:p>
        </w:tc>
      </w:tr>
      <w:tr>
        <w:tc>
          <w:tcPr>
            <w:tcW w:type="dxa" w:w="24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Disulfide Bond Integrity</w:t>
            </w:r>
          </w:p>
        </w:tc>
        <w:tc>
          <w:tcPr>
            <w:tcW w:type="dxa" w:w="216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Peptide mapping (non-reduced)</w:t>
            </w:r>
          </w:p>
        </w:tc>
        <w:tc>
          <w:tcPr>
            <w:tcW w:type="dxa" w:w="480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16 disulfide bonds confirmed; no aberrant free thiols</w:t>
            </w:r>
          </w:p>
        </w:tc>
      </w:tr>
      <w:tr>
        <w:tc>
          <w:tcPr>
            <w:tcW w:type="dxa" w:w="24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FcRn Binding (pH 6.0 and 7.4)</w:t>
            </w:r>
          </w:p>
        </w:tc>
        <w:tc>
          <w:tcPr>
            <w:tcW w:type="dxa" w:w="216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SPR (Biacore)</w:t>
            </w:r>
          </w:p>
        </w:tc>
        <w:tc>
          <w:tcPr>
            <w:tcW w:type="dxa" w:w="480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KD ratio (post/pre) within 0.67-1.50 at pH 6.0; qualitative similarity at pH 7.4</w:t>
            </w:r>
          </w:p>
        </w:tc>
      </w:tr>
    </w:tbl>
    <w:p>
      <w:r>
        <w:br w:type="page"/>
      </w:r>
    </w:p>
    <w:p>
      <w:pPr>
        <w:pStyle w:val="Heading1"/>
      </w:pPr>
      <w:r>
        <w:rPr>
          <w:rFonts w:ascii="Arial" w:cs="Arial" w:eastAsia="Arial" w:hAnsi="Arial"/>
          <w:b/>
          <w:bCs/>
          <w:sz w:val="32"/>
          <w:szCs w:val="32"/>
        </w:rPr>
        <w:t xml:space="preserve">4. PRE-DEFINED ACCEPTANCE CRITERIA AND DECISION TREE</w:t>
      </w:r>
    </w:p>
    <w:p>
      <w:pPr>
        <w:pBdr>
          <w:bottom w:val="single" w:color="2E5FA3" w:sz="6" w:space="1"/>
        </w:pBdr>
        <w:spacing w:after="240"/>
      </w:pPr>
    </w:p>
    <w:p>
      <w:pPr>
        <w:pStyle w:val="Heading2"/>
      </w:pPr>
      <w:r>
        <w:rPr>
          <w:rFonts w:ascii="Arial" w:cs="Arial" w:eastAsia="Arial" w:hAnsi="Arial"/>
          <w:b/>
          <w:bCs/>
          <w:sz w:val="26"/>
          <w:szCs w:val="26"/>
        </w:rPr>
        <w:t xml:space="preserve">4.1 Overall Comparability Conclusion Criteria</w:t>
      </w:r>
    </w:p>
    <w:p>
      <w:pPr>
        <w:spacing w:after="160" w:line="276"/>
        <w:jc w:val="left"/>
      </w:pPr>
      <w:r>
        <w:rPr>
          <w:rFonts w:ascii="Arial" w:cs="Arial" w:eastAsia="Arial" w:hAnsi="Arial"/>
          <w:b w:val="false"/>
          <w:bCs w:val="false"/>
          <w:i w:val="false"/>
          <w:iCs w:val="false"/>
          <w:color w:val="000000"/>
          <w:sz w:val="20"/>
          <w:szCs w:val="20"/>
        </w:rPr>
        <w:t xml:space="preserve">Comparability is established (product is 'comparable') when ALL of the following conditions are met:</w:t>
      </w:r>
    </w:p>
    <w:p>
      <w:pPr>
        <w:pStyle w:val="ListParagraph"/>
        <w:numPr>
          <w:ilvl w:val="0"/>
          <w:numId w:val="2"/>
        </w:numPr>
        <w:spacing w:after="100"/>
      </w:pPr>
      <w:r>
        <w:rPr>
          <w:rFonts w:ascii="Arial" w:cs="Arial" w:eastAsia="Arial" w:hAnsi="Arial"/>
          <w:sz w:val="20"/>
          <w:szCs w:val="20"/>
        </w:rPr>
        <w:t xml:space="preserve">ALL Tier 1 critical attributes meet their pre-defined acceptance criteria</w:t>
      </w:r>
    </w:p>
    <w:p>
      <w:pPr>
        <w:pStyle w:val="ListParagraph"/>
        <w:numPr>
          <w:ilvl w:val="0"/>
          <w:numId w:val="2"/>
        </w:numPr>
        <w:spacing w:after="100"/>
      </w:pPr>
      <w:r>
        <w:rPr>
          <w:rFonts w:ascii="Arial" w:cs="Arial" w:eastAsia="Arial" w:hAnsi="Arial"/>
          <w:sz w:val="20"/>
          <w:szCs w:val="20"/>
        </w:rPr>
        <w:t xml:space="preserve">ALL Tier 2 important attributes show no statistically significant differences AND all individual values are within the approved specification</w:t>
      </w:r>
    </w:p>
    <w:p>
      <w:pPr>
        <w:pStyle w:val="ListParagraph"/>
        <w:numPr>
          <w:ilvl w:val="0"/>
          <w:numId w:val="2"/>
        </w:numPr>
        <w:spacing w:after="100"/>
      </w:pPr>
      <w:r>
        <w:rPr>
          <w:rFonts w:ascii="Arial" w:cs="Arial" w:eastAsia="Arial" w:hAnsi="Arial"/>
          <w:sz w:val="20"/>
          <w:szCs w:val="20"/>
        </w:rPr>
        <w:t xml:space="preserve">ALL Tier 3 supportive attributes show qualitative similarity with no unexpected differences</w:t>
      </w:r>
    </w:p>
    <w:p>
      <w:pPr>
        <w:pStyle w:val="ListParagraph"/>
        <w:numPr>
          <w:ilvl w:val="0"/>
          <w:numId w:val="2"/>
        </w:numPr>
        <w:spacing w:after="100"/>
      </w:pPr>
      <w:r>
        <w:rPr>
          <w:rFonts w:ascii="Arial" w:cs="Arial" w:eastAsia="Arial" w:hAnsi="Arial"/>
          <w:sz w:val="20"/>
          <w:szCs w:val="20"/>
        </w:rPr>
        <w:t xml:space="preserve">No new impurities are identified in the post-change material above reporting thresholds</w:t>
      </w:r>
    </w:p>
    <w:p>
      <w:pPr>
        <w:pStyle w:val="ListParagraph"/>
        <w:numPr>
          <w:ilvl w:val="0"/>
          <w:numId w:val="2"/>
        </w:numPr>
        <w:spacing w:after="100"/>
      </w:pPr>
      <w:r>
        <w:rPr>
          <w:rFonts w:ascii="Arial" w:cs="Arial" w:eastAsia="Arial" w:hAnsi="Arial"/>
          <w:sz w:val="20"/>
          <w:szCs w:val="20"/>
        </w:rPr>
        <w:t xml:space="preserve">No new structural variants are identified by mass spectrometry that are absent from the pre-change material</w:t>
      </w:r>
    </w:p>
    <w:p>
      <w:pPr>
        <w:spacing w:after="160" w:line="276"/>
        <w:jc w:val="left"/>
      </w:pPr>
      <w:r>
        <w:rPr>
          <w:rFonts w:ascii="Arial" w:cs="Arial" w:eastAsia="Arial" w:hAnsi="Arial"/>
          <w:b w:val="false"/>
          <w:bCs w:val="false"/>
          <w:i w:val="false"/>
          <w:iCs w:val="false"/>
          <w:color w:val="000000"/>
          <w:sz w:val="20"/>
          <w:szCs w:val="20"/>
        </w:rPr>
        <w:t xml:space="preserve"/>
      </w:r>
    </w:p>
    <w:p>
      <w:pPr>
        <w:spacing w:after="160" w:line="276"/>
        <w:jc w:val="left"/>
      </w:pPr>
      <w:r>
        <w:rPr>
          <w:rFonts w:ascii="Arial" w:cs="Arial" w:eastAsia="Arial" w:hAnsi="Arial"/>
          <w:b w:val="false"/>
          <w:bCs w:val="false"/>
          <w:i w:val="false"/>
          <w:iCs w:val="false"/>
          <w:color w:val="000000"/>
          <w:sz w:val="20"/>
          <w:szCs w:val="20"/>
        </w:rPr>
        <w:t xml:space="preserve">If ANY Tier 1 criterion is not met, comparability is not established and a clinical bridging study may be required.</w:t>
      </w:r>
    </w:p>
    <w:p>
      <w:pPr>
        <w:spacing w:after="160" w:line="276"/>
        <w:jc w:val="left"/>
      </w:pPr>
      <w:r>
        <w:rPr>
          <w:rFonts w:ascii="Arial" w:cs="Arial" w:eastAsia="Arial" w:hAnsi="Arial"/>
          <w:b w:val="false"/>
          <w:bCs w:val="false"/>
          <w:i w:val="false"/>
          <w:iCs w:val="false"/>
          <w:color w:val="000000"/>
          <w:sz w:val="20"/>
          <w:szCs w:val="20"/>
        </w:rPr>
        <w:t xml:space="preserve">If any Tier 2 or Tier 3 finding is unexpected, a root cause investigation will be conducted and the impact on product quality and clinical safety/efficacy will be assessed prior to a final comparability determination.</w:t>
      </w:r>
    </w:p>
    <w:p>
      <w:pPr>
        <w:spacing w:after="160" w:line="276"/>
        <w:jc w:val="left"/>
      </w:pPr>
      <w:r>
        <w:rPr>
          <w:rFonts w:ascii="Arial" w:cs="Arial" w:eastAsia="Arial" w:hAnsi="Arial"/>
          <w:b w:val="false"/>
          <w:bCs w:val="false"/>
          <w:i w:val="false"/>
          <w:iCs w:val="false"/>
          <w:color w:val="000000"/>
          <w:sz w:val="20"/>
          <w:szCs w:val="20"/>
        </w:rPr>
        <w:t xml:space="preserve"/>
      </w:r>
    </w:p>
    <w:p>
      <w:pPr>
        <w:pStyle w:val="Heading2"/>
      </w:pPr>
      <w:r>
        <w:rPr>
          <w:rFonts w:ascii="Arial" w:cs="Arial" w:eastAsia="Arial" w:hAnsi="Arial"/>
          <w:b/>
          <w:bCs/>
          <w:sz w:val="26"/>
          <w:szCs w:val="26"/>
        </w:rPr>
        <w:t xml:space="preserve">4.2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Scenario</w:t>
            </w:r>
          </w:p>
        </w:tc>
        <w:tc>
          <w:tcPr>
            <w:tcW w:type="dxa" w:w="312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Action Required</w:t>
            </w:r>
          </w:p>
        </w:tc>
        <w:tc>
          <w:tcPr>
            <w:tcW w:type="dxa" w:w="312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Regulatory Consequence</w:t>
            </w:r>
          </w:p>
        </w:tc>
      </w:tr>
      <w:tr>
        <w:tc>
          <w:tcPr>
            <w:tcW w:type="dxa" w:w="3120"/>
            <w:tcBorders>
              <w:top w:val="single" w:color="B0C4DE" w:sz="1"/>
              <w:left w:val="single" w:color="B0C4DE" w:sz="1"/>
              <w:bottom w:val="single" w:color="B0C4DE" w:sz="1"/>
              <w:right w:val="single" w:color="B0C4DE" w:sz="1"/>
            </w:tcBorders>
            <w:shd w:fill="E8F5EE" w:val="clear"/>
            <w:tcMar>
              <w:top w:type="dxa" w:w="80"/>
              <w:left w:type="dxa" w:w="120"/>
              <w:bottom w:type="dxa" w:w="80"/>
              <w:right w:type="dxa" w:w="120"/>
            </w:tcMar>
          </w:tcPr>
          <w:p>
            <w:r>
              <w:rPr>
                <w:rFonts w:ascii="Arial" w:cs="Arial" w:eastAsia="Arial" w:hAnsi="Arial"/>
                <w:b/>
                <w:bCs/>
                <w:color w:val="1A5C38"/>
                <w:sz w:val="18"/>
                <w:szCs w:val="18"/>
              </w:rPr>
              <w:t xml:space="preserve">All criteria met (Tier 1, 2, 3)</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Issue Comparability Report (CRM-001); proceed to commercial launch</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clinical bridging study required; document in BLA Module 3</w:t>
            </w:r>
          </w:p>
        </w:tc>
      </w:tr>
      <w:tr>
        <w:tc>
          <w:tcPr>
            <w:tcW w:type="dxa" w:w="3120"/>
            <w:tcBorders>
              <w:top w:val="single" w:color="B0C4DE" w:sz="1"/>
              <w:left w:val="single" w:color="B0C4DE" w:sz="1"/>
              <w:bottom w:val="single" w:color="B0C4DE" w:sz="1"/>
              <w:right w:val="single" w:color="B0C4DE" w:sz="1"/>
            </w:tcBorders>
            <w:shd w:fill="FFEEEE" w:val="clear"/>
            <w:tcMar>
              <w:top w:type="dxa" w:w="80"/>
              <w:left w:type="dxa" w:w="120"/>
              <w:bottom w:type="dxa" w:w="80"/>
              <w:right w:type="dxa" w:w="120"/>
            </w:tcMar>
          </w:tcPr>
          <w:p>
            <w:r>
              <w:rPr>
                <w:rFonts w:ascii="Arial" w:cs="Arial" w:eastAsia="Arial" w:hAnsi="Arial"/>
                <w:b/>
                <w:bCs/>
                <w:color w:val="8B0000"/>
                <w:sz w:val="18"/>
                <w:szCs w:val="18"/>
              </w:rPr>
              <w:t xml:space="preserve">Tier 1 failure (1 attribute)</w:t>
            </w:r>
          </w:p>
        </w:tc>
        <w:tc>
          <w:tcPr>
            <w:tcW w:type="dxa" w:w="312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Root cause investigation; risk assessment; CAPA; consider clinical bridging</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May require clinical bridging study; FDA/EMA consultation</w:t>
            </w:r>
          </w:p>
        </w:tc>
      </w:tr>
      <w:tr>
        <w:tc>
          <w:tcPr>
            <w:tcW w:type="dxa" w:w="3120"/>
            <w:tcBorders>
              <w:top w:val="single" w:color="B0C4DE" w:sz="1"/>
              <w:left w:val="single" w:color="B0C4DE" w:sz="1"/>
              <w:bottom w:val="single" w:color="B0C4DE" w:sz="1"/>
              <w:right w:val="single" w:color="B0C4DE" w:sz="1"/>
            </w:tcBorders>
            <w:shd w:fill="FFF8E1" w:val="clear"/>
            <w:tcMar>
              <w:top w:type="dxa" w:w="80"/>
              <w:left w:type="dxa" w:w="120"/>
              <w:bottom w:type="dxa" w:w="80"/>
              <w:right w:type="dxa" w:w="120"/>
            </w:tcMar>
          </w:tcPr>
          <w:p>
            <w:r>
              <w:rPr>
                <w:rFonts w:ascii="Arial" w:cs="Arial" w:eastAsia="Arial" w:hAnsi="Arial"/>
                <w:b/>
                <w:bCs/>
                <w:color w:val="7B5700"/>
                <w:sz w:val="18"/>
                <w:szCs w:val="18"/>
              </w:rPr>
              <w:t xml:space="preserve">Tier 2/3 failure only</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Root cause investigation; risk assessment; documented justification for acceptable difference</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Additional data package in BLA; no clinical bridging if justified</w:t>
            </w:r>
          </w:p>
        </w:tc>
      </w:tr>
    </w:tbl>
    <w:p>
      <w:r>
        <w:br w:type="page"/>
      </w:r>
    </w:p>
    <w:p>
      <w:pPr>
        <w:pStyle w:val="Heading1"/>
      </w:pPr>
      <w:r>
        <w:rPr>
          <w:rFonts w:ascii="Arial" w:cs="Arial" w:eastAsia="Arial" w:hAnsi="Arial"/>
          <w:b/>
          <w:bCs/>
          <w:sz w:val="32"/>
          <w:szCs w:val="32"/>
        </w:rPr>
        <w:t xml:space="preserve">5. COMPARABILITY ASSESSMENT RESULTS</w:t>
      </w:r>
    </w:p>
    <w:p>
      <w:pPr>
        <w:pBdr>
          <w:bottom w:val="single" w:color="2E5FA3" w:sz="6" w:space="1"/>
        </w:pBdr>
        <w:spacing w:after="240"/>
      </w:pPr>
    </w:p>
    <w:p>
      <w:pPr>
        <w:pStyle w:val="Heading2"/>
      </w:pPr>
      <w:r>
        <w:rPr>
          <w:rFonts w:ascii="Arial" w:cs="Arial" w:eastAsia="Arial" w:hAnsi="Arial"/>
          <w:b/>
          <w:bCs/>
          <w:sz w:val="26"/>
          <w:szCs w:val="26"/>
        </w:rPr>
        <w:t xml:space="preserve">5.1 Summary of Comparability Findings</w:t>
      </w:r>
    </w:p>
    <w:p>
      <w:pPr>
        <w:spacing w:after="160" w:line="276"/>
        <w:jc w:val="left"/>
      </w:pPr>
      <w:r>
        <w:rPr>
          <w:rFonts w:ascii="Arial" w:cs="Arial" w:eastAsia="Arial" w:hAnsi="Arial"/>
          <w:b w:val="false"/>
          <w:bCs w:val="false"/>
          <w:i w:val="false"/>
          <w:iCs w:val="false"/>
          <w:color w:val="000000"/>
          <w:sz w:val="20"/>
          <w:szCs w:val="20"/>
        </w:rPr>
        <w:t xml:space="preserve">Side-by-side testing of three Phase 3 pre-change batches vs. three commercial PPQ post-change batches was conducted. The following table summarizes the key results. Full data tabulations and statistical outputs are provided in the Comparability Report (CRM-001).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1440"/>
        <w:gridCol w:w="1440"/>
        <w:gridCol w:w="1440"/>
        <w:gridCol w:w="1440"/>
        <w:gridCol w:w="1560"/>
      </w:tblGrid>
      <w:tr>
        <w:tc>
          <w:tcPr>
            <w:tcW w:type="dxa" w:w="204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Attribute</w:t>
            </w:r>
          </w:p>
        </w:tc>
        <w:tc>
          <w:tcPr>
            <w:tcW w:type="dxa" w:w="144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Tier</w:t>
            </w:r>
          </w:p>
        </w:tc>
        <w:tc>
          <w:tcPr>
            <w:tcW w:type="dxa" w:w="144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Pre-Change Mean (n=3)</w:t>
            </w:r>
          </w:p>
        </w:tc>
        <w:tc>
          <w:tcPr>
            <w:tcW w:type="dxa" w:w="144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Post-Change Mean (n=3)</w:t>
            </w:r>
          </w:p>
        </w:tc>
        <w:tc>
          <w:tcPr>
            <w:tcW w:type="dxa" w:w="144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Statistical Result</w:t>
            </w:r>
          </w:p>
        </w:tc>
        <w:tc>
          <w:tcPr>
            <w:tcW w:type="dxa" w:w="156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Comparable?</w:t>
            </w:r>
          </w:p>
        </w:tc>
      </w:tr>
      <w:tr>
        <w:tc>
          <w:tcPr>
            <w:tcW w:type="dxa" w:w="20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Potency (% RS, EC50)</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99.3%</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101%</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90% CI: 0.91-1.11; within 0.80-1.25</w:t>
            </w:r>
          </w:p>
        </w:tc>
        <w:tc>
          <w:tcPr>
            <w:tcW w:type="dxa" w:w="1560"/>
            <w:tcBorders>
              <w:top w:val="single" w:color="B0C4DE" w:sz="1"/>
              <w:left w:val="single" w:color="B0C4DE" w:sz="1"/>
              <w:bottom w:val="single" w:color="B0C4DE" w:sz="1"/>
              <w:right w:val="single" w:color="B0C4DE" w:sz="1"/>
            </w:tcBorders>
            <w:shd w:fill="E8F5EE" w:val="clear"/>
            <w:tcMar>
              <w:top w:type="dxa" w:w="80"/>
              <w:left w:type="dxa" w:w="120"/>
              <w:bottom w:type="dxa" w:w="80"/>
              <w:right w:type="dxa" w:w="120"/>
            </w:tcMar>
          </w:tcPr>
          <w:p>
            <w:r>
              <w:rPr>
                <w:rFonts w:ascii="Arial" w:cs="Arial" w:eastAsia="Arial" w:hAnsi="Arial"/>
                <w:b/>
                <w:bCs/>
                <w:color w:val="1A5C38"/>
                <w:sz w:val="18"/>
                <w:szCs w:val="18"/>
              </w:rPr>
              <w:t xml:space="preserve">YES</w:t>
            </w:r>
          </w:p>
        </w:tc>
      </w:tr>
      <w:tr>
        <w:tc>
          <w:tcPr>
            <w:tcW w:type="dxa" w:w="20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Monomer % (SEC-HPLC)</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98.8%</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99.1%</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90% CI diff: -0.4% to +0.9%; within +/-1.5%</w:t>
            </w:r>
          </w:p>
        </w:tc>
        <w:tc>
          <w:tcPr>
            <w:tcW w:type="dxa" w:w="1560"/>
            <w:tcBorders>
              <w:top w:val="single" w:color="B0C4DE" w:sz="1"/>
              <w:left w:val="single" w:color="B0C4DE" w:sz="1"/>
              <w:bottom w:val="single" w:color="B0C4DE" w:sz="1"/>
              <w:right w:val="single" w:color="B0C4DE" w:sz="1"/>
            </w:tcBorders>
            <w:shd w:fill="E8F5EE" w:val="clear"/>
            <w:tcMar>
              <w:top w:type="dxa" w:w="80"/>
              <w:left w:type="dxa" w:w="120"/>
              <w:bottom w:type="dxa" w:w="80"/>
              <w:right w:type="dxa" w:w="120"/>
            </w:tcMar>
          </w:tcPr>
          <w:p>
            <w:r>
              <w:rPr>
                <w:rFonts w:ascii="Arial" w:cs="Arial" w:eastAsia="Arial" w:hAnsi="Arial"/>
                <w:b/>
                <w:bCs/>
                <w:color w:val="1A5C38"/>
                <w:sz w:val="18"/>
                <w:szCs w:val="18"/>
              </w:rPr>
              <w:t xml:space="preserve">YES</w:t>
            </w:r>
          </w:p>
        </w:tc>
      </w:tr>
      <w:tr>
        <w:tc>
          <w:tcPr>
            <w:tcW w:type="dxa" w:w="20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KD PD-1 (nM, SPR)</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0.84 nM</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0.81 nM</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Ratio 0.96; within 0.75-1.33</w:t>
            </w:r>
          </w:p>
        </w:tc>
        <w:tc>
          <w:tcPr>
            <w:tcW w:type="dxa" w:w="1560"/>
            <w:tcBorders>
              <w:top w:val="single" w:color="B0C4DE" w:sz="1"/>
              <w:left w:val="single" w:color="B0C4DE" w:sz="1"/>
              <w:bottom w:val="single" w:color="B0C4DE" w:sz="1"/>
              <w:right w:val="single" w:color="B0C4DE" w:sz="1"/>
            </w:tcBorders>
            <w:shd w:fill="E8F5EE" w:val="clear"/>
            <w:tcMar>
              <w:top w:type="dxa" w:w="80"/>
              <w:left w:type="dxa" w:w="120"/>
              <w:bottom w:type="dxa" w:w="80"/>
              <w:right w:type="dxa" w:w="120"/>
            </w:tcMar>
          </w:tcPr>
          <w:p>
            <w:r>
              <w:rPr>
                <w:rFonts w:ascii="Arial" w:cs="Arial" w:eastAsia="Arial" w:hAnsi="Arial"/>
                <w:b/>
                <w:bCs/>
                <w:color w:val="1A5C38"/>
                <w:sz w:val="18"/>
                <w:szCs w:val="18"/>
              </w:rPr>
              <w:t xml:space="preserve">YES</w:t>
            </w:r>
          </w:p>
        </w:tc>
      </w:tr>
      <w:tr>
        <w:tc>
          <w:tcPr>
            <w:tcW w:type="dxa" w:w="20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HMW aggregates (SEC, %)</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0.51%</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0.48%</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90% CI diff: -0.06% to +0.09%; within +/-0.5%</w:t>
            </w:r>
          </w:p>
        </w:tc>
        <w:tc>
          <w:tcPr>
            <w:tcW w:type="dxa" w:w="1560"/>
            <w:tcBorders>
              <w:top w:val="single" w:color="B0C4DE" w:sz="1"/>
              <w:left w:val="single" w:color="B0C4DE" w:sz="1"/>
              <w:bottom w:val="single" w:color="B0C4DE" w:sz="1"/>
              <w:right w:val="single" w:color="B0C4DE" w:sz="1"/>
            </w:tcBorders>
            <w:shd w:fill="E8F5EE" w:val="clear"/>
            <w:tcMar>
              <w:top w:type="dxa" w:w="80"/>
              <w:left w:type="dxa" w:w="120"/>
              <w:bottom w:type="dxa" w:w="80"/>
              <w:right w:type="dxa" w:w="120"/>
            </w:tcMar>
          </w:tcPr>
          <w:p>
            <w:r>
              <w:rPr>
                <w:rFonts w:ascii="Arial" w:cs="Arial" w:eastAsia="Arial" w:hAnsi="Arial"/>
                <w:b/>
                <w:bCs/>
                <w:color w:val="1A5C38"/>
                <w:sz w:val="18"/>
                <w:szCs w:val="18"/>
              </w:rPr>
              <w:t xml:space="preserve">YES</w:t>
            </w:r>
          </w:p>
        </w:tc>
      </w:tr>
      <w:tr>
        <w:tc>
          <w:tcPr>
            <w:tcW w:type="dxa" w:w="20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G0F glycan (HILIC, %)</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44.2%</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45.1%</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Diff = 0.9% abs; within +/-10%</w:t>
            </w:r>
          </w:p>
        </w:tc>
        <w:tc>
          <w:tcPr>
            <w:tcW w:type="dxa" w:w="1560"/>
            <w:tcBorders>
              <w:top w:val="single" w:color="B0C4DE" w:sz="1"/>
              <w:left w:val="single" w:color="B0C4DE" w:sz="1"/>
              <w:bottom w:val="single" w:color="B0C4DE" w:sz="1"/>
              <w:right w:val="single" w:color="B0C4DE" w:sz="1"/>
            </w:tcBorders>
            <w:shd w:fill="E8F5EE" w:val="clear"/>
            <w:tcMar>
              <w:top w:type="dxa" w:w="80"/>
              <w:left w:type="dxa" w:w="120"/>
              <w:bottom w:type="dxa" w:w="80"/>
              <w:right w:type="dxa" w:w="120"/>
            </w:tcMar>
          </w:tcPr>
          <w:p>
            <w:r>
              <w:rPr>
                <w:rFonts w:ascii="Arial" w:cs="Arial" w:eastAsia="Arial" w:hAnsi="Arial"/>
                <w:b/>
                <w:bCs/>
                <w:color w:val="1A5C38"/>
                <w:sz w:val="18"/>
                <w:szCs w:val="18"/>
              </w:rPr>
              <w:t xml:space="preserve">YES</w:t>
            </w:r>
          </w:p>
        </w:tc>
      </w:tr>
      <w:tr>
        <w:tc>
          <w:tcPr>
            <w:tcW w:type="dxa" w:w="20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 Mannose (HILIC, %)</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3.8%</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4.1%</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Diff = 0.3% abs; within +/-10%</w:t>
            </w:r>
          </w:p>
        </w:tc>
        <w:tc>
          <w:tcPr>
            <w:tcW w:type="dxa" w:w="1560"/>
            <w:tcBorders>
              <w:top w:val="single" w:color="B0C4DE" w:sz="1"/>
              <w:left w:val="single" w:color="B0C4DE" w:sz="1"/>
              <w:bottom w:val="single" w:color="B0C4DE" w:sz="1"/>
              <w:right w:val="single" w:color="B0C4DE" w:sz="1"/>
            </w:tcBorders>
            <w:shd w:fill="E8F5EE" w:val="clear"/>
            <w:tcMar>
              <w:top w:type="dxa" w:w="80"/>
              <w:left w:type="dxa" w:w="120"/>
              <w:bottom w:type="dxa" w:w="80"/>
              <w:right w:type="dxa" w:w="120"/>
            </w:tcMar>
          </w:tcPr>
          <w:p>
            <w:r>
              <w:rPr>
                <w:rFonts w:ascii="Arial" w:cs="Arial" w:eastAsia="Arial" w:hAnsi="Arial"/>
                <w:b/>
                <w:bCs/>
                <w:color w:val="1A5C38"/>
                <w:sz w:val="18"/>
                <w:szCs w:val="18"/>
              </w:rPr>
              <w:t xml:space="preserve">YES</w:t>
            </w:r>
          </w:p>
        </w:tc>
      </w:tr>
      <w:tr>
        <w:tc>
          <w:tcPr>
            <w:tcW w:type="dxa" w:w="20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HCP (ppm)</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13.1</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8.2</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t-test p=0.08; both within spec (&lt;=25 ppm); decrease consistent with scale-up improvement</w:t>
            </w:r>
          </w:p>
        </w:tc>
        <w:tc>
          <w:tcPr>
            <w:tcW w:type="dxa" w:w="1560"/>
            <w:tcBorders>
              <w:top w:val="single" w:color="B0C4DE" w:sz="1"/>
              <w:left w:val="single" w:color="B0C4DE" w:sz="1"/>
              <w:bottom w:val="single" w:color="B0C4DE" w:sz="1"/>
              <w:right w:val="single" w:color="B0C4DE" w:sz="1"/>
            </w:tcBorders>
            <w:shd w:fill="E8F5EE" w:val="clear"/>
            <w:tcMar>
              <w:top w:type="dxa" w:w="80"/>
              <w:left w:type="dxa" w:w="120"/>
              <w:bottom w:type="dxa" w:w="80"/>
              <w:right w:type="dxa" w:w="120"/>
            </w:tcMar>
          </w:tcPr>
          <w:p>
            <w:r>
              <w:rPr>
                <w:rFonts w:ascii="Arial" w:cs="Arial" w:eastAsia="Arial" w:hAnsi="Arial"/>
                <w:b/>
                <w:bCs/>
                <w:color w:val="1A5C38"/>
                <w:sz w:val="18"/>
                <w:szCs w:val="18"/>
              </w:rPr>
              <w:t xml:space="preserve">YES</w:t>
            </w:r>
          </w:p>
        </w:tc>
      </w:tr>
      <w:tr>
        <w:tc>
          <w:tcPr>
            <w:tcW w:type="dxa" w:w="20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Acidic variants (cIEF, %)</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9.2%</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8.2%</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t-test p=0.12; both within spec</w:t>
            </w:r>
          </w:p>
        </w:tc>
        <w:tc>
          <w:tcPr>
            <w:tcW w:type="dxa" w:w="1560"/>
            <w:tcBorders>
              <w:top w:val="single" w:color="B0C4DE" w:sz="1"/>
              <w:left w:val="single" w:color="B0C4DE" w:sz="1"/>
              <w:bottom w:val="single" w:color="B0C4DE" w:sz="1"/>
              <w:right w:val="single" w:color="B0C4DE" w:sz="1"/>
            </w:tcBorders>
            <w:shd w:fill="E8F5EE" w:val="clear"/>
            <w:tcMar>
              <w:top w:type="dxa" w:w="80"/>
              <w:left w:type="dxa" w:w="120"/>
              <w:bottom w:type="dxa" w:w="80"/>
              <w:right w:type="dxa" w:w="120"/>
            </w:tcMar>
          </w:tcPr>
          <w:p>
            <w:r>
              <w:rPr>
                <w:rFonts w:ascii="Arial" w:cs="Arial" w:eastAsia="Arial" w:hAnsi="Arial"/>
                <w:b/>
                <w:bCs/>
                <w:color w:val="1A5C38"/>
                <w:sz w:val="18"/>
                <w:szCs w:val="18"/>
              </w:rPr>
              <w:t xml:space="preserve">YES</w:t>
            </w:r>
          </w:p>
        </w:tc>
      </w:tr>
      <w:tr>
        <w:tc>
          <w:tcPr>
            <w:tcW w:type="dxa" w:w="20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Deamidation Asn-55 HC (%)</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2.9%</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2.7%</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Diff 0.2% abs; within spec and margin</w:t>
            </w:r>
          </w:p>
        </w:tc>
        <w:tc>
          <w:tcPr>
            <w:tcW w:type="dxa" w:w="1560"/>
            <w:tcBorders>
              <w:top w:val="single" w:color="B0C4DE" w:sz="1"/>
              <w:left w:val="single" w:color="B0C4DE" w:sz="1"/>
              <w:bottom w:val="single" w:color="B0C4DE" w:sz="1"/>
              <w:right w:val="single" w:color="B0C4DE" w:sz="1"/>
            </w:tcBorders>
            <w:shd w:fill="E8F5EE" w:val="clear"/>
            <w:tcMar>
              <w:top w:type="dxa" w:w="80"/>
              <w:left w:type="dxa" w:w="120"/>
              <w:bottom w:type="dxa" w:w="80"/>
              <w:right w:type="dxa" w:w="120"/>
            </w:tcMar>
          </w:tcPr>
          <w:p>
            <w:r>
              <w:rPr>
                <w:rFonts w:ascii="Arial" w:cs="Arial" w:eastAsia="Arial" w:hAnsi="Arial"/>
                <w:b/>
                <w:bCs/>
                <w:color w:val="1A5C38"/>
                <w:sz w:val="18"/>
                <w:szCs w:val="18"/>
              </w:rPr>
              <w:t xml:space="preserve">YES</w:t>
            </w:r>
          </w:p>
        </w:tc>
      </w:tr>
      <w:tr>
        <w:tc>
          <w:tcPr>
            <w:tcW w:type="dxa" w:w="20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Tm1 (DSC, deg C)</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72.1</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72.4</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Diff 0.3 deg C; within +/-2 deg C</w:t>
            </w:r>
          </w:p>
        </w:tc>
        <w:tc>
          <w:tcPr>
            <w:tcW w:type="dxa" w:w="1560"/>
            <w:tcBorders>
              <w:top w:val="single" w:color="B0C4DE" w:sz="1"/>
              <w:left w:val="single" w:color="B0C4DE" w:sz="1"/>
              <w:bottom w:val="single" w:color="B0C4DE" w:sz="1"/>
              <w:right w:val="single" w:color="B0C4DE" w:sz="1"/>
            </w:tcBorders>
            <w:shd w:fill="E8F5EE" w:val="clear"/>
            <w:tcMar>
              <w:top w:type="dxa" w:w="80"/>
              <w:left w:type="dxa" w:w="120"/>
              <w:bottom w:type="dxa" w:w="80"/>
              <w:right w:type="dxa" w:w="120"/>
            </w:tcMar>
          </w:tcPr>
          <w:p>
            <w:r>
              <w:rPr>
                <w:rFonts w:ascii="Arial" w:cs="Arial" w:eastAsia="Arial" w:hAnsi="Arial"/>
                <w:b/>
                <w:bCs/>
                <w:color w:val="1A5C38"/>
                <w:sz w:val="18"/>
                <w:szCs w:val="18"/>
              </w:rPr>
              <w:t xml:space="preserve">YES</w:t>
            </w:r>
          </w:p>
        </w:tc>
      </w:tr>
      <w:tr>
        <w:tc>
          <w:tcPr>
            <w:tcW w:type="dxa" w:w="20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CD spectrum (secondary structure)</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Ref overlay</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Overlay</w:t>
            </w:r>
          </w:p>
        </w:tc>
        <w:tc>
          <w:tcPr>
            <w:tcW w:type="dxa" w:w="144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Spectra superimposable; no shift in minima</w:t>
            </w:r>
          </w:p>
        </w:tc>
        <w:tc>
          <w:tcPr>
            <w:tcW w:type="dxa" w:w="1560"/>
            <w:tcBorders>
              <w:top w:val="single" w:color="B0C4DE" w:sz="1"/>
              <w:left w:val="single" w:color="B0C4DE" w:sz="1"/>
              <w:bottom w:val="single" w:color="B0C4DE" w:sz="1"/>
              <w:right w:val="single" w:color="B0C4DE" w:sz="1"/>
            </w:tcBorders>
            <w:shd w:fill="E8F5EE" w:val="clear"/>
            <w:tcMar>
              <w:top w:type="dxa" w:w="80"/>
              <w:left w:type="dxa" w:w="120"/>
              <w:bottom w:type="dxa" w:w="80"/>
              <w:right w:type="dxa" w:w="120"/>
            </w:tcMar>
          </w:tcPr>
          <w:p>
            <w:r>
              <w:rPr>
                <w:rFonts w:ascii="Arial" w:cs="Arial" w:eastAsia="Arial" w:hAnsi="Arial"/>
                <w:b/>
                <w:bCs/>
                <w:color w:val="1A5C38"/>
                <w:sz w:val="18"/>
                <w:szCs w:val="18"/>
              </w:rPr>
              <w:t xml:space="preserve">YES</w:t>
            </w:r>
          </w:p>
        </w:tc>
      </w:tr>
      <w:tr>
        <w:tc>
          <w:tcPr>
            <w:tcW w:type="dxa" w:w="20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Intact mass (Da, deglycosylated)</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3</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146,482 Da</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146,481 Da</w:t>
            </w:r>
          </w:p>
        </w:tc>
        <w:tc>
          <w:tcPr>
            <w:tcW w:type="dxa" w:w="144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Diff 1 Da; within 5 Da criterion</w:t>
            </w:r>
          </w:p>
        </w:tc>
        <w:tc>
          <w:tcPr>
            <w:tcW w:type="dxa" w:w="1560"/>
            <w:tcBorders>
              <w:top w:val="single" w:color="B0C4DE" w:sz="1"/>
              <w:left w:val="single" w:color="B0C4DE" w:sz="1"/>
              <w:bottom w:val="single" w:color="B0C4DE" w:sz="1"/>
              <w:right w:val="single" w:color="B0C4DE" w:sz="1"/>
            </w:tcBorders>
            <w:shd w:fill="E8F5EE" w:val="clear"/>
            <w:tcMar>
              <w:top w:type="dxa" w:w="80"/>
              <w:left w:type="dxa" w:w="120"/>
              <w:bottom w:type="dxa" w:w="80"/>
              <w:right w:type="dxa" w:w="120"/>
            </w:tcMar>
          </w:tcPr>
          <w:p>
            <w:r>
              <w:rPr>
                <w:rFonts w:ascii="Arial" w:cs="Arial" w:eastAsia="Arial" w:hAnsi="Arial"/>
                <w:b/>
                <w:bCs/>
                <w:color w:val="1A5C38"/>
                <w:sz w:val="18"/>
                <w:szCs w:val="18"/>
              </w:rPr>
              <w:t xml:space="preserve">YES</w:t>
            </w:r>
          </w:p>
        </w:tc>
      </w:tr>
    </w:tbl>
    <w:p>
      <w:pPr>
        <w:spacing w:after="160" w:line="276"/>
        <w:jc w:val="left"/>
      </w:pPr>
      <w:r>
        <w:rPr>
          <w:rFonts w:ascii="Arial" w:cs="Arial" w:eastAsia="Arial" w:hAnsi="Arial"/>
          <w:b w:val="false"/>
          <w:bCs w:val="false"/>
          <w:i w:val="false"/>
          <w:iCs w:val="false"/>
          <w:color w:val="000000"/>
          <w:sz w:val="20"/>
          <w:szCs w:val="20"/>
        </w:rPr>
        <w:t xml:space="preserve"/>
      </w:r>
    </w:p>
    <w:p>
      <w:pPr>
        <w:pStyle w:val="Heading2"/>
      </w:pPr>
      <w:r>
        <w:rPr>
          <w:rFonts w:ascii="Arial" w:cs="Arial" w:eastAsia="Arial" w:hAnsi="Arial"/>
          <w:b/>
          <w:bCs/>
          <w:sz w:val="26"/>
          <w:szCs w:val="26"/>
        </w:rPr>
        <w:t xml:space="preserve">5.2 New Impurities Assessment</w:t>
      </w:r>
    </w:p>
    <w:p>
      <w:pPr>
        <w:spacing w:after="160" w:line="276"/>
        <w:jc w:val="left"/>
      </w:pPr>
      <w:r>
        <w:rPr>
          <w:rFonts w:ascii="Arial" w:cs="Arial" w:eastAsia="Arial" w:hAnsi="Arial"/>
          <w:b w:val="false"/>
          <w:bCs w:val="false"/>
          <w:i w:val="false"/>
          <w:iCs w:val="false"/>
          <w:color w:val="000000"/>
          <w:sz w:val="20"/>
          <w:szCs w:val="20"/>
        </w:rPr>
        <w:t xml:space="preserve">No new product-related or process-related impurities were identified in the post-change (commercial PPQ) material above ICH Q6B reporting thresholds. Mass spectrometric peptide mapping (n=3 batches each) confirmed identical variant profiles between pre- and post-change material. No new HCP species were identified by 2D-DIGE or mass spectrometry-based HCP characterization in the post-change material.</w:t>
      </w:r>
    </w:p>
    <w:p>
      <w:pPr>
        <w:spacing w:after="160" w:line="276"/>
        <w:jc w:val="left"/>
      </w:pPr>
      <w:r>
        <w:rPr>
          <w:rFonts w:ascii="Arial" w:cs="Arial" w:eastAsia="Arial" w:hAnsi="Arial"/>
          <w:b w:val="false"/>
          <w:bCs w:val="false"/>
          <w:i w:val="false"/>
          <w:iCs w:val="false"/>
          <w:color w:val="000000"/>
          <w:sz w:val="20"/>
          <w:szCs w:val="20"/>
        </w:rPr>
        <w:t xml:space="preserve"/>
      </w:r>
    </w:p>
    <w:p>
      <w:pPr>
        <w:pStyle w:val="Heading2"/>
      </w:pPr>
      <w:r>
        <w:rPr>
          <w:rFonts w:ascii="Arial" w:cs="Arial" w:eastAsia="Arial" w:hAnsi="Arial"/>
          <w:b/>
          <w:bCs/>
          <w:sz w:val="26"/>
          <w:szCs w:val="26"/>
        </w:rPr>
        <w:t xml:space="preserve">5.3 Comparability Conclusion</w:t>
      </w:r>
    </w:p>
    <w:p>
      <w:pPr>
        <w:spacing w:after="160" w:line="276"/>
        <w:jc w:val="left"/>
      </w:pPr>
      <w:r>
        <w:rPr>
          <w:rFonts w:ascii="Arial" w:cs="Arial" w:eastAsia="Arial" w:hAnsi="Arial"/>
          <w:b w:val="false"/>
          <w:bCs w:val="false"/>
          <w:i w:val="false"/>
          <w:iCs w:val="false"/>
          <w:color w:val="000000"/>
          <w:sz w:val="20"/>
          <w:szCs w:val="20"/>
        </w:rPr>
        <w:t xml:space="preserve">Based on the totality of the analytical evidence, cervimab drug substance manufactured at the commercial scale (2,000 L fed-batch, Acme Biologics) is COMPARABLE to the Phase 3 clinical material (200 L scale) used in the pivotal Phase 3 trial (CVM-301). All Tier 1, Tier 2, and Tier 3 acceptance criteria are satisfied. A minor, statistically non-significant improvement in HCP clearance was observed at commercial scale, which is attributed to the improved process control at larger scale and is not considered an adverse change.</w:t>
      </w:r>
    </w:p>
    <w:p>
      <w:pPr>
        <w:spacing w:after="160" w:line="276"/>
        <w:jc w:val="left"/>
      </w:pPr>
      <w:r>
        <w:rPr>
          <w:rFonts w:ascii="Arial" w:cs="Arial" w:eastAsia="Arial" w:hAnsi="Arial"/>
          <w:b w:val="false"/>
          <w:bCs w:val="false"/>
          <w:i w:val="false"/>
          <w:iCs w:val="false"/>
          <w:color w:val="000000"/>
          <w:sz w:val="20"/>
          <w:szCs w:val="20"/>
        </w:rPr>
        <w:t xml:space="preserve"/>
      </w:r>
    </w:p>
    <w:p>
      <w:pPr>
        <w:spacing w:after="160" w:line="276"/>
        <w:jc w:val="left"/>
      </w:pPr>
      <w:r>
        <w:rPr>
          <w:rFonts w:ascii="Arial" w:cs="Arial" w:eastAsia="Arial" w:hAnsi="Arial"/>
          <w:b w:val="false"/>
          <w:bCs w:val="false"/>
          <w:i/>
          <w:iCs/>
          <w:color w:val="000000"/>
          <w:sz w:val="20"/>
          <w:szCs w:val="20"/>
        </w:rPr>
        <w:t xml:space="preserve">No clinical bridging study is required. This comparability package, including the full Comparability Report (CRM-001), will be submitted as part of the BLA Module 3.</w:t>
      </w:r>
    </w:p>
    <w:p>
      <w:pPr>
        <w:spacing w:after="160" w:line="276"/>
        <w:jc w:val="left"/>
      </w:pPr>
      <w:r>
        <w:rPr>
          <w:rFonts w:ascii="Arial" w:cs="Arial" w:eastAsia="Arial" w:hAnsi="Arial"/>
          <w:b w:val="false"/>
          <w:bCs w:val="false"/>
          <w:i w:val="false"/>
          <w:iCs w:val="false"/>
          <w:color w:val="000000"/>
          <w:sz w:val="20"/>
          <w:szCs w:val="20"/>
        </w:rPr>
        <w:t xml:space="preserve"/>
      </w:r>
    </w:p>
    <w:p>
      <w:pPr>
        <w:pStyle w:val="Heading1"/>
      </w:pPr>
      <w:r>
        <w:rPr>
          <w:rFonts w:ascii="Arial" w:cs="Arial" w:eastAsia="Arial" w:hAnsi="Arial"/>
          <w:b/>
          <w:bCs/>
          <w:sz w:val="32"/>
          <w:szCs w:val="32"/>
        </w:rPr>
        <w:t xml:space="preserve">6. IMPACT ON CLINICAL SAFETY AND EFFICACY</w:t>
      </w:r>
    </w:p>
    <w:p>
      <w:pPr>
        <w:pBdr>
          <w:bottom w:val="single" w:color="2E5FA3" w:sz="6" w:space="1"/>
        </w:pBdr>
        <w:spacing w:after="240"/>
      </w:pPr>
    </w:p>
    <w:p>
      <w:pPr>
        <w:spacing w:after="160" w:line="276"/>
        <w:jc w:val="left"/>
      </w:pPr>
      <w:r>
        <w:rPr>
          <w:rFonts w:ascii="Arial" w:cs="Arial" w:eastAsia="Arial" w:hAnsi="Arial"/>
          <w:b w:val="false"/>
          <w:bCs w:val="false"/>
          <w:i w:val="false"/>
          <w:iCs w:val="false"/>
          <w:color w:val="000000"/>
          <w:sz w:val="20"/>
          <w:szCs w:val="20"/>
        </w:rPr>
        <w:t xml:space="preserve">The comparability assessment supports the conclusion that the manufacturing process change has not adversely affected the safety or efficacy of cervimab:</w:t>
      </w:r>
    </w:p>
    <w:p>
      <w:pPr>
        <w:pStyle w:val="ListParagraph"/>
        <w:numPr>
          <w:ilvl w:val="0"/>
          <w:numId w:val="2"/>
        </w:numPr>
        <w:spacing w:after="100"/>
      </w:pPr>
      <w:r>
        <w:rPr>
          <w:rFonts w:ascii="Arial" w:cs="Arial" w:eastAsia="Arial" w:hAnsi="Arial"/>
          <w:sz w:val="20"/>
          <w:szCs w:val="20"/>
        </w:rPr>
        <w:t xml:space="preserve">Biological potency (PD-1/PD-L1 blockade) is comparable, supporting equivalent in vivo activity</w:t>
      </w:r>
    </w:p>
    <w:p>
      <w:pPr>
        <w:pStyle w:val="ListParagraph"/>
        <w:numPr>
          <w:ilvl w:val="0"/>
          <w:numId w:val="2"/>
        </w:numPr>
        <w:spacing w:after="100"/>
      </w:pPr>
      <w:r>
        <w:rPr>
          <w:rFonts w:ascii="Arial" w:cs="Arial" w:eastAsia="Arial" w:hAnsi="Arial"/>
          <w:sz w:val="20"/>
          <w:szCs w:val="20"/>
        </w:rPr>
        <w:t xml:space="preserve">No change in PD-1 binding affinity (KD) was observed, confirming the target engagement profile is unchanged</w:t>
      </w:r>
    </w:p>
    <w:p>
      <w:pPr>
        <w:pStyle w:val="ListParagraph"/>
        <w:numPr>
          <w:ilvl w:val="0"/>
          <w:numId w:val="2"/>
        </w:numPr>
        <w:spacing w:after="100"/>
      </w:pPr>
      <w:r>
        <w:rPr>
          <w:rFonts w:ascii="Arial" w:cs="Arial" w:eastAsia="Arial" w:hAnsi="Arial"/>
          <w:sz w:val="20"/>
          <w:szCs w:val="20"/>
        </w:rPr>
        <w:t xml:space="preserve">Glycosylation profile is comparable, supporting equivalent Fc effector function (minimal ADCC, consistent FcRn binding)</w:t>
      </w:r>
    </w:p>
    <w:p>
      <w:pPr>
        <w:pStyle w:val="ListParagraph"/>
        <w:numPr>
          <w:ilvl w:val="0"/>
          <w:numId w:val="2"/>
        </w:numPr>
        <w:spacing w:after="100"/>
      </w:pPr>
      <w:r>
        <w:rPr>
          <w:rFonts w:ascii="Arial" w:cs="Arial" w:eastAsia="Arial" w:hAnsi="Arial"/>
          <w:sz w:val="20"/>
          <w:szCs w:val="20"/>
        </w:rPr>
        <w:t xml:space="preserve">Aggregate and particle content is comparable or improved, supporting equivalent immunogenicity risk</w:t>
      </w:r>
    </w:p>
    <w:p>
      <w:pPr>
        <w:pStyle w:val="ListParagraph"/>
        <w:numPr>
          <w:ilvl w:val="0"/>
          <w:numId w:val="2"/>
        </w:numPr>
        <w:spacing w:after="100"/>
      </w:pPr>
      <w:r>
        <w:rPr>
          <w:rFonts w:ascii="Arial" w:cs="Arial" w:eastAsia="Arial" w:hAnsi="Arial"/>
          <w:sz w:val="20"/>
          <w:szCs w:val="20"/>
        </w:rPr>
        <w:t xml:space="preserve">Process impurity levels (HCP, DNA) are within specifications with a non-adverse decrease at commercial scale</w:t>
      </w:r>
    </w:p>
    <w:p>
      <w:pPr>
        <w:pStyle w:val="ListParagraph"/>
        <w:numPr>
          <w:ilvl w:val="0"/>
          <w:numId w:val="2"/>
        </w:numPr>
        <w:spacing w:after="100"/>
      </w:pPr>
      <w:r>
        <w:rPr>
          <w:rFonts w:ascii="Arial" w:cs="Arial" w:eastAsia="Arial" w:hAnsi="Arial"/>
          <w:sz w:val="20"/>
          <w:szCs w:val="20"/>
        </w:rPr>
        <w:t xml:space="preserve">Higher-order structure (CD, DSC, HDX-MS, intact mass) is indistinguishable between pre- and post-change material</w:t>
      </w:r>
    </w:p>
    <w:p>
      <w:pPr>
        <w:spacing w:after="160" w:line="276"/>
        <w:jc w:val="left"/>
      </w:pPr>
      <w:r>
        <w:rPr>
          <w:rFonts w:ascii="Arial" w:cs="Arial" w:eastAsia="Arial" w:hAnsi="Arial"/>
          <w:b w:val="false"/>
          <w:bCs w:val="false"/>
          <w:i w:val="false"/>
          <w:iCs w:val="false"/>
          <w:color w:val="000000"/>
          <w:sz w:val="20"/>
          <w:szCs w:val="20"/>
        </w:rPr>
        <w:t xml:space="preserve"/>
      </w:r>
    </w:p>
    <w:p>
      <w:pPr>
        <w:spacing w:after="160" w:line="276"/>
        <w:jc w:val="left"/>
      </w:pPr>
      <w:r>
        <w:rPr>
          <w:rFonts w:ascii="Arial" w:cs="Arial" w:eastAsia="Arial" w:hAnsi="Arial"/>
          <w:b w:val="false"/>
          <w:bCs w:val="false"/>
          <w:i w:val="false"/>
          <w:iCs w:val="false"/>
          <w:color w:val="000000"/>
          <w:sz w:val="20"/>
          <w:szCs w:val="20"/>
        </w:rPr>
        <w:t xml:space="preserve">These data, in conjunction with the established pharmacological mechanism of PD-1 inhibition, provide high confidence that clinical outcomes observed in Study CVM-301 are fully applicable to cervimab manufactured at the commercial scale.</w:t>
      </w:r>
    </w:p>
    <w:p>
      <w:r>
        <w:br w:type="page"/>
      </w:r>
    </w:p>
    <w:p>
      <w:pPr>
        <w:pStyle w:val="Heading1"/>
      </w:pPr>
      <w:r>
        <w:rPr>
          <w:rFonts w:ascii="Arial" w:cs="Arial" w:eastAsia="Arial" w:hAnsi="Arial"/>
          <w:b/>
          <w:bCs/>
          <w:sz w:val="32"/>
          <w:szCs w:val="32"/>
        </w:rPr>
        <w:t xml:space="preserve">7. APPROVALS</w:t>
      </w:r>
    </w:p>
    <w:p>
      <w:pPr>
        <w:pBdr>
          <w:bottom w:val="single" w:color="2E5FA3" w:sz="6" w:space="1"/>
        </w:pBd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Role</w:t>
            </w:r>
          </w:p>
        </w:tc>
        <w:tc>
          <w:tcPr>
            <w:tcW w:type="dxa" w:w="312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Name / Title</w:t>
            </w:r>
          </w:p>
        </w:tc>
        <w:tc>
          <w:tcPr>
            <w:tcW w:type="dxa" w:w="3120"/>
            <w:tcBorders>
              <w:top w:val="single" w:color="B0C4DE" w:sz="1"/>
              <w:left w:val="single" w:color="B0C4DE" w:sz="1"/>
              <w:bottom w:val="single" w:color="B0C4DE" w:sz="1"/>
              <w:right w:val="single" w:color="B0C4DE" w:sz="1"/>
            </w:tcBorders>
            <w:shd w:fill="1F3864"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Signature / Date</w:t>
            </w:r>
          </w:p>
        </w:tc>
      </w:tr>
      <w:tr>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Protocol Author</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Director, Drug Substance Development, CerviGen Therapeutics</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_________________________</w:t>
            </w:r>
          </w:p>
        </w:tc>
      </w:tr>
      <w:tr>
        <w:tc>
          <w:tcPr>
            <w:tcW w:type="dxa" w:w="312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Reviewed By</w:t>
            </w:r>
          </w:p>
        </w:tc>
        <w:tc>
          <w:tcPr>
            <w:tcW w:type="dxa" w:w="312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Head of Analytical Development, CerviGen Therapeutics</w:t>
            </w:r>
          </w:p>
        </w:tc>
        <w:tc>
          <w:tcPr>
            <w:tcW w:type="dxa" w:w="312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_________________________</w:t>
            </w:r>
          </w:p>
        </w:tc>
      </w:tr>
      <w:tr>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Reviewed By</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Vice President, Regulatory Affairs (CMC), CerviGen Therapeutics</w:t>
            </w:r>
          </w:p>
        </w:tc>
        <w:tc>
          <w:tcPr>
            <w:tcW w:type="dxa" w:w="3120"/>
            <w:tcBorders>
              <w:top w:val="single" w:color="B0C4DE" w:sz="1"/>
              <w:left w:val="single" w:color="B0C4DE" w:sz="1"/>
              <w:bottom w:val="single" w:color="B0C4DE" w:sz="1"/>
              <w:right w:val="single" w:color="B0C4DE"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_________________________</w:t>
            </w:r>
          </w:p>
        </w:tc>
      </w:tr>
      <w:tr>
        <w:tc>
          <w:tcPr>
            <w:tcW w:type="dxa" w:w="312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Approved By</w:t>
            </w:r>
          </w:p>
        </w:tc>
        <w:tc>
          <w:tcPr>
            <w:tcW w:type="dxa" w:w="312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Chief Scientific Officer, CerviGen Therapeutics</w:t>
            </w:r>
          </w:p>
        </w:tc>
        <w:tc>
          <w:tcPr>
            <w:tcW w:type="dxa" w:w="3120"/>
            <w:tcBorders>
              <w:top w:val="single" w:color="B0C4DE" w:sz="1"/>
              <w:left w:val="single" w:color="B0C4DE" w:sz="1"/>
              <w:bottom w:val="single" w:color="B0C4DE" w:sz="1"/>
              <w:right w:val="single" w:color="B0C4DE"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_________________________</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tabs>
        <w:tab w:val="right" w:pos="9026"/>
      </w:tabs>
      <w:spacing w:before="80"/>
    </w:pPr>
    <w:r>
      <w:rPr>
        <w:rFonts w:ascii="Arial" w:cs="Arial" w:eastAsia="Arial" w:hAnsi="Arial"/>
        <w:color w:val="888888"/>
        <w:sz w:val="16"/>
        <w:szCs w:val="16"/>
      </w:rPr>
      <w:t xml:space="preserve">CMP-001 | Version 1.0 | March 2026</w:t>
    </w:r>
    <w:r>
      <w:rPr>
        <w:rFonts w:ascii="Arial" w:cs="Arial" w:eastAsia="Arial" w:hAnsi="Arial"/>
        <w:color w:val="888888"/>
        <w:sz w:val="16"/>
        <w:szCs w:val="16"/>
      </w:rPr>
      <w:t xml:space="preserve">	Page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tabs>
        <w:tab w:val="right" w:pos="9026"/>
      </w:tabs>
      <w:spacing w:after="120"/>
    </w:pPr>
    <w:r>
      <w:rPr>
        <w:rFonts w:ascii="Arial" w:cs="Arial" w:eastAsia="Arial" w:hAnsi="Arial"/>
        <w:b/>
        <w:bCs/>
        <w:color w:val="1F3864"/>
        <w:sz w:val="18"/>
        <w:szCs w:val="18"/>
      </w:rPr>
      <w:t xml:space="preserve">CERVIMAB - Comparability Protocol CMP-001</w:t>
    </w:r>
    <w:r>
      <w:rPr>
        <w:rFonts w:ascii="Arial" w:cs="Arial" w:eastAsia="Arial" w:hAnsi="Arial"/>
        <w:color w:val="888888"/>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FA3"/>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B0082"/>
      <w:sz w:val="22"/>
      <w:szCs w:val="22"/>
    </w:rPr>
  </w:style>
  <w:style w:type="paragraph" w:styleId="Heading4">
    <w:name w:val="Heading 4"/>
    <w:basedOn w:val="Normal"/>
    <w:next w:val="Normal"/>
    <w:qFormat/>
    <w:pPr>
      <w:spacing w:before="160" w:after="100"/>
      <w:outlineLvl w:val="3"/>
    </w:pPr>
    <w:rPr>
      <w:rFonts w:ascii="Arial" w:cs="Arial" w:eastAsia="Arial" w:hAnsi="Arial"/>
      <w:b/>
      <w:bCs/>
      <w:i/>
      <w:iCs/>
      <w:color w:val="44444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2026-03-16T14:32:10.820Z</dcterms:created>
  <dcterms:modified xsi:type="dcterms:W3CDTF">2026-03-16T14:32:10.821Z</dcterms:modified>
</cp:coreProperties>
</file>

<file path=docProps/custom.xml><?xml version="1.0" encoding="utf-8"?>
<Properties xmlns="http://schemas.openxmlformats.org/officeDocument/2006/custom-properties" xmlns:vt="http://schemas.openxmlformats.org/officeDocument/2006/docPropsVTypes"/>
</file>