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b/>
          <w:bCs/>
          <w:color w:val="1F3864"/>
          <w:sz w:val="52"/>
          <w:szCs w:val="52"/>
        </w:rPr>
        <w:t xml:space="preserve">STATISTICAL ANALYSIS PLAN</w:t>
      </w:r>
    </w:p>
    <w:p>
      <w:pPr>
        <w:spacing w:before="120" w:after="0"/>
        <w:jc w:val="center"/>
      </w:pPr>
      <w:r>
        <w:rPr>
          <w:rFonts w:ascii="Arial" w:cs="Arial" w:eastAsia="Arial" w:hAnsi="Arial"/>
          <w:color w:val="595959"/>
          <w:sz w:val="28"/>
          <w:szCs w:val="28"/>
        </w:rPr>
        <w:t xml:space="preserve">Phase 3, Randomized, Controlled Study</w:t>
      </w:r>
    </w:p>
    <w:p>
      <w:pPr>
        <w:spacing w:before="80" w:after="80"/>
      </w:pPr>
      <w:r>
        <w:t xml:space="preserve"/>
      </w:r>
    </w:p>
    <w:p>
      <w:pPr>
        <w:pBdr>
          <w:top w:val="single" w:color="2E75B6" w:sz="2" w:space="4"/>
          <w:bottom w:val="single" w:color="2E75B6" w:sz="2" w:space="4"/>
        </w:pBdr>
        <w:spacing w:before="240" w:after="120"/>
        <w:jc w:val="center"/>
      </w:pPr>
      <w:r>
        <w:rPr>
          <w:rFonts w:ascii="Arial" w:cs="Arial" w:eastAsia="Arial" w:hAnsi="Arial"/>
          <w:b/>
          <w:bCs/>
          <w:color w:val="1F3864"/>
          <w:sz w:val="24"/>
          <w:szCs w:val="24"/>
        </w:rPr>
        <w:t xml:space="preserve">Cervimab (Anti-PD-1 Monoclonal Antibody) versus FOLFOX-6/Bevacizumab</w:t>
      </w:r>
    </w:p>
    <w:p>
      <w:pPr>
        <w:spacing w:before="80" w:after="240"/>
        <w:jc w:val="center"/>
      </w:pPr>
      <w:r>
        <w:rPr>
          <w:rFonts w:ascii="Arial" w:cs="Arial" w:eastAsia="Arial" w:hAnsi="Arial"/>
          <w:color w:val="1F3864"/>
          <w:sz w:val="22"/>
          <w:szCs w:val="22"/>
        </w:rPr>
        <w:t xml:space="preserve">in Previously Untreated dMMR/MSI-H Metastatic Colorectal Cancer</w:t>
      </w:r>
    </w:p>
    <w:p>
      <w:pPr>
        <w:spacing w:before="80" w:after="8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Protocol Number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CERV-301</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SAP Version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2.0 (Final)</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SAP Date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14 January 2026</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IND Number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IND 145-902</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Sponsor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NovaPharma Oncology, Inc.</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Sponsor Address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 Innovation Drive, Cambridge, MA 02139</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Biostatistician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Margaret H. Lin, PhD — Head of Biostatistics</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Medical Monitor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James R. Chen, MD, PhD — VP Clinical Development</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Phase 3 (Registrational)</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Indication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dMMR/MSI-H Metastatic Colorectal Cancer (1L)</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FDA Regulation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21 CFR Parts 312, 314; ICH E9(R1), E8(R1)</w:t>
            </w:r>
          </w:p>
        </w:tc>
      </w:tr>
    </w:tbl>
    <w:p>
      <w:pPr>
        <w:spacing w:before="480" w:after="120"/>
        <w:jc w:val="center"/>
      </w:pPr>
      <w:r>
        <w:rPr>
          <w:rFonts w:ascii="Arial" w:cs="Arial" w:eastAsia="Arial" w:hAnsi="Arial"/>
          <w:b/>
          <w:bCs/>
          <w:color w:val="C00000"/>
          <w:sz w:val="18"/>
          <w:szCs w:val="18"/>
        </w:rPr>
        <w:t xml:space="preserve">CONFIDENTIAL — FOR REGULATORY USE ONLY</w:t>
      </w:r>
    </w:p>
    <w:p>
      <w:pPr>
        <w:spacing w:before="60" w:after="0"/>
        <w:jc w:val="center"/>
      </w:pPr>
      <w:r>
        <w:rPr>
          <w:rFonts w:ascii="Arial" w:cs="Arial" w:eastAsia="Arial" w:hAnsi="Arial"/>
          <w:i/>
          <w:iCs/>
          <w:color w:val="595959"/>
          <w:sz w:val="16"/>
          <w:szCs w:val="16"/>
        </w:rPr>
        <w:t xml:space="preserve">This document contains proprietary and confidential information of NovaPharma Oncology, Inc.</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APPROVAL SIGNATURES</w:t>
      </w:r>
    </w:p>
    <w:p>
      <w:pPr>
        <w:spacing w:before="60" w:after="80"/>
      </w:pPr>
      <w:r>
        <w:rPr>
          <w:rFonts w:ascii="Arial" w:cs="Arial" w:eastAsia="Arial" w:hAnsi="Arial"/>
          <w:sz w:val="20"/>
          <w:szCs w:val="20"/>
        </w:rPr>
        <w:t xml:space="preserve">This Statistical Analysis Plan has been reviewed and approved by the individuals listed below. By signing, each individual confirms the statistical methodology is scientifically sound and compliant with applicable regulatory guidelines including ICH E9(R1), ICH E6(R2), and FDA 21 CFR Part 312.</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Name / Signature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Head, Biostatistics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Margaret H. Lin, PhD
_______________________</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Statistical Programmer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David K. Park, MS
_______________________</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VP Clinical Development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James R. Chen, MD, PhD
_______________________</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Regulatory Affairs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Sarah T. Nguyen, PharmD
_______________________</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bl>
    <w:p>
      <w:r>
        <w:br w:type="page"/>
      </w:r>
    </w:p>
    <w:p>
      <w:pPr>
        <w:pStyle w:val="Heading1"/>
      </w:pPr>
      <w:r>
        <w:rPr>
          <w:rFonts w:ascii="Arial" w:cs="Arial" w:eastAsia="Arial" w:hAnsi="Arial"/>
          <w:b/>
          <w:bCs/>
          <w:color w:val="1F3864"/>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1. INTRODUCTION</w:t>
      </w:r>
    </w:p>
    <w:p>
      <w:pPr>
        <w:pStyle w:val="Heading2"/>
        <w:spacing w:before="240" w:after="80"/>
      </w:pPr>
      <w:r>
        <w:rPr>
          <w:rFonts w:ascii="Arial" w:cs="Arial" w:eastAsia="Arial" w:hAnsi="Arial"/>
          <w:b/>
          <w:bCs/>
          <w:color w:val="2E75B6"/>
          <w:sz w:val="24"/>
          <w:szCs w:val="24"/>
        </w:rPr>
        <w:t xml:space="preserve">1.1 Background and Rationale</w:t>
      </w:r>
    </w:p>
    <w:p>
      <w:pPr>
        <w:spacing w:before="60" w:after="80"/>
      </w:pPr>
      <w:r>
        <w:rPr>
          <w:rFonts w:ascii="Arial" w:cs="Arial" w:eastAsia="Arial" w:hAnsi="Arial"/>
          <w:sz w:val="20"/>
          <w:szCs w:val="20"/>
        </w:rPr>
        <w:t xml:space="preserve">Colorectal cancer (CRC) is the third most common cancer worldwide and the second leading cause of cancer-related mortality. Mismatch repair deficiency (dMMR) and microsatellite instability-high (MSI-H) status occurs in approximately 4-5% of patients with metastatic CRC (mCRC) and is associated with distinct tumor biology characterized by high tumor mutational burden (TMB), elevated neoantigen load, and increased tumor-infiltrating lymphocytes. These features render dMMR/MSI-H tumors particularly susceptible to immune checkpoint inhibition.</w:t>
      </w:r>
    </w:p>
    <w:p>
      <w:pPr>
        <w:spacing w:before="60" w:after="80"/>
      </w:pPr>
      <w:r>
        <w:rPr>
          <w:rFonts w:ascii="Arial" w:cs="Arial" w:eastAsia="Arial" w:hAnsi="Arial"/>
          <w:sz w:val="20"/>
          <w:szCs w:val="20"/>
        </w:rPr>
        <w:t xml:space="preserve">Cervimab is a fully human IgG4 anti-PD-1 monoclonal antibody (mAb) developed by NovaPharma Oncology, Inc. with sub-nanomolar affinity for PD-1. In preclinical studies, cervimab demonstrated potent blockade of PD-1/PD-L1 and PD-1/PD-L2 interactions, restoring T-cell effector function within the tumor microenvironment. Phase 1/2 data (Protocol CERV-101; Protocol CERV-201) demonstrated durable objective responses (ORR 49%), a manageable safety profile, and median PFS of 19.4 months in dMMR/MSI-H mCRC, providing clinical proof of concept and supporting dose selection of 400 mg Q4W.</w:t>
      </w:r>
    </w:p>
    <w:p>
      <w:pPr>
        <w:spacing w:before="60" w:after="80"/>
      </w:pPr>
      <w:r>
        <w:rPr>
          <w:rFonts w:ascii="Arial" w:cs="Arial" w:eastAsia="Arial" w:hAnsi="Arial"/>
          <w:sz w:val="20"/>
          <w:szCs w:val="20"/>
        </w:rPr>
        <w:t xml:space="preserve">The current standard of care for first-line (1L) mCRC includes fluoropyrimidine-based doublet chemotherapy (e.g., FOLFOX-6) combined with biologic agents such as bevacizumab or cetuximab (RAS/RAF wild-type). Despite initial response rates of 50-60%, patients inevitably experience disease progression, and median OS remains approximately 28-30 months. An unmet medical need exists for treatments that can achieve durable remissions or prolonged disease control in the dMMR/MSI-H subpopulation.</w:t>
      </w:r>
    </w:p>
    <w:p>
      <w:pPr>
        <w:pStyle w:val="Heading2"/>
        <w:spacing w:before="240" w:after="80"/>
      </w:pPr>
      <w:r>
        <w:rPr>
          <w:rFonts w:ascii="Arial" w:cs="Arial" w:eastAsia="Arial" w:hAnsi="Arial"/>
          <w:b/>
          <w:bCs/>
          <w:color w:val="2E75B6"/>
          <w:sz w:val="24"/>
          <w:szCs w:val="24"/>
        </w:rPr>
        <w:t xml:space="preserve">1.2 Study Objectives</w:t>
      </w:r>
    </w:p>
    <w:p>
      <w:pPr>
        <w:pStyle w:val="Heading3"/>
        <w:spacing w:before="160" w:after="60"/>
      </w:pPr>
      <w:r>
        <w:rPr>
          <w:rFonts w:ascii="Arial" w:cs="Arial" w:eastAsia="Arial" w:hAnsi="Arial"/>
          <w:b/>
          <w:bCs/>
          <w:color w:val="595959"/>
          <w:sz w:val="22"/>
          <w:szCs w:val="22"/>
        </w:rPr>
        <w:t xml:space="preserve">1.2.1 Primary Objective</w:t>
      </w:r>
    </w:p>
    <w:p>
      <w:pPr>
        <w:spacing w:before="60" w:after="80"/>
      </w:pPr>
      <w:r>
        <w:rPr>
          <w:rFonts w:ascii="Arial" w:cs="Arial" w:eastAsia="Arial" w:hAnsi="Arial"/>
          <w:sz w:val="20"/>
          <w:szCs w:val="20"/>
        </w:rPr>
        <w:t xml:space="preserve">To demonstrate the superiority of cervimab over FOLFOX-6 plus bevacizumab with respect to progression-free survival (PFS) as assessed by blinded independent central review (BICR) per RECIST v1.1 in patients with previously untreated dMMR/MSI-H mCRC.</w:t>
      </w:r>
    </w:p>
    <w:p>
      <w:pPr>
        <w:pStyle w:val="Heading3"/>
        <w:spacing w:before="160" w:after="60"/>
      </w:pPr>
      <w:r>
        <w:rPr>
          <w:rFonts w:ascii="Arial" w:cs="Arial" w:eastAsia="Arial" w:hAnsi="Arial"/>
          <w:b/>
          <w:bCs/>
          <w:color w:val="595959"/>
          <w:sz w:val="22"/>
          <w:szCs w:val="22"/>
        </w:rPr>
        <w:t xml:space="preserve">1.2.2 Key Secondary Objectives</w:t>
      </w:r>
    </w:p>
    <w:p>
      <w:pPr>
        <w:pStyle w:val="ListParagraph"/>
        <w:numPr>
          <w:ilvl w:val="0"/>
          <w:numId w:val="2"/>
        </w:numPr>
        <w:spacing w:before="40" w:after="40"/>
        <w:ind w:left="720" w:hanging="360"/>
      </w:pPr>
      <w:r>
        <w:rPr>
          <w:rFonts w:ascii="Arial" w:cs="Arial" w:eastAsia="Arial" w:hAnsi="Arial"/>
          <w:sz w:val="20"/>
          <w:szCs w:val="20"/>
        </w:rPr>
        <w:t xml:space="preserve">To compare overall survival (OS) between treatment arms</w:t>
      </w:r>
    </w:p>
    <w:p>
      <w:pPr>
        <w:pStyle w:val="ListParagraph"/>
        <w:numPr>
          <w:ilvl w:val="0"/>
          <w:numId w:val="2"/>
        </w:numPr>
        <w:spacing w:before="40" w:after="40"/>
        <w:ind w:left="720" w:hanging="360"/>
      </w:pPr>
      <w:r>
        <w:rPr>
          <w:rFonts w:ascii="Arial" w:cs="Arial" w:eastAsia="Arial" w:hAnsi="Arial"/>
          <w:sz w:val="20"/>
          <w:szCs w:val="20"/>
        </w:rPr>
        <w:t xml:space="preserve">To compare objective response rate (ORR) and duration of response (DoR) per RECIST v1.1 by BICR</w:t>
      </w:r>
    </w:p>
    <w:p>
      <w:pPr>
        <w:pStyle w:val="ListParagraph"/>
        <w:numPr>
          <w:ilvl w:val="0"/>
          <w:numId w:val="2"/>
        </w:numPr>
        <w:spacing w:before="40" w:after="40"/>
        <w:ind w:left="720" w:hanging="360"/>
      </w:pPr>
      <w:r>
        <w:rPr>
          <w:rFonts w:ascii="Arial" w:cs="Arial" w:eastAsia="Arial" w:hAnsi="Arial"/>
          <w:sz w:val="20"/>
          <w:szCs w:val="20"/>
        </w:rPr>
        <w:t xml:space="preserve">To compare disease control rate (DCR) at 16 weeks</w:t>
      </w:r>
    </w:p>
    <w:p>
      <w:pPr>
        <w:pStyle w:val="ListParagraph"/>
        <w:numPr>
          <w:ilvl w:val="0"/>
          <w:numId w:val="2"/>
        </w:numPr>
        <w:spacing w:before="40" w:after="40"/>
        <w:ind w:left="720" w:hanging="360"/>
      </w:pPr>
      <w:r>
        <w:rPr>
          <w:rFonts w:ascii="Arial" w:cs="Arial" w:eastAsia="Arial" w:hAnsi="Arial"/>
          <w:sz w:val="20"/>
          <w:szCs w:val="20"/>
        </w:rPr>
        <w:t xml:space="preserve">To evaluate health-related quality of life (HRQoL) using EORTC QLQ-C30 and EQ-5D-5L</w:t>
      </w:r>
    </w:p>
    <w:p>
      <w:pPr>
        <w:pStyle w:val="ListParagraph"/>
        <w:numPr>
          <w:ilvl w:val="0"/>
          <w:numId w:val="2"/>
        </w:numPr>
        <w:spacing w:before="40" w:after="40"/>
        <w:ind w:left="720" w:hanging="360"/>
      </w:pPr>
      <w:r>
        <w:rPr>
          <w:rFonts w:ascii="Arial" w:cs="Arial" w:eastAsia="Arial" w:hAnsi="Arial"/>
          <w:sz w:val="20"/>
          <w:szCs w:val="20"/>
        </w:rPr>
        <w:t xml:space="preserve">To characterize the safety and tolerability profile of cervimab versus control</w:t>
      </w:r>
    </w:p>
    <w:p>
      <w:pPr>
        <w:pStyle w:val="Heading3"/>
        <w:spacing w:before="160" w:after="60"/>
      </w:pPr>
      <w:r>
        <w:rPr>
          <w:rFonts w:ascii="Arial" w:cs="Arial" w:eastAsia="Arial" w:hAnsi="Arial"/>
          <w:b/>
          <w:bCs/>
          <w:color w:val="595959"/>
          <w:sz w:val="22"/>
          <w:szCs w:val="22"/>
        </w:rPr>
        <w:t xml:space="preserve">1.2.3 Exploratory Objectives</w:t>
      </w:r>
    </w:p>
    <w:p>
      <w:pPr>
        <w:pStyle w:val="ListParagraph"/>
        <w:numPr>
          <w:ilvl w:val="0"/>
          <w:numId w:val="2"/>
        </w:numPr>
        <w:spacing w:before="40" w:after="40"/>
        <w:ind w:left="720" w:hanging="360"/>
      </w:pPr>
      <w:r>
        <w:rPr>
          <w:rFonts w:ascii="Arial" w:cs="Arial" w:eastAsia="Arial" w:hAnsi="Arial"/>
          <w:sz w:val="20"/>
          <w:szCs w:val="20"/>
        </w:rPr>
        <w:t xml:space="preserve">To evaluate the relationship between PD-L1 combined positive score (CPS), TMB, and clinical outcomes</w:t>
      </w:r>
    </w:p>
    <w:p>
      <w:pPr>
        <w:pStyle w:val="ListParagraph"/>
        <w:numPr>
          <w:ilvl w:val="0"/>
          <w:numId w:val="2"/>
        </w:numPr>
        <w:spacing w:before="40" w:after="40"/>
        <w:ind w:left="720" w:hanging="360"/>
      </w:pPr>
      <w:r>
        <w:rPr>
          <w:rFonts w:ascii="Arial" w:cs="Arial" w:eastAsia="Arial" w:hAnsi="Arial"/>
          <w:sz w:val="20"/>
          <w:szCs w:val="20"/>
        </w:rPr>
        <w:t xml:space="preserve">To assess pharmacokinetic/pharmacodynamic (PK/PD) correlations</w:t>
      </w:r>
    </w:p>
    <w:p>
      <w:pPr>
        <w:pStyle w:val="ListParagraph"/>
        <w:numPr>
          <w:ilvl w:val="0"/>
          <w:numId w:val="2"/>
        </w:numPr>
        <w:spacing w:before="40" w:after="40"/>
        <w:ind w:left="720" w:hanging="360"/>
      </w:pPr>
      <w:r>
        <w:rPr>
          <w:rFonts w:ascii="Arial" w:cs="Arial" w:eastAsia="Arial" w:hAnsi="Arial"/>
          <w:sz w:val="20"/>
          <w:szCs w:val="20"/>
        </w:rPr>
        <w:t xml:space="preserve">To evaluate minimal residual disease (MRD) by circulating tumor DNA (ctDNA)</w:t>
      </w:r>
    </w:p>
    <w:p>
      <w:pPr>
        <w:pStyle w:val="Heading2"/>
        <w:spacing w:before="240" w:after="80"/>
      </w:pPr>
      <w:r>
        <w:rPr>
          <w:rFonts w:ascii="Arial" w:cs="Arial" w:eastAsia="Arial" w:hAnsi="Arial"/>
          <w:b/>
          <w:bCs/>
          <w:color w:val="2E75B6"/>
          <w:sz w:val="24"/>
          <w:szCs w:val="24"/>
        </w:rPr>
        <w:t xml:space="preserve">1.3 Regulatory Context</w:t>
      </w:r>
    </w:p>
    <w:p>
      <w:pPr>
        <w:spacing w:before="60" w:after="80"/>
      </w:pPr>
      <w:r>
        <w:rPr>
          <w:rFonts w:ascii="Arial" w:cs="Arial" w:eastAsia="Arial" w:hAnsi="Arial"/>
          <w:sz w:val="20"/>
          <w:szCs w:val="20"/>
        </w:rPr>
        <w:t xml:space="preserve">This SAP has been prepared in accordance with the requirements of ICH E9 (Statistical Principles for Clinical Trials), ICH E9(R1) Addendum (Estimands and Sensitivity Analysis), ICH E6(R2) (Good Clinical Practice), and FDA guidance documents including 'Adaptive Designs for Clinical Trials of Drugs and Biologics' (2019) and 'Cancer Clinical Trial Eligibility Criteria' (2020). This SAP is finalized prior to database lock and unblinding, consistent with regulatory expectations.</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2. STUDY DESIGN</w:t>
      </w:r>
    </w:p>
    <w:p>
      <w:pPr>
        <w:pStyle w:val="Heading2"/>
        <w:spacing w:before="240" w:after="80"/>
      </w:pPr>
      <w:r>
        <w:rPr>
          <w:rFonts w:ascii="Arial" w:cs="Arial" w:eastAsia="Arial" w:hAnsi="Arial"/>
          <w:b/>
          <w:bCs/>
          <w:color w:val="2E75B6"/>
          <w:sz w:val="24"/>
          <w:szCs w:val="24"/>
        </w:rPr>
        <w:t xml:space="preserve">2.1 Overview of Study Design</w:t>
      </w:r>
    </w:p>
    <w:p>
      <w:pPr>
        <w:spacing w:before="60" w:after="80"/>
      </w:pPr>
      <w:r>
        <w:rPr>
          <w:rFonts w:ascii="Arial" w:cs="Arial" w:eastAsia="Arial" w:hAnsi="Arial"/>
          <w:sz w:val="20"/>
          <w:szCs w:val="20"/>
        </w:rPr>
        <w:t xml:space="preserve">CERV-301 is a Phase 3, multicenter, open-label, randomized, controlled trial enrolling patients with previously untreated dMMR/MSI-H mCRC. Patients are randomized 1:1 to cervimab 400 mg IV Q4W (Arm A) or mFOLFOX-6 plus bevacizumab 5 mg/kg IV Q2W (Arm B). Randomization is stratified by ECOG performance status (0 vs. 1-2), geographic region (North America/Western Europe vs. rest of world), and prior adjuvant chemotherapy (yes vs. no). Treatment continues until confirmed radiographic progression per RECIST v1.1, unacceptable toxicity, or withdrawal of consent. Tumor assessments are performed at baseline and every 8 weeks through Week 40, then every 12 weeks thereafter.</w:t>
      </w:r>
    </w:p>
    <w:p>
      <w:pPr>
        <w:pStyle w:val="Heading2"/>
        <w:spacing w:before="240" w:after="80"/>
      </w:pPr>
      <w:r>
        <w:rPr>
          <w:rFonts w:ascii="Arial" w:cs="Arial" w:eastAsia="Arial" w:hAnsi="Arial"/>
          <w:b/>
          <w:bCs/>
          <w:color w:val="2E75B6"/>
          <w:sz w:val="24"/>
          <w:szCs w:val="24"/>
        </w:rPr>
        <w:t xml:space="preserve">2.2 Sample Size and Justification</w:t>
      </w:r>
    </w:p>
    <w:p>
      <w:pPr>
        <w:spacing w:before="60" w:after="80"/>
      </w:pPr>
      <w:r>
        <w:rPr>
          <w:rFonts w:ascii="Arial" w:cs="Arial" w:eastAsia="Arial" w:hAnsi="Arial"/>
          <w:sz w:val="20"/>
          <w:szCs w:val="20"/>
        </w:rPr>
        <w:t xml:space="preserve">The sample size calculation assumes a median PFS of 9 months in the control arm (based on published FOLFOX-6/bevacizumab data in dMMR/MSI-H mCRC), a hazard ratio (HR) of 0.55 (corresponding to a 45% reduction in risk of progression or death), and a two-sided alpha of 0.05 with 80% power. Using a log-rank test, 320 PFS events are required. Accounting for a 20% dropout rate and assuming 36 months of enrollment followed by 12 months of additional follow-up, a total of 440 patients (220 per arm) are to be randomized. A single interim analysis for efficacy and futility is planned at approximately 50% of events (160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Parameter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Assumption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Control arm median PFS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9.0 months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KEYNOTE-177; historical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Hazard ratio (HR)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CERV-201 Phase 2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Two-sided alpha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0.05 (Lan-DeMets O'Brien-Fleming)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ICH E9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Power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FDA standard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PFS events required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Log-rank calculation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Total patients randomized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440 (220/arm)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20% dropout assumed</w:t>
            </w:r>
          </w:p>
        </w:tc>
      </w:tr>
    </w:tbl>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3. ANALYSIS POPULATIONS</w:t>
      </w:r>
    </w:p>
    <w:p>
      <w:pPr>
        <w:pStyle w:val="Heading2"/>
        <w:spacing w:before="240" w:after="80"/>
      </w:pPr>
      <w:r>
        <w:rPr>
          <w:rFonts w:ascii="Arial" w:cs="Arial" w:eastAsia="Arial" w:hAnsi="Arial"/>
          <w:b/>
          <w:bCs/>
          <w:color w:val="2E75B6"/>
          <w:sz w:val="24"/>
          <w:szCs w:val="24"/>
        </w:rPr>
        <w:t xml:space="preserve">3.1 Intent-to-Treat (ITT) Population</w:t>
      </w:r>
    </w:p>
    <w:p>
      <w:pPr>
        <w:spacing w:before="60" w:after="80"/>
      </w:pPr>
      <w:r>
        <w:rPr>
          <w:rFonts w:ascii="Arial" w:cs="Arial" w:eastAsia="Arial" w:hAnsi="Arial"/>
          <w:sz w:val="20"/>
          <w:szCs w:val="20"/>
        </w:rPr>
        <w:t xml:space="preserve">The ITT population consists of all randomized patients regardless of treatment received, protocol deviations, or withdrawal from study. Patients will be analyzed in the treatment arm to which they were randomized. The ITT population is the primary population for all efficacy analyses including PFS, OS, ORR, and DCR. This is consistent with ICH E9 and FDA guidance on the primary analysis population for superiority trials.</w:t>
      </w:r>
    </w:p>
    <w:p>
      <w:pPr>
        <w:pStyle w:val="Heading2"/>
        <w:spacing w:before="240" w:after="80"/>
      </w:pPr>
      <w:r>
        <w:rPr>
          <w:rFonts w:ascii="Arial" w:cs="Arial" w:eastAsia="Arial" w:hAnsi="Arial"/>
          <w:b/>
          <w:bCs/>
          <w:color w:val="2E75B6"/>
          <w:sz w:val="24"/>
          <w:szCs w:val="24"/>
        </w:rPr>
        <w:t xml:space="preserve">3.2 Modified Intent-to-Treat (mITT) Population</w:t>
      </w:r>
    </w:p>
    <w:p>
      <w:pPr>
        <w:spacing w:before="60" w:after="80"/>
      </w:pPr>
      <w:r>
        <w:rPr>
          <w:rFonts w:ascii="Arial" w:cs="Arial" w:eastAsia="Arial" w:hAnsi="Arial"/>
          <w:sz w:val="20"/>
          <w:szCs w:val="20"/>
        </w:rPr>
        <w:t xml:space="preserve">The mITT population consists of all randomized patients who received at least one dose of study treatment and had at least one post-baseline tumor assessment or died before the first assessment. The mITT population will be used for sensitivity analyses of PFS and ORR.</w:t>
      </w:r>
    </w:p>
    <w:p>
      <w:pPr>
        <w:pStyle w:val="Heading2"/>
        <w:spacing w:before="240" w:after="80"/>
      </w:pPr>
      <w:r>
        <w:rPr>
          <w:rFonts w:ascii="Arial" w:cs="Arial" w:eastAsia="Arial" w:hAnsi="Arial"/>
          <w:b/>
          <w:bCs/>
          <w:color w:val="2E75B6"/>
          <w:sz w:val="24"/>
          <w:szCs w:val="24"/>
        </w:rPr>
        <w:t xml:space="preserve">3.3 Per-Protocol (PP) Population</w:t>
      </w:r>
    </w:p>
    <w:p>
      <w:pPr>
        <w:spacing w:before="60" w:after="80"/>
      </w:pPr>
      <w:r>
        <w:rPr>
          <w:rFonts w:ascii="Arial" w:cs="Arial" w:eastAsia="Arial" w:hAnsi="Arial"/>
          <w:sz w:val="20"/>
          <w:szCs w:val="20"/>
        </w:rPr>
        <w:t xml:space="preserve">The PP population consists of all randomized patients who completed at least two treatment cycles, had no major protocol deviations affecting efficacy assessment, and had confirmatory disease status per dMMR/MSI-H testing. Major protocol deviations are defined in the Protocol Deviation Management Plan (PDMP). The PP population will be used for supportive efficacy analyses.</w:t>
      </w:r>
    </w:p>
    <w:p>
      <w:pPr>
        <w:pStyle w:val="Heading2"/>
        <w:spacing w:before="240" w:after="80"/>
      </w:pPr>
      <w:r>
        <w:rPr>
          <w:rFonts w:ascii="Arial" w:cs="Arial" w:eastAsia="Arial" w:hAnsi="Arial"/>
          <w:b/>
          <w:bCs/>
          <w:color w:val="2E75B6"/>
          <w:sz w:val="24"/>
          <w:szCs w:val="24"/>
        </w:rPr>
        <w:t xml:space="preserve">3.4 Safety Population</w:t>
      </w:r>
    </w:p>
    <w:p>
      <w:pPr>
        <w:spacing w:before="60" w:after="80"/>
      </w:pPr>
      <w:r>
        <w:rPr>
          <w:rFonts w:ascii="Arial" w:cs="Arial" w:eastAsia="Arial" w:hAnsi="Arial"/>
          <w:sz w:val="20"/>
          <w:szCs w:val="20"/>
        </w:rPr>
        <w:t xml:space="preserve">The safety population consists of all patients who received at least one dose of study treatment. Patients will be analyzed according to the treatment actually received. All safety analyses will be conducted using the safety population.</w:t>
      </w:r>
    </w:p>
    <w:p>
      <w:pPr>
        <w:pStyle w:val="Heading2"/>
        <w:spacing w:before="240" w:after="80"/>
      </w:pPr>
      <w:r>
        <w:rPr>
          <w:rFonts w:ascii="Arial" w:cs="Arial" w:eastAsia="Arial" w:hAnsi="Arial"/>
          <w:b/>
          <w:bCs/>
          <w:color w:val="2E75B6"/>
          <w:sz w:val="24"/>
          <w:szCs w:val="24"/>
        </w:rPr>
        <w:t xml:space="preserve">3.5 PK Population</w:t>
      </w:r>
    </w:p>
    <w:p>
      <w:pPr>
        <w:spacing w:before="60" w:after="80"/>
      </w:pPr>
      <w:r>
        <w:rPr>
          <w:rFonts w:ascii="Arial" w:cs="Arial" w:eastAsia="Arial" w:hAnsi="Arial"/>
          <w:sz w:val="20"/>
          <w:szCs w:val="20"/>
        </w:rPr>
        <w:t xml:space="preserve">The PK population consists of all patients in the safety population with at least one evaluable post-dose cervimab concentration measurement.</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4. ESTIMAND FRAMEWORK (ICH E9(R1))</w:t>
      </w:r>
    </w:p>
    <w:p>
      <w:pPr>
        <w:pStyle w:val="Heading2"/>
        <w:spacing w:before="240" w:after="80"/>
      </w:pPr>
      <w:r>
        <w:rPr>
          <w:rFonts w:ascii="Arial" w:cs="Arial" w:eastAsia="Arial" w:hAnsi="Arial"/>
          <w:b/>
          <w:bCs/>
          <w:color w:val="2E75B6"/>
          <w:sz w:val="24"/>
          <w:szCs w:val="24"/>
        </w:rPr>
        <w:t xml:space="preserve">4.1 Primary Estimand — PFS</w:t>
      </w:r>
    </w:p>
    <w:p>
      <w:pPr>
        <w:spacing w:before="60" w:after="80"/>
      </w:pPr>
      <w:r>
        <w:rPr>
          <w:rFonts w:ascii="Arial" w:cs="Arial" w:eastAsia="Arial" w:hAnsi="Arial"/>
          <w:sz w:val="20"/>
          <w:szCs w:val="20"/>
        </w:rPr>
        <w:t xml:space="preserve">In accordance with ICH E9(R1), the primary estimand for PFS is defined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Definition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Population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Adult patients with histologically confirmed dMMR/MSI-H mCRC who have received no prior systemic therapy for metastatic disease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Treatment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Cervimab 400 mg Q4W versus mFOLFOX-6 plus bevacizumab 5 mg/kg Q2W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Endpoint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Time from randomization to first documented progression per RECIST v1.1 by BICR or death from any cause, whichever occurs first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Population-level summary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Difference in restricted mean survival time (RMST) and hazard ratio from stratified log-rank test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Intercurrent events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Discontinuation for toxicity: while-on-treatment composite; treatment switch: hypothetical strategy (censored at switch date)</w:t>
            </w:r>
          </w:p>
        </w:tc>
      </w:tr>
    </w:tbl>
    <w:p>
      <w:pPr>
        <w:pStyle w:val="Heading2"/>
        <w:spacing w:before="240" w:after="80"/>
      </w:pPr>
      <w:r>
        <w:rPr>
          <w:rFonts w:ascii="Arial" w:cs="Arial" w:eastAsia="Arial" w:hAnsi="Arial"/>
          <w:b/>
          <w:bCs/>
          <w:color w:val="2E75B6"/>
          <w:sz w:val="24"/>
          <w:szCs w:val="24"/>
        </w:rPr>
        <w:t xml:space="preserve">4.2 Key Secondary Estimand — OS</w:t>
      </w:r>
    </w:p>
    <w:p>
      <w:pPr>
        <w:spacing w:before="60" w:after="80"/>
      </w:pPr>
      <w:r>
        <w:rPr>
          <w:rFonts w:ascii="Arial" w:cs="Arial" w:eastAsia="Arial" w:hAnsi="Arial"/>
          <w:sz w:val="20"/>
          <w:szCs w:val="20"/>
        </w:rPr>
        <w:t xml:space="preserve">The OS estimand uses the same population and treatment definitions. The primary estimand strategy for OS employs a treatment-policy strategy for all intercurrent events (i.e., all post-randomization events including subsequent therapies are incorporated into the OS estimate). A hypothetical sensitivity estimand (censoring at initiation of post-progression therapy) will be conducted as a secondary analysis.</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5. STATISTICAL METHODS — PRIMARY ENDPOINT</w:t>
      </w:r>
    </w:p>
    <w:p>
      <w:pPr>
        <w:pStyle w:val="Heading2"/>
        <w:spacing w:before="240" w:after="80"/>
      </w:pPr>
      <w:r>
        <w:rPr>
          <w:rFonts w:ascii="Arial" w:cs="Arial" w:eastAsia="Arial" w:hAnsi="Arial"/>
          <w:b/>
          <w:bCs/>
          <w:color w:val="2E75B6"/>
          <w:sz w:val="24"/>
          <w:szCs w:val="24"/>
        </w:rPr>
        <w:t xml:space="preserve">5.1 Primary Endpoint: Progression-Free Survival</w:t>
      </w:r>
    </w:p>
    <w:p>
      <w:pPr>
        <w:pStyle w:val="Heading3"/>
        <w:spacing w:before="160" w:after="60"/>
      </w:pPr>
      <w:r>
        <w:rPr>
          <w:rFonts w:ascii="Arial" w:cs="Arial" w:eastAsia="Arial" w:hAnsi="Arial"/>
          <w:b/>
          <w:bCs/>
          <w:color w:val="595959"/>
          <w:sz w:val="22"/>
          <w:szCs w:val="22"/>
        </w:rPr>
        <w:t xml:space="preserve">5.1.1 Definition and Measurement</w:t>
      </w:r>
    </w:p>
    <w:p>
      <w:pPr>
        <w:spacing w:before="60" w:after="80"/>
      </w:pPr>
      <w:r>
        <w:rPr>
          <w:rFonts w:ascii="Arial" w:cs="Arial" w:eastAsia="Arial" w:hAnsi="Arial"/>
          <w:sz w:val="20"/>
          <w:szCs w:val="20"/>
        </w:rPr>
        <w:t xml:space="preserve">PFS is defined as the time (in months) from the date of randomization to the date of first documented disease progression per RECIST v1.1 as assessed by BICR, or death from any cause, whichever occurs first. Patients without progression or death at the time of analysis will be censored at the date of the last evaluable tumor assessment.</w:t>
      </w:r>
    </w:p>
    <w:p>
      <w:pPr>
        <w:spacing w:before="60" w:after="80"/>
      </w:pPr>
      <w:r>
        <w:rPr>
          <w:rFonts w:ascii="Arial" w:cs="Arial" w:eastAsia="Arial" w:hAnsi="Arial"/>
          <w:sz w:val="20"/>
          <w:szCs w:val="20"/>
        </w:rPr>
        <w:t xml:space="preserve">Censoring rules will follow FDA guidance ('Guidance for Industry: Clinical Trial Endpoints for the Approval of Cancer Drugs and Biologics,' May 2007):</w:t>
      </w:r>
    </w:p>
    <w:p>
      <w:pPr>
        <w:pStyle w:val="ListParagraph"/>
        <w:numPr>
          <w:ilvl w:val="0"/>
          <w:numId w:val="2"/>
        </w:numPr>
        <w:spacing w:before="40" w:after="40"/>
        <w:ind w:left="720" w:hanging="360"/>
      </w:pPr>
      <w:r>
        <w:rPr>
          <w:rFonts w:ascii="Arial" w:cs="Arial" w:eastAsia="Arial" w:hAnsi="Arial"/>
          <w:sz w:val="20"/>
          <w:szCs w:val="20"/>
        </w:rPr>
        <w:t xml:space="preserve">Patient dies or progresses after two or more missed tumor assessments: censored at the last evaluable assessment date prior to the missed assessments</w:t>
      </w:r>
    </w:p>
    <w:p>
      <w:pPr>
        <w:pStyle w:val="ListParagraph"/>
        <w:numPr>
          <w:ilvl w:val="0"/>
          <w:numId w:val="2"/>
        </w:numPr>
        <w:spacing w:before="40" w:after="40"/>
        <w:ind w:left="720" w:hanging="360"/>
      </w:pPr>
      <w:r>
        <w:rPr>
          <w:rFonts w:ascii="Arial" w:cs="Arial" w:eastAsia="Arial" w:hAnsi="Arial"/>
          <w:sz w:val="20"/>
          <w:szCs w:val="20"/>
        </w:rPr>
        <w:t xml:space="preserve">Patient withdraws consent without documented progression: censored at the last evaluable tumor assessment</w:t>
      </w:r>
    </w:p>
    <w:p>
      <w:pPr>
        <w:pStyle w:val="ListParagraph"/>
        <w:numPr>
          <w:ilvl w:val="0"/>
          <w:numId w:val="2"/>
        </w:numPr>
        <w:spacing w:before="40" w:after="40"/>
        <w:ind w:left="720" w:hanging="360"/>
      </w:pPr>
      <w:r>
        <w:rPr>
          <w:rFonts w:ascii="Arial" w:cs="Arial" w:eastAsia="Arial" w:hAnsi="Arial"/>
          <w:sz w:val="20"/>
          <w:szCs w:val="20"/>
        </w:rPr>
        <w:t xml:space="preserve">Patient starts new anti-cancer therapy without prior documented progression: censored at the last evaluable assessment before the new therapy</w:t>
      </w:r>
    </w:p>
    <w:p>
      <w:pPr>
        <w:pStyle w:val="ListParagraph"/>
        <w:numPr>
          <w:ilvl w:val="0"/>
          <w:numId w:val="2"/>
        </w:numPr>
        <w:spacing w:before="40" w:after="40"/>
        <w:ind w:left="720" w:hanging="360"/>
      </w:pPr>
      <w:r>
        <w:rPr>
          <w:rFonts w:ascii="Arial" w:cs="Arial" w:eastAsia="Arial" w:hAnsi="Arial"/>
          <w:sz w:val="20"/>
          <w:szCs w:val="20"/>
        </w:rPr>
        <w:t xml:space="preserve">Patient was never assessed after randomization: censored at randomization + 1 day</w:t>
      </w:r>
    </w:p>
    <w:p>
      <w:pPr>
        <w:pStyle w:val="Heading3"/>
        <w:spacing w:before="160" w:after="60"/>
      </w:pPr>
      <w:r>
        <w:rPr>
          <w:rFonts w:ascii="Arial" w:cs="Arial" w:eastAsia="Arial" w:hAnsi="Arial"/>
          <w:b/>
          <w:bCs/>
          <w:color w:val="595959"/>
          <w:sz w:val="22"/>
          <w:szCs w:val="22"/>
        </w:rPr>
        <w:t xml:space="preserve">5.1.2 Primary Analysis</w:t>
      </w:r>
    </w:p>
    <w:p>
      <w:pPr>
        <w:spacing w:before="60" w:after="80"/>
      </w:pPr>
      <w:r>
        <w:rPr>
          <w:rFonts w:ascii="Arial" w:cs="Arial" w:eastAsia="Arial" w:hAnsi="Arial"/>
          <w:sz w:val="20"/>
          <w:szCs w:val="20"/>
        </w:rPr>
        <w:t xml:space="preserve">The primary analysis of PFS will be a two-sided stratified log-rank test at the significance level alpha = 0.025 (final analysis, adjusted for interim analysis per Lan-DeMets O'Brien-Fleming spending function). Stratification factors used in the randomization procedure (ECOG PS, geographic region, prior adjuvant chemotherapy) will be incorporated as strata. The Kaplan-Meier (KM) method will be used to estimate median PFS and PFS rates at 6, 12, 18, and 24 months with 95% confidence intervals (Brookmeyer-Crowley method).</w:t>
      </w:r>
    </w:p>
    <w:p>
      <w:pPr>
        <w:spacing w:before="60" w:after="80"/>
      </w:pPr>
      <w:r>
        <w:rPr>
          <w:rFonts w:ascii="Arial" w:cs="Arial" w:eastAsia="Arial" w:hAnsi="Arial"/>
          <w:sz w:val="20"/>
          <w:szCs w:val="20"/>
        </w:rPr>
        <w:t xml:space="preserve">The primary measure of treatment effect will be the hazard ratio (HR) estimated from a stratified Cox proportional hazards model with treatment as the sole covariate and stratification factors as strata. The proportional hazards assumption will be evaluated using Schoenfeld residuals and log-log survival plots. If the assumption is violated, restricted mean survival time (RMST) differences at 24 months will serve as the primary measure of effect.</w:t>
      </w:r>
    </w:p>
    <w:p>
      <w:pPr>
        <w:pStyle w:val="Heading3"/>
        <w:spacing w:before="160" w:after="60"/>
      </w:pPr>
      <w:r>
        <w:rPr>
          <w:rFonts w:ascii="Arial" w:cs="Arial" w:eastAsia="Arial" w:hAnsi="Arial"/>
          <w:b/>
          <w:bCs/>
          <w:color w:val="595959"/>
          <w:sz w:val="22"/>
          <w:szCs w:val="22"/>
        </w:rPr>
        <w:t xml:space="preserve">5.1.3 Alpha Spending and Interim Analysis</w:t>
      </w:r>
    </w:p>
    <w:p>
      <w:pPr>
        <w:spacing w:before="60" w:after="80"/>
      </w:pPr>
      <w:r>
        <w:rPr>
          <w:rFonts w:ascii="Arial" w:cs="Arial" w:eastAsia="Arial" w:hAnsi="Arial"/>
          <w:sz w:val="20"/>
          <w:szCs w:val="20"/>
        </w:rPr>
        <w:t xml:space="preserve">A single interim analysis (IA) for both efficacy and futility is planned at approximately 160 PFS events (50% information fraction). Alpha will be allocated using the Lan-DeMets O'Brien-Fleming spending function. At the interim analysis, the efficacy boundary is estimated at z = 2.797 (two-sided p &lt; 0.0052) and futility boundary at z = 0.400. At the final analysis (320 events), the efficacy boundary is z = 1.960 (two-sided p &lt; 0.0455). All alpha is protected such that the overall two-sided type I error rate does not exceed 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Analysis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Information Fraction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Efficacy Boundary (z)</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Nominal Two-Sided 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Interim (IA-1)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0.50 (~160 events)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2.797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0.0052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Final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1.00 (~320 events)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1.960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0.0455</w:t>
            </w:r>
          </w:p>
        </w:tc>
      </w:tr>
    </w:tbl>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6. STATISTICAL METHODS — SECONDARY ENDPOINTS</w:t>
      </w:r>
    </w:p>
    <w:p>
      <w:pPr>
        <w:pStyle w:val="Heading2"/>
        <w:spacing w:before="240" w:after="80"/>
      </w:pPr>
      <w:r>
        <w:rPr>
          <w:rFonts w:ascii="Arial" w:cs="Arial" w:eastAsia="Arial" w:hAnsi="Arial"/>
          <w:b/>
          <w:bCs/>
          <w:color w:val="2E75B6"/>
          <w:sz w:val="24"/>
          <w:szCs w:val="24"/>
        </w:rPr>
        <w:t xml:space="preserve">6.1 Overall Survival</w:t>
      </w:r>
    </w:p>
    <w:p>
      <w:pPr>
        <w:spacing w:before="60" w:after="80"/>
      </w:pPr>
      <w:r>
        <w:rPr>
          <w:rFonts w:ascii="Arial" w:cs="Arial" w:eastAsia="Arial" w:hAnsi="Arial"/>
          <w:sz w:val="20"/>
          <w:szCs w:val="20"/>
        </w:rPr>
        <w:t xml:space="preserve">OS is defined as time from randomization to death from any cause. Patients alive at the time of analysis will be censored at the date last known alive. The OS analysis will use the same methods as PFS (stratified log-rank test, stratified Cox model, Kaplan-Meier estimation). To protect the overall type I error rate, OS will be tested hierarchically following demonstration of PFS superiority per the fixed sequence testing procedure.</w:t>
      </w:r>
    </w:p>
    <w:p>
      <w:pPr>
        <w:pStyle w:val="Heading2"/>
        <w:spacing w:before="240" w:after="80"/>
      </w:pPr>
      <w:r>
        <w:rPr>
          <w:rFonts w:ascii="Arial" w:cs="Arial" w:eastAsia="Arial" w:hAnsi="Arial"/>
          <w:b/>
          <w:bCs/>
          <w:color w:val="2E75B6"/>
          <w:sz w:val="24"/>
          <w:szCs w:val="24"/>
        </w:rPr>
        <w:t xml:space="preserve">6.2 Objective Response Rate</w:t>
      </w:r>
    </w:p>
    <w:p>
      <w:pPr>
        <w:spacing w:before="60" w:after="80"/>
      </w:pPr>
      <w:r>
        <w:rPr>
          <w:rFonts w:ascii="Arial" w:cs="Arial" w:eastAsia="Arial" w:hAnsi="Arial"/>
          <w:sz w:val="20"/>
          <w:szCs w:val="20"/>
        </w:rPr>
        <w:t xml:space="preserve">ORR is defined as the proportion of patients with confirmed complete response (CR) or partial response (PR) per RECIST v1.1 by BICR. A response must be confirmed by a repeat assessment no less than 4 weeks after the initial response criteria are met. The difference in ORR between arms will be estimated with 95% CI using the Newcombe-Wilson method (stratified). The Cochran-Mantel-Haenszel test stratified by randomization factors will be used for hypothesis testing.</w:t>
      </w:r>
    </w:p>
    <w:p>
      <w:pPr>
        <w:pStyle w:val="Heading2"/>
        <w:spacing w:before="240" w:after="80"/>
      </w:pPr>
      <w:r>
        <w:rPr>
          <w:rFonts w:ascii="Arial" w:cs="Arial" w:eastAsia="Arial" w:hAnsi="Arial"/>
          <w:b/>
          <w:bCs/>
          <w:color w:val="2E75B6"/>
          <w:sz w:val="24"/>
          <w:szCs w:val="24"/>
        </w:rPr>
        <w:t xml:space="preserve">6.3 Duration of Response</w:t>
      </w:r>
    </w:p>
    <w:p>
      <w:pPr>
        <w:spacing w:before="60" w:after="80"/>
      </w:pPr>
      <w:r>
        <w:rPr>
          <w:rFonts w:ascii="Arial" w:cs="Arial" w:eastAsia="Arial" w:hAnsi="Arial"/>
          <w:sz w:val="20"/>
          <w:szCs w:val="20"/>
        </w:rPr>
        <w:t xml:space="preserve">DoR is defined (in responders only) as the time from the date of first confirmed response to the date of first documented progression or death from any cause. The KM method will be used to estimate median DoR with 95% CI. Responders without documented progression or death will be censored at the date of last evaluable tumor assessment.</w:t>
      </w:r>
    </w:p>
    <w:p>
      <w:pPr>
        <w:pStyle w:val="Heading2"/>
        <w:spacing w:before="240" w:after="80"/>
      </w:pPr>
      <w:r>
        <w:rPr>
          <w:rFonts w:ascii="Arial" w:cs="Arial" w:eastAsia="Arial" w:hAnsi="Arial"/>
          <w:b/>
          <w:bCs/>
          <w:color w:val="2E75B6"/>
          <w:sz w:val="24"/>
          <w:szCs w:val="24"/>
        </w:rPr>
        <w:t xml:space="preserve">6.4 Disease Control Rate</w:t>
      </w:r>
    </w:p>
    <w:p>
      <w:pPr>
        <w:spacing w:before="60" w:after="80"/>
      </w:pPr>
      <w:r>
        <w:rPr>
          <w:rFonts w:ascii="Arial" w:cs="Arial" w:eastAsia="Arial" w:hAnsi="Arial"/>
          <w:sz w:val="20"/>
          <w:szCs w:val="20"/>
        </w:rPr>
        <w:t xml:space="preserve">DCR at Week 16 is defined as the proportion of patients with CR, PR, or stable disease (SD) lasting at least 16 weeks from randomization. The same Newcombe-Wilson / CMH framework used for ORR will be applied.</w:t>
      </w:r>
    </w:p>
    <w:p>
      <w:pPr>
        <w:pStyle w:val="Heading2"/>
        <w:spacing w:before="240" w:after="80"/>
      </w:pPr>
      <w:r>
        <w:rPr>
          <w:rFonts w:ascii="Arial" w:cs="Arial" w:eastAsia="Arial" w:hAnsi="Arial"/>
          <w:b/>
          <w:bCs/>
          <w:color w:val="2E75B6"/>
          <w:sz w:val="24"/>
          <w:szCs w:val="24"/>
        </w:rPr>
        <w:t xml:space="preserve">6.5 Health-Related Quality of Life</w:t>
      </w:r>
    </w:p>
    <w:p>
      <w:pPr>
        <w:spacing w:before="60" w:after="80"/>
      </w:pPr>
      <w:r>
        <w:rPr>
          <w:rFonts w:ascii="Arial" w:cs="Arial" w:eastAsia="Arial" w:hAnsi="Arial"/>
          <w:sz w:val="20"/>
          <w:szCs w:val="20"/>
        </w:rPr>
        <w:t xml:space="preserve">HRQoL will be assessed using the EORTC QLQ-C30 (global health status/QoL scale and functional/symptom sub-scales) and EQ-5D-5L (utility index and VAS). Analyses will use a mixed-effects model for repeated measures (MMRM) with treatment, visit, treatment-by-visit interaction, baseline score, stratification factors, and baseline-by-visit interaction as covariates. An unstructured covariance matrix will be used. The primary HRQoL endpoint is time to definitive clinically meaningful deterioration (TTCD) in the EORTC QLQ-C30 global health status scale (defined as a &gt;= 10-point decrease from baseline confirmed at next assessment or followed by death within 3 weeks).</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7. MULTIPLICITY CONTROL</w:t>
      </w:r>
    </w:p>
    <w:p>
      <w:pPr>
        <w:pStyle w:val="Heading2"/>
        <w:spacing w:before="240" w:after="80"/>
      </w:pPr>
      <w:r>
        <w:rPr>
          <w:rFonts w:ascii="Arial" w:cs="Arial" w:eastAsia="Arial" w:hAnsi="Arial"/>
          <w:b/>
          <w:bCs/>
          <w:color w:val="2E75B6"/>
          <w:sz w:val="24"/>
          <w:szCs w:val="24"/>
        </w:rPr>
        <w:t xml:space="preserve">7.1 Hierarchical Testing Procedure</w:t>
      </w:r>
    </w:p>
    <w:p>
      <w:pPr>
        <w:spacing w:before="60" w:after="80"/>
      </w:pPr>
      <w:r>
        <w:rPr>
          <w:rFonts w:ascii="Arial" w:cs="Arial" w:eastAsia="Arial" w:hAnsi="Arial"/>
          <w:sz w:val="20"/>
          <w:szCs w:val="20"/>
        </w:rPr>
        <w:t xml:space="preserve">To control the family-wise error rate at 0.05 (two-sided), a fixed-sequence hierarchical testing procedure will be employed for the primary and key secondary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1800"/>
        <w:gridCol w:w="144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Step</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Alpha</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Population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PFS by BICR (Primary)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0.05 (two-sided)</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ITT</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OS (Key Secondary)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0.05 (carried over)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ITT</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ORR by BICR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0.05 (carried over)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ITT</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TTCD EORTC QLQ-C30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0.05 (carried over)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ITT</w:t>
            </w:r>
          </w:p>
        </w:tc>
      </w:tr>
    </w:tbl>
    <w:p>
      <w:pPr>
        <w:spacing w:before="60" w:after="80"/>
      </w:pPr>
      <w:r>
        <w:rPr>
          <w:rFonts w:ascii="Arial" w:cs="Arial" w:eastAsia="Arial" w:hAnsi="Arial"/>
          <w:sz w:val="20"/>
          <w:szCs w:val="20"/>
        </w:rPr>
        <w:t xml:space="preserve">Each step is tested only if all previous steps achieved statistical significance. If a step fails, subsequent testing is considered exploratory and p-values are not considered confirmatory.</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8. SENSITIVITY AND EXPLORATORY ANALYSES</w:t>
      </w:r>
    </w:p>
    <w:p>
      <w:pPr>
        <w:pStyle w:val="Heading2"/>
        <w:spacing w:before="240" w:after="80"/>
      </w:pPr>
      <w:r>
        <w:rPr>
          <w:rFonts w:ascii="Arial" w:cs="Arial" w:eastAsia="Arial" w:hAnsi="Arial"/>
          <w:b/>
          <w:bCs/>
          <w:color w:val="2E75B6"/>
          <w:sz w:val="24"/>
          <w:szCs w:val="24"/>
        </w:rPr>
        <w:t xml:space="preserve">8.1 Sensitivity Analyses for PFS</w:t>
      </w:r>
    </w:p>
    <w:p>
      <w:pPr>
        <w:pStyle w:val="ListParagraph"/>
        <w:numPr>
          <w:ilvl w:val="0"/>
          <w:numId w:val="2"/>
        </w:numPr>
        <w:spacing w:before="40" w:after="40"/>
        <w:ind w:left="720" w:hanging="360"/>
      </w:pPr>
      <w:r>
        <w:rPr>
          <w:rFonts w:ascii="Arial" w:cs="Arial" w:eastAsia="Arial" w:hAnsi="Arial"/>
          <w:sz w:val="20"/>
          <w:szCs w:val="20"/>
        </w:rPr>
        <w:t xml:space="preserve">Unstratified log-rank test and Cox model (ignoring stratification factors)</w:t>
      </w:r>
    </w:p>
    <w:p>
      <w:pPr>
        <w:pStyle w:val="ListParagraph"/>
        <w:numPr>
          <w:ilvl w:val="0"/>
          <w:numId w:val="2"/>
        </w:numPr>
        <w:spacing w:before="40" w:after="40"/>
        <w:ind w:left="720" w:hanging="360"/>
      </w:pPr>
      <w:r>
        <w:rPr>
          <w:rFonts w:ascii="Arial" w:cs="Arial" w:eastAsia="Arial" w:hAnsi="Arial"/>
          <w:sz w:val="20"/>
          <w:szCs w:val="20"/>
        </w:rPr>
        <w:t xml:space="preserve">PFS using investigator assessment rather than BICR</w:t>
      </w:r>
    </w:p>
    <w:p>
      <w:pPr>
        <w:pStyle w:val="ListParagraph"/>
        <w:numPr>
          <w:ilvl w:val="0"/>
          <w:numId w:val="2"/>
        </w:numPr>
        <w:spacing w:before="40" w:after="40"/>
        <w:ind w:left="720" w:hanging="360"/>
      </w:pPr>
      <w:r>
        <w:rPr>
          <w:rFonts w:ascii="Arial" w:cs="Arial" w:eastAsia="Arial" w:hAnsi="Arial"/>
          <w:sz w:val="20"/>
          <w:szCs w:val="20"/>
        </w:rPr>
        <w:t xml:space="preserve">Alternative censoring rules: progressive censoring strategy where patients with missing assessments are treated as events</w:t>
      </w:r>
    </w:p>
    <w:p>
      <w:pPr>
        <w:pStyle w:val="ListParagraph"/>
        <w:numPr>
          <w:ilvl w:val="0"/>
          <w:numId w:val="2"/>
        </w:numPr>
        <w:spacing w:before="40" w:after="40"/>
        <w:ind w:left="720" w:hanging="360"/>
      </w:pPr>
      <w:r>
        <w:rPr>
          <w:rFonts w:ascii="Arial" w:cs="Arial" w:eastAsia="Arial" w:hAnsi="Arial"/>
          <w:sz w:val="20"/>
          <w:szCs w:val="20"/>
        </w:rPr>
        <w:t xml:space="preserve">mITT population analysis</w:t>
      </w:r>
    </w:p>
    <w:p>
      <w:pPr>
        <w:pStyle w:val="ListParagraph"/>
        <w:numPr>
          <w:ilvl w:val="0"/>
          <w:numId w:val="2"/>
        </w:numPr>
        <w:spacing w:before="40" w:after="40"/>
        <w:ind w:left="720" w:hanging="360"/>
      </w:pPr>
      <w:r>
        <w:rPr>
          <w:rFonts w:ascii="Arial" w:cs="Arial" w:eastAsia="Arial" w:hAnsi="Arial"/>
          <w:sz w:val="20"/>
          <w:szCs w:val="20"/>
        </w:rPr>
        <w:t xml:space="preserve">RMST analysis at 18 and 24 months as alternative PFS summary measures</w:t>
      </w:r>
    </w:p>
    <w:p>
      <w:pPr>
        <w:pStyle w:val="ListParagraph"/>
        <w:numPr>
          <w:ilvl w:val="0"/>
          <w:numId w:val="2"/>
        </w:numPr>
        <w:spacing w:before="40" w:after="40"/>
        <w:ind w:left="720" w:hanging="360"/>
      </w:pPr>
      <w:r>
        <w:rPr>
          <w:rFonts w:ascii="Arial" w:cs="Arial" w:eastAsia="Arial" w:hAnsi="Arial"/>
          <w:sz w:val="20"/>
          <w:szCs w:val="20"/>
        </w:rPr>
        <w:t xml:space="preserve">Analysis using PP population</w:t>
      </w:r>
    </w:p>
    <w:p>
      <w:pPr>
        <w:pStyle w:val="ListParagraph"/>
        <w:numPr>
          <w:ilvl w:val="0"/>
          <w:numId w:val="2"/>
        </w:numPr>
        <w:spacing w:before="40" w:after="40"/>
        <w:ind w:left="720" w:hanging="360"/>
      </w:pPr>
      <w:r>
        <w:rPr>
          <w:rFonts w:ascii="Arial" w:cs="Arial" w:eastAsia="Arial" w:hAnsi="Arial"/>
          <w:sz w:val="20"/>
          <w:szCs w:val="20"/>
        </w:rPr>
        <w:t xml:space="preserve">Tipping-point analysis to assess impact of non-random missing data on PFS</w:t>
      </w:r>
    </w:p>
    <w:p>
      <w:pPr>
        <w:pStyle w:val="Heading2"/>
        <w:spacing w:before="240" w:after="80"/>
      </w:pPr>
      <w:r>
        <w:rPr>
          <w:rFonts w:ascii="Arial" w:cs="Arial" w:eastAsia="Arial" w:hAnsi="Arial"/>
          <w:b/>
          <w:bCs/>
          <w:color w:val="2E75B6"/>
          <w:sz w:val="24"/>
          <w:szCs w:val="24"/>
        </w:rPr>
        <w:t xml:space="preserve">8.2 Subgroup Analyses</w:t>
      </w:r>
    </w:p>
    <w:p>
      <w:pPr>
        <w:spacing w:before="60" w:after="80"/>
      </w:pPr>
      <w:r>
        <w:rPr>
          <w:rFonts w:ascii="Arial" w:cs="Arial" w:eastAsia="Arial" w:hAnsi="Arial"/>
          <w:sz w:val="20"/>
          <w:szCs w:val="20"/>
        </w:rPr>
        <w:t xml:space="preserve">Subgroup analyses will be conducted for PFS and OS using a forest plot framework. Pre-specified subgroups include:</w:t>
      </w:r>
    </w:p>
    <w:p>
      <w:pPr>
        <w:pStyle w:val="ListParagraph"/>
        <w:numPr>
          <w:ilvl w:val="0"/>
          <w:numId w:val="2"/>
        </w:numPr>
        <w:spacing w:before="40" w:after="40"/>
        <w:ind w:left="720" w:hanging="360"/>
      </w:pPr>
      <w:r>
        <w:rPr>
          <w:rFonts w:ascii="Arial" w:cs="Arial" w:eastAsia="Arial" w:hAnsi="Arial"/>
          <w:sz w:val="20"/>
          <w:szCs w:val="20"/>
        </w:rPr>
        <w:t xml:space="preserve">PD-L1 CPS (&lt; 1, 1 to &lt; 10, &gt;= 10)</w:t>
      </w:r>
    </w:p>
    <w:p>
      <w:pPr>
        <w:pStyle w:val="ListParagraph"/>
        <w:numPr>
          <w:ilvl w:val="0"/>
          <w:numId w:val="2"/>
        </w:numPr>
        <w:spacing w:before="40" w:after="40"/>
        <w:ind w:left="720" w:hanging="360"/>
      </w:pPr>
      <w:r>
        <w:rPr>
          <w:rFonts w:ascii="Arial" w:cs="Arial" w:eastAsia="Arial" w:hAnsi="Arial"/>
          <w:sz w:val="20"/>
          <w:szCs w:val="20"/>
        </w:rPr>
        <w:t xml:space="preserve">TMB (low [&lt; 10 mutations/Mb], high [&gt;= 10 mutations/Mb])</w:t>
      </w:r>
    </w:p>
    <w:p>
      <w:pPr>
        <w:pStyle w:val="ListParagraph"/>
        <w:numPr>
          <w:ilvl w:val="0"/>
          <w:numId w:val="2"/>
        </w:numPr>
        <w:spacing w:before="40" w:after="40"/>
        <w:ind w:left="720" w:hanging="360"/>
      </w:pPr>
      <w:r>
        <w:rPr>
          <w:rFonts w:ascii="Arial" w:cs="Arial" w:eastAsia="Arial" w:hAnsi="Arial"/>
          <w:sz w:val="20"/>
          <w:szCs w:val="20"/>
        </w:rPr>
        <w:t xml:space="preserve">ECOG PS (0 vs. 1-2)</w:t>
      </w:r>
    </w:p>
    <w:p>
      <w:pPr>
        <w:pStyle w:val="ListParagraph"/>
        <w:numPr>
          <w:ilvl w:val="0"/>
          <w:numId w:val="2"/>
        </w:numPr>
        <w:spacing w:before="40" w:after="40"/>
        <w:ind w:left="720" w:hanging="360"/>
      </w:pPr>
      <w:r>
        <w:rPr>
          <w:rFonts w:ascii="Arial" w:cs="Arial" w:eastAsia="Arial" w:hAnsi="Arial"/>
          <w:sz w:val="20"/>
          <w:szCs w:val="20"/>
        </w:rPr>
        <w:t xml:space="preserve">Geographic region</w:t>
      </w:r>
    </w:p>
    <w:p>
      <w:pPr>
        <w:pStyle w:val="ListParagraph"/>
        <w:numPr>
          <w:ilvl w:val="0"/>
          <w:numId w:val="2"/>
        </w:numPr>
        <w:spacing w:before="40" w:after="40"/>
        <w:ind w:left="720" w:hanging="360"/>
      </w:pPr>
      <w:r>
        <w:rPr>
          <w:rFonts w:ascii="Arial" w:cs="Arial" w:eastAsia="Arial" w:hAnsi="Arial"/>
          <w:sz w:val="20"/>
          <w:szCs w:val="20"/>
        </w:rPr>
        <w:t xml:space="preserve">Age (&lt; 65 vs. &gt;= 65 years)</w:t>
      </w:r>
    </w:p>
    <w:p>
      <w:pPr>
        <w:pStyle w:val="ListParagraph"/>
        <w:numPr>
          <w:ilvl w:val="0"/>
          <w:numId w:val="2"/>
        </w:numPr>
        <w:spacing w:before="40" w:after="40"/>
        <w:ind w:left="720" w:hanging="360"/>
      </w:pPr>
      <w:r>
        <w:rPr>
          <w:rFonts w:ascii="Arial" w:cs="Arial" w:eastAsia="Arial" w:hAnsi="Arial"/>
          <w:sz w:val="20"/>
          <w:szCs w:val="20"/>
        </w:rPr>
        <w:t xml:space="preserve">Sex (male vs. female)</w:t>
      </w:r>
    </w:p>
    <w:p>
      <w:pPr>
        <w:pStyle w:val="ListParagraph"/>
        <w:numPr>
          <w:ilvl w:val="0"/>
          <w:numId w:val="2"/>
        </w:numPr>
        <w:spacing w:before="40" w:after="40"/>
        <w:ind w:left="720" w:hanging="360"/>
      </w:pPr>
      <w:r>
        <w:rPr>
          <w:rFonts w:ascii="Arial" w:cs="Arial" w:eastAsia="Arial" w:hAnsi="Arial"/>
          <w:sz w:val="20"/>
          <w:szCs w:val="20"/>
        </w:rPr>
        <w:t xml:space="preserve">Prior adjuvant chemotherapy (yes vs. no)</w:t>
      </w:r>
    </w:p>
    <w:p>
      <w:pPr>
        <w:pStyle w:val="ListParagraph"/>
        <w:numPr>
          <w:ilvl w:val="0"/>
          <w:numId w:val="2"/>
        </w:numPr>
        <w:spacing w:before="40" w:after="40"/>
        <w:ind w:left="720" w:hanging="360"/>
      </w:pPr>
      <w:r>
        <w:rPr>
          <w:rFonts w:ascii="Arial" w:cs="Arial" w:eastAsia="Arial" w:hAnsi="Arial"/>
          <w:sz w:val="20"/>
          <w:szCs w:val="20"/>
        </w:rPr>
        <w:t xml:space="preserve">KRAS/NRAS/BRAF mutational status</w:t>
      </w:r>
    </w:p>
    <w:p>
      <w:pPr>
        <w:pStyle w:val="ListParagraph"/>
        <w:numPr>
          <w:ilvl w:val="0"/>
          <w:numId w:val="2"/>
        </w:numPr>
        <w:spacing w:before="40" w:after="40"/>
        <w:ind w:left="720" w:hanging="360"/>
      </w:pPr>
      <w:r>
        <w:rPr>
          <w:rFonts w:ascii="Arial" w:cs="Arial" w:eastAsia="Arial" w:hAnsi="Arial"/>
          <w:sz w:val="20"/>
          <w:szCs w:val="20"/>
        </w:rPr>
        <w:t xml:space="preserve">Tumor sidedness (left vs. right colon vs. rectum)</w:t>
      </w:r>
    </w:p>
    <w:p>
      <w:pPr>
        <w:pStyle w:val="ListParagraph"/>
        <w:numPr>
          <w:ilvl w:val="0"/>
          <w:numId w:val="2"/>
        </w:numPr>
        <w:spacing w:before="40" w:after="40"/>
        <w:ind w:left="720" w:hanging="360"/>
      </w:pPr>
      <w:r>
        <w:rPr>
          <w:rFonts w:ascii="Arial" w:cs="Arial" w:eastAsia="Arial" w:hAnsi="Arial"/>
          <w:sz w:val="20"/>
          <w:szCs w:val="20"/>
        </w:rPr>
        <w:t xml:space="preserve">Synchronous versus metachronous metastases</w:t>
      </w:r>
    </w:p>
    <w:p>
      <w:pPr>
        <w:spacing w:before="60" w:after="80"/>
      </w:pPr>
      <w:r>
        <w:rPr>
          <w:rFonts w:ascii="Arial" w:cs="Arial" w:eastAsia="Arial" w:hAnsi="Arial"/>
          <w:sz w:val="20"/>
          <w:szCs w:val="20"/>
        </w:rPr>
        <w:t xml:space="preserve">Subgroup analyses are exploratory and no multiplicity adjustment will be applied. Interactions between subgroup and treatment will be evaluated using a treatment-by-subgroup interaction term in the Cox model.</w:t>
      </w:r>
    </w:p>
    <w:p>
      <w:pPr>
        <w:pStyle w:val="Heading2"/>
        <w:spacing w:before="240" w:after="80"/>
      </w:pPr>
      <w:r>
        <w:rPr>
          <w:rFonts w:ascii="Arial" w:cs="Arial" w:eastAsia="Arial" w:hAnsi="Arial"/>
          <w:b/>
          <w:bCs/>
          <w:color w:val="2E75B6"/>
          <w:sz w:val="24"/>
          <w:szCs w:val="24"/>
        </w:rPr>
        <w:t xml:space="preserve">8.3 Biomarker Exploratory Analyses</w:t>
      </w:r>
    </w:p>
    <w:p>
      <w:pPr>
        <w:spacing w:before="60" w:after="80"/>
      </w:pPr>
      <w:r>
        <w:rPr>
          <w:rFonts w:ascii="Arial" w:cs="Arial" w:eastAsia="Arial" w:hAnsi="Arial"/>
          <w:sz w:val="20"/>
          <w:szCs w:val="20"/>
        </w:rPr>
        <w:t xml:space="preserve">Correlations between baseline biomarker levels (PD-L1 CPS, TMB, ctDNA, tumor-infiltrating lymphocyte [TIL] density) and PFS/ORR will be explored using Spearman rank correlation and logistic regression (ORR) or Cox regression (PFS). Receiver operating characteristic (ROC) curves and area under the curve (AUC) will be calculated for candidate biomarker thresholds.</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9. SAFETY ANALYSES</w:t>
      </w:r>
    </w:p>
    <w:p>
      <w:pPr>
        <w:pStyle w:val="Heading2"/>
        <w:spacing w:before="240" w:after="80"/>
      </w:pPr>
      <w:r>
        <w:rPr>
          <w:rFonts w:ascii="Arial" w:cs="Arial" w:eastAsia="Arial" w:hAnsi="Arial"/>
          <w:b/>
          <w:bCs/>
          <w:color w:val="2E75B6"/>
          <w:sz w:val="24"/>
          <w:szCs w:val="24"/>
        </w:rPr>
        <w:t xml:space="preserve">9.1 Adverse Events</w:t>
      </w:r>
    </w:p>
    <w:p>
      <w:pPr>
        <w:spacing w:before="60" w:after="80"/>
      </w:pPr>
      <w:r>
        <w:rPr>
          <w:rFonts w:ascii="Arial" w:cs="Arial" w:eastAsia="Arial" w:hAnsi="Arial"/>
          <w:sz w:val="20"/>
          <w:szCs w:val="20"/>
        </w:rPr>
        <w:t xml:space="preserve">All adverse events will be coded using MedDRA (version 26.0) and graded per NCI CTCAE v5.0. AEs occurring from the first dose of study treatment to 90 days after the last dose (or start of new anti-cancer therapy, whichever is earlier) will be attributed to study treatment. The following AE summaries will be presented by treatment arm using the safety population:</w:t>
      </w:r>
    </w:p>
    <w:p>
      <w:pPr>
        <w:pStyle w:val="ListParagraph"/>
        <w:numPr>
          <w:ilvl w:val="0"/>
          <w:numId w:val="2"/>
        </w:numPr>
        <w:spacing w:before="40" w:after="40"/>
        <w:ind w:left="720" w:hanging="360"/>
      </w:pPr>
      <w:r>
        <w:rPr>
          <w:rFonts w:ascii="Arial" w:cs="Arial" w:eastAsia="Arial" w:hAnsi="Arial"/>
          <w:sz w:val="20"/>
          <w:szCs w:val="20"/>
        </w:rPr>
        <w:t xml:space="preserve">Any AE, treatment-related AE (TRAE), serious AE (SAE), AE leading to discontinuation, AE leading to dose modification (cervimab arm), AE leading to death</w:t>
      </w:r>
    </w:p>
    <w:p>
      <w:pPr>
        <w:pStyle w:val="ListParagraph"/>
        <w:numPr>
          <w:ilvl w:val="0"/>
          <w:numId w:val="2"/>
        </w:numPr>
        <w:spacing w:before="40" w:after="40"/>
        <w:ind w:left="720" w:hanging="360"/>
      </w:pPr>
      <w:r>
        <w:rPr>
          <w:rFonts w:ascii="Arial" w:cs="Arial" w:eastAsia="Arial" w:hAnsi="Arial"/>
          <w:sz w:val="20"/>
          <w:szCs w:val="20"/>
        </w:rPr>
        <w:t xml:space="preserve">AE incidence by MedDRA SOC and PT, sorted by frequency in cervimab arm</w:t>
      </w:r>
    </w:p>
    <w:p>
      <w:pPr>
        <w:pStyle w:val="ListParagraph"/>
        <w:numPr>
          <w:ilvl w:val="0"/>
          <w:numId w:val="2"/>
        </w:numPr>
        <w:spacing w:before="40" w:after="40"/>
        <w:ind w:left="720" w:hanging="360"/>
      </w:pPr>
      <w:r>
        <w:rPr>
          <w:rFonts w:ascii="Arial" w:cs="Arial" w:eastAsia="Arial" w:hAnsi="Arial"/>
          <w:sz w:val="20"/>
          <w:szCs w:val="20"/>
        </w:rPr>
        <w:t xml:space="preserve">Grade 3/4/5 AEs by MedDRA PT</w:t>
      </w:r>
    </w:p>
    <w:p>
      <w:pPr>
        <w:pStyle w:val="ListParagraph"/>
        <w:numPr>
          <w:ilvl w:val="0"/>
          <w:numId w:val="2"/>
        </w:numPr>
        <w:spacing w:before="40" w:after="40"/>
        <w:ind w:left="720" w:hanging="360"/>
      </w:pPr>
      <w:r>
        <w:rPr>
          <w:rFonts w:ascii="Arial" w:cs="Arial" w:eastAsia="Arial" w:hAnsi="Arial"/>
          <w:sz w:val="20"/>
          <w:szCs w:val="20"/>
        </w:rPr>
        <w:t xml:space="preserve">Immune-mediated AEs (imAEs) by PT and grade — with special focus on colitis, hepatitis, pneumonitis, endocrinopathy, nephritis, dermatitis</w:t>
      </w:r>
    </w:p>
    <w:p>
      <w:pPr>
        <w:pStyle w:val="ListParagraph"/>
        <w:numPr>
          <w:ilvl w:val="0"/>
          <w:numId w:val="2"/>
        </w:numPr>
        <w:spacing w:before="40" w:after="40"/>
        <w:ind w:left="720" w:hanging="360"/>
      </w:pPr>
      <w:r>
        <w:rPr>
          <w:rFonts w:ascii="Arial" w:cs="Arial" w:eastAsia="Arial" w:hAnsi="Arial"/>
          <w:sz w:val="20"/>
          <w:szCs w:val="20"/>
        </w:rPr>
        <w:t xml:space="preserve">Time to onset and time to resolution of imAEs (KM methodology)</w:t>
      </w:r>
    </w:p>
    <w:p>
      <w:pPr>
        <w:pStyle w:val="Heading2"/>
        <w:spacing w:before="240" w:after="80"/>
      </w:pPr>
      <w:r>
        <w:rPr>
          <w:rFonts w:ascii="Arial" w:cs="Arial" w:eastAsia="Arial" w:hAnsi="Arial"/>
          <w:b/>
          <w:bCs/>
          <w:color w:val="2E75B6"/>
          <w:sz w:val="24"/>
          <w:szCs w:val="24"/>
        </w:rPr>
        <w:t xml:space="preserve">9.2 Clinical Laboratory, Vital Signs, and ECG</w:t>
      </w:r>
    </w:p>
    <w:p>
      <w:pPr>
        <w:spacing w:before="60" w:after="80"/>
      </w:pPr>
      <w:r>
        <w:rPr>
          <w:rFonts w:ascii="Arial" w:cs="Arial" w:eastAsia="Arial" w:hAnsi="Arial"/>
          <w:sz w:val="20"/>
          <w:szCs w:val="20"/>
        </w:rPr>
        <w:t xml:space="preserve">Laboratory parameters (hematology, serum chemistry, thyroid function, liver function) will be summarized by treatment arm and visit using descriptive statistics and worst-grade shift tables (baseline to on-treatment). Shifts from Grade 0-1 to Grade 3-4 will be highlighted. Vital signs and 12-lead ECG parameters (QTcF) will be summarized using descriptive statistics.</w:t>
      </w:r>
    </w:p>
    <w:p>
      <w:pPr>
        <w:pStyle w:val="Heading2"/>
        <w:spacing w:before="240" w:after="80"/>
      </w:pPr>
      <w:r>
        <w:rPr>
          <w:rFonts w:ascii="Arial" w:cs="Arial" w:eastAsia="Arial" w:hAnsi="Arial"/>
          <w:b/>
          <w:bCs/>
          <w:color w:val="2E75B6"/>
          <w:sz w:val="24"/>
          <w:szCs w:val="24"/>
        </w:rPr>
        <w:t xml:space="preserve">9.3 Exposure and Compliance</w:t>
      </w:r>
    </w:p>
    <w:p>
      <w:pPr>
        <w:spacing w:before="60" w:after="80"/>
      </w:pPr>
      <w:r>
        <w:rPr>
          <w:rFonts w:ascii="Arial" w:cs="Arial" w:eastAsia="Arial" w:hAnsi="Arial"/>
          <w:sz w:val="20"/>
          <w:szCs w:val="20"/>
        </w:rPr>
        <w:t xml:space="preserve">Treatment exposure (number of cycles, cumulative dose, dose intensity, actual/relative dose intensity) and reasons for discontinuation will be summarized. For cervimab, time to first dose modification and proportion of patients receiving steroid management for imAEs will be reported.</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10. HANDLING OF MISSING DATA</w:t>
      </w:r>
    </w:p>
    <w:p>
      <w:pPr>
        <w:pStyle w:val="Heading2"/>
        <w:spacing w:before="240" w:after="80"/>
      </w:pPr>
      <w:r>
        <w:rPr>
          <w:rFonts w:ascii="Arial" w:cs="Arial" w:eastAsia="Arial" w:hAnsi="Arial"/>
          <w:b/>
          <w:bCs/>
          <w:color w:val="2E75B6"/>
          <w:sz w:val="24"/>
          <w:szCs w:val="24"/>
        </w:rPr>
        <w:t xml:space="preserve">10.1 General Principles</w:t>
      </w:r>
    </w:p>
    <w:p>
      <w:pPr>
        <w:spacing w:before="60" w:after="80"/>
      </w:pPr>
      <w:r>
        <w:rPr>
          <w:rFonts w:ascii="Arial" w:cs="Arial" w:eastAsia="Arial" w:hAnsi="Arial"/>
          <w:sz w:val="20"/>
          <w:szCs w:val="20"/>
        </w:rPr>
        <w:t xml:space="preserve">Missing data handling follows ICH E9(R1) principles. The primary analysis uses available data under the assumption that censoring is non-informative (missing completely at random, MCAR, or missing at random, MAR). Sensitivity analyses address departures from this assumption. Baseline covariate imputation will use single imputation by median (continuous variables) or mode (categorical variables) where missing rates are &lt; 5%; multiple imputation by chained equations (MICE, 50 imputed datasets, 10 iterations) will be used for covariates with missing rates &gt;= 5%.</w:t>
      </w:r>
    </w:p>
    <w:p>
      <w:pPr>
        <w:pStyle w:val="Heading2"/>
        <w:spacing w:before="240" w:after="80"/>
      </w:pPr>
      <w:r>
        <w:rPr>
          <w:rFonts w:ascii="Arial" w:cs="Arial" w:eastAsia="Arial" w:hAnsi="Arial"/>
          <w:b/>
          <w:bCs/>
          <w:color w:val="2E75B6"/>
          <w:sz w:val="24"/>
          <w:szCs w:val="24"/>
        </w:rPr>
        <w:t xml:space="preserve">10.2 Missing Primary Endpoint Data</w:t>
      </w:r>
    </w:p>
    <w:p>
      <w:pPr>
        <w:spacing w:before="60" w:after="80"/>
      </w:pPr>
      <w:r>
        <w:rPr>
          <w:rFonts w:ascii="Arial" w:cs="Arial" w:eastAsia="Arial" w:hAnsi="Arial"/>
          <w:sz w:val="20"/>
          <w:szCs w:val="20"/>
        </w:rPr>
        <w:t xml:space="preserve">Patients with no post-baseline tumor assessment will be censored at randomization + 1 day. If a patient withdraws for a reason potentially related to disease progression (e.g., clinical deterioration), a sensitivity analysis will treat this as a PFS event.</w:t>
      </w:r>
    </w:p>
    <w:p>
      <w:pPr>
        <w:pStyle w:val="Heading2"/>
        <w:spacing w:before="240" w:after="80"/>
      </w:pPr>
      <w:r>
        <w:rPr>
          <w:rFonts w:ascii="Arial" w:cs="Arial" w:eastAsia="Arial" w:hAnsi="Arial"/>
          <w:b/>
          <w:bCs/>
          <w:color w:val="2E75B6"/>
          <w:sz w:val="24"/>
          <w:szCs w:val="24"/>
        </w:rPr>
        <w:t xml:space="preserve">10.3 Missing Patient-Reported Outcomes</w:t>
      </w:r>
    </w:p>
    <w:p>
      <w:pPr>
        <w:spacing w:before="60" w:after="80"/>
      </w:pPr>
      <w:r>
        <w:rPr>
          <w:rFonts w:ascii="Arial" w:cs="Arial" w:eastAsia="Arial" w:hAnsi="Arial"/>
          <w:sz w:val="20"/>
          <w:szCs w:val="20"/>
        </w:rPr>
        <w:t xml:space="preserve">For HRQoL analyses, MMRM handles missing data under a MAR assumption. A pattern mixture model (PMM) sensitivity analysis will be conducted. The primary sensitivity analysis assumes a delta = -5 point offset (i.e., patients with missing data had scores 5 points worse than observed patients with similar covariates).</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11. SOFTWARE AND PROGRAMMING</w:t>
      </w:r>
    </w:p>
    <w:p>
      <w:pPr>
        <w:pStyle w:val="Heading2"/>
        <w:spacing w:before="240" w:after="80"/>
      </w:pPr>
      <w:r>
        <w:rPr>
          <w:rFonts w:ascii="Arial" w:cs="Arial" w:eastAsia="Arial" w:hAnsi="Arial"/>
          <w:b/>
          <w:bCs/>
          <w:color w:val="2E75B6"/>
          <w:sz w:val="24"/>
          <w:szCs w:val="24"/>
        </w:rPr>
        <w:t xml:space="preserve">11.1 Statistical Software</w:t>
      </w:r>
    </w:p>
    <w:p>
      <w:pPr>
        <w:spacing w:before="60" w:after="80"/>
      </w:pPr>
      <w:r>
        <w:rPr>
          <w:rFonts w:ascii="Arial" w:cs="Arial" w:eastAsia="Arial" w:hAnsi="Arial"/>
          <w:sz w:val="20"/>
          <w:szCs w:val="20"/>
        </w:rPr>
        <w:t xml:space="preserve">All statistical analyses will be performed using SAS version 9.4 (SAS Institute Inc., Cary, NC, USA) and R version 4.4.x (R Foundation for Statistical Computing, Vienna, Austria). Kaplan-Meier analyses and Cox regression will use SAS PROC LIFETEST and PROC PHREG. MMRM analyses will use SAS PROC MIXED. All R packages will be version-locked using the 'renv' package and listed in Appendix D.</w:t>
      </w:r>
    </w:p>
    <w:p>
      <w:pPr>
        <w:pStyle w:val="Heading2"/>
        <w:spacing w:before="240" w:after="80"/>
      </w:pPr>
      <w:r>
        <w:rPr>
          <w:rFonts w:ascii="Arial" w:cs="Arial" w:eastAsia="Arial" w:hAnsi="Arial"/>
          <w:b/>
          <w:bCs/>
          <w:color w:val="2E75B6"/>
          <w:sz w:val="24"/>
          <w:szCs w:val="24"/>
        </w:rPr>
        <w:t xml:space="preserve">11.2 CDISC Data Standards</w:t>
      </w:r>
    </w:p>
    <w:p>
      <w:pPr>
        <w:spacing w:before="60" w:after="80"/>
      </w:pPr>
      <w:r>
        <w:rPr>
          <w:rFonts w:ascii="Arial" w:cs="Arial" w:eastAsia="Arial" w:hAnsi="Arial"/>
          <w:sz w:val="20"/>
          <w:szCs w:val="20"/>
        </w:rPr>
        <w:t xml:space="preserve">Study data will be prepared per CDISC standards (SDTM v1.9, ADaM v2.1) in compliance with FDA 21 CFR Part 11 electronic records requirements. Analysis datasets will include ADSL (subject-level), ADTTE (time-to-event), ADRS (response), ADAE (adverse events), ADLB (laboratory), and ADQOL (quality of life). Dataset specifications are documented in the Analysis Data Model Implementation Guide (ADOMIG) maintained separately from this SAP.</w:t>
      </w:r>
    </w:p>
    <w:p>
      <w:pPr>
        <w:pStyle w:val="Heading2"/>
        <w:spacing w:before="240" w:after="80"/>
      </w:pPr>
      <w:r>
        <w:rPr>
          <w:rFonts w:ascii="Arial" w:cs="Arial" w:eastAsia="Arial" w:hAnsi="Arial"/>
          <w:b/>
          <w:bCs/>
          <w:color w:val="2E75B6"/>
          <w:sz w:val="24"/>
          <w:szCs w:val="24"/>
        </w:rPr>
        <w:t xml:space="preserve">11.3 Validation and Audit Trail</w:t>
      </w:r>
    </w:p>
    <w:p>
      <w:pPr>
        <w:spacing w:before="60" w:after="80"/>
      </w:pPr>
      <w:r>
        <w:rPr>
          <w:rFonts w:ascii="Arial" w:cs="Arial" w:eastAsia="Arial" w:hAnsi="Arial"/>
          <w:sz w:val="20"/>
          <w:szCs w:val="20"/>
        </w:rPr>
        <w:t xml:space="preserve">All analysis programs will undergo independent double programming and validation. A validation report documenting all discrepancies and resolutions will be archived with the final analysis programs. All analysis environments will be archived per 21 CFR Part 11 requirements to support regulatory inspection.</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12. SCHEDULE OF 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Analysis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 Date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Report Type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Interim Analysis (IA-1)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~160 PFS events (50%)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Q4 2025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IA Report to IDMC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Primary PFS Analysis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~320 PFS events (100%)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Q2 2026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Primary Analysis Report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Final OS Analysis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~360 OS events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Q3 2027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Final CSR Supplement</w:t>
            </w:r>
          </w:p>
        </w:tc>
      </w:tr>
    </w:tbl>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13. REFERENCES</w:t>
      </w:r>
    </w:p>
    <w:p>
      <w:pPr>
        <w:pStyle w:val="ListParagraph"/>
        <w:numPr>
          <w:ilvl w:val="0"/>
          <w:numId w:val="2"/>
        </w:numPr>
        <w:spacing w:before="40" w:after="40"/>
        <w:ind w:left="720" w:hanging="360"/>
      </w:pPr>
      <w:r>
        <w:rPr>
          <w:rFonts w:ascii="Arial" w:cs="Arial" w:eastAsia="Arial" w:hAnsi="Arial"/>
          <w:sz w:val="20"/>
          <w:szCs w:val="20"/>
        </w:rPr>
        <w:t xml:space="preserve">ICH E9. Statistical Principles for Clinical Trials. 1998.</w:t>
      </w:r>
    </w:p>
    <w:p>
      <w:pPr>
        <w:pStyle w:val="ListParagraph"/>
        <w:numPr>
          <w:ilvl w:val="0"/>
          <w:numId w:val="2"/>
        </w:numPr>
        <w:spacing w:before="40" w:after="40"/>
        <w:ind w:left="720" w:hanging="360"/>
      </w:pPr>
      <w:r>
        <w:rPr>
          <w:rFonts w:ascii="Arial" w:cs="Arial" w:eastAsia="Arial" w:hAnsi="Arial"/>
          <w:sz w:val="20"/>
          <w:szCs w:val="20"/>
        </w:rPr>
        <w:t xml:space="preserve">ICH E9(R1). Addendum on Estimands and Sensitivity Analysis in Clinical Trials. 2019.</w:t>
      </w:r>
    </w:p>
    <w:p>
      <w:pPr>
        <w:pStyle w:val="ListParagraph"/>
        <w:numPr>
          <w:ilvl w:val="0"/>
          <w:numId w:val="2"/>
        </w:numPr>
        <w:spacing w:before="40" w:after="40"/>
        <w:ind w:left="720" w:hanging="360"/>
      </w:pPr>
      <w:r>
        <w:rPr>
          <w:rFonts w:ascii="Arial" w:cs="Arial" w:eastAsia="Arial" w:hAnsi="Arial"/>
          <w:sz w:val="20"/>
          <w:szCs w:val="20"/>
        </w:rPr>
        <w:t xml:space="preserve">ICH E6(R2). Guideline for Good Clinical Practice. 2016.</w:t>
      </w:r>
    </w:p>
    <w:p>
      <w:pPr>
        <w:pStyle w:val="ListParagraph"/>
        <w:numPr>
          <w:ilvl w:val="0"/>
          <w:numId w:val="2"/>
        </w:numPr>
        <w:spacing w:before="40" w:after="40"/>
        <w:ind w:left="720" w:hanging="360"/>
      </w:pPr>
      <w:r>
        <w:rPr>
          <w:rFonts w:ascii="Arial" w:cs="Arial" w:eastAsia="Arial" w:hAnsi="Arial"/>
          <w:sz w:val="20"/>
          <w:szCs w:val="20"/>
        </w:rPr>
        <w:t xml:space="preserve">FDA. Guidance for Industry: Clinical Trial Endpoints for the Approval of Cancer Drugs and Biologics. May 2007.</w:t>
      </w:r>
    </w:p>
    <w:p>
      <w:pPr>
        <w:pStyle w:val="ListParagraph"/>
        <w:numPr>
          <w:ilvl w:val="0"/>
          <w:numId w:val="2"/>
        </w:numPr>
        <w:spacing w:before="40" w:after="40"/>
        <w:ind w:left="720" w:hanging="360"/>
      </w:pPr>
      <w:r>
        <w:rPr>
          <w:rFonts w:ascii="Arial" w:cs="Arial" w:eastAsia="Arial" w:hAnsi="Arial"/>
          <w:sz w:val="20"/>
          <w:szCs w:val="20"/>
        </w:rPr>
        <w:t xml:space="preserve">FDA. Guidance for Industry: Adaptive Designs for Clinical Trials of Drugs and Biologics. November 2019.</w:t>
      </w:r>
    </w:p>
    <w:p>
      <w:pPr>
        <w:pStyle w:val="ListParagraph"/>
        <w:numPr>
          <w:ilvl w:val="0"/>
          <w:numId w:val="2"/>
        </w:numPr>
        <w:spacing w:before="40" w:after="40"/>
        <w:ind w:left="720" w:hanging="360"/>
      </w:pPr>
      <w:r>
        <w:rPr>
          <w:rFonts w:ascii="Arial" w:cs="Arial" w:eastAsia="Arial" w:hAnsi="Arial"/>
          <w:sz w:val="20"/>
          <w:szCs w:val="20"/>
        </w:rPr>
        <w:t xml:space="preserve">Lan KKG, DeMets DL. Discrete sequential boundaries for clinical trials. Biometrika. 1983;70(3):659-663.</w:t>
      </w:r>
    </w:p>
    <w:p>
      <w:pPr>
        <w:pStyle w:val="ListParagraph"/>
        <w:numPr>
          <w:ilvl w:val="0"/>
          <w:numId w:val="2"/>
        </w:numPr>
        <w:spacing w:before="40" w:after="40"/>
        <w:ind w:left="720" w:hanging="360"/>
      </w:pPr>
      <w:r>
        <w:rPr>
          <w:rFonts w:ascii="Arial" w:cs="Arial" w:eastAsia="Arial" w:hAnsi="Arial"/>
          <w:sz w:val="20"/>
          <w:szCs w:val="20"/>
        </w:rPr>
        <w:t xml:space="preserve">Andre T, et al. Pembrolizumab in Microsatellite-Instability-High Advanced Colorectal Cancer. N Engl J Med. 2020;383:2207-2218. (KEYNOTE-177)</w:t>
      </w:r>
    </w:p>
    <w:p>
      <w:pPr>
        <w:pStyle w:val="ListParagraph"/>
        <w:numPr>
          <w:ilvl w:val="0"/>
          <w:numId w:val="2"/>
        </w:numPr>
        <w:spacing w:before="40" w:after="40"/>
        <w:ind w:left="720" w:hanging="360"/>
      </w:pPr>
      <w:r>
        <w:rPr>
          <w:rFonts w:ascii="Arial" w:cs="Arial" w:eastAsia="Arial" w:hAnsi="Arial"/>
          <w:sz w:val="20"/>
          <w:szCs w:val="20"/>
        </w:rPr>
        <w:t xml:space="preserve">RECIST Working Group. New Response Evaluation Criteria in Solid Tumours (RECIST v1.1). Eur J Cancer. 2009;45:228-247.</w:t>
      </w:r>
    </w:p>
    <w:p>
      <w:pPr>
        <w:pStyle w:val="ListParagraph"/>
        <w:numPr>
          <w:ilvl w:val="0"/>
          <w:numId w:val="2"/>
        </w:numPr>
        <w:spacing w:before="40" w:after="40"/>
        <w:ind w:left="720" w:hanging="360"/>
      </w:pPr>
      <w:r>
        <w:rPr>
          <w:rFonts w:ascii="Arial" w:cs="Arial" w:eastAsia="Arial" w:hAnsi="Arial"/>
          <w:sz w:val="20"/>
          <w:szCs w:val="20"/>
        </w:rPr>
        <w:t xml:space="preserve">NCI. Common Terminology Criteria for Adverse Events (CTCAE), Version 5.0. November 2017.</w:t>
      </w:r>
    </w:p>
    <w:p>
      <w:pPr>
        <w:pStyle w:val="ListParagraph"/>
        <w:numPr>
          <w:ilvl w:val="0"/>
          <w:numId w:val="2"/>
        </w:numPr>
        <w:spacing w:before="40" w:after="40"/>
        <w:ind w:left="720" w:hanging="360"/>
      </w:pPr>
      <w:r>
        <w:rPr>
          <w:rFonts w:ascii="Arial" w:cs="Arial" w:eastAsia="Arial" w:hAnsi="Arial"/>
          <w:sz w:val="20"/>
          <w:szCs w:val="20"/>
        </w:rPr>
        <w:t xml:space="preserve">MedDRA. Medical Dictionary for Regulatory Activities, Version 26.0. 2023.</w:t>
      </w:r>
    </w:p>
    <w:p>
      <w:pPr>
        <w:pStyle w:val="ListParagraph"/>
        <w:numPr>
          <w:ilvl w:val="0"/>
          <w:numId w:val="2"/>
        </w:numPr>
        <w:spacing w:before="40" w:after="40"/>
        <w:ind w:left="720" w:hanging="360"/>
      </w:pPr>
      <w:r>
        <w:rPr>
          <w:rFonts w:ascii="Arial" w:cs="Arial" w:eastAsia="Arial" w:hAnsi="Arial"/>
          <w:sz w:val="20"/>
          <w:szCs w:val="20"/>
        </w:rPr>
        <w:t xml:space="preserve">CDISC. Study Data Tabulation Model (SDTM) Implementation Guide v1.9. 2023.</w:t>
      </w:r>
    </w:p>
    <w:p>
      <w:pPr>
        <w:pStyle w:val="ListParagraph"/>
        <w:numPr>
          <w:ilvl w:val="0"/>
          <w:numId w:val="2"/>
        </w:numPr>
        <w:spacing w:before="40" w:after="40"/>
        <w:ind w:left="720" w:hanging="360"/>
      </w:pPr>
      <w:r>
        <w:rPr>
          <w:rFonts w:ascii="Arial" w:cs="Arial" w:eastAsia="Arial" w:hAnsi="Arial"/>
          <w:sz w:val="20"/>
          <w:szCs w:val="20"/>
        </w:rPr>
        <w:t xml:space="preserve">CDISC. Analysis Data Model (ADaM) v2.1. 2023.</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APPENDIX A: RANDOMIZATION AND STRATIFICATION</w:t>
      </w:r>
    </w:p>
    <w:p>
      <w:pPr>
        <w:spacing w:before="60" w:after="80"/>
      </w:pPr>
      <w:r>
        <w:rPr>
          <w:rFonts w:ascii="Arial" w:cs="Arial" w:eastAsia="Arial" w:hAnsi="Arial"/>
          <w:sz w:val="20"/>
          <w:szCs w:val="20"/>
        </w:rPr>
        <w:t xml:space="preserve">Randomization will be performed centrally using an Interactive Web Response System (IWRS; Medidata Rave RTSM). The randomization list will be generated by an independent biostatistician not involved in the conduct of the trial using a permuted block algorithm with varying block sizes of 4, 6, and 8. The randomization list will be held by the IWRS vendor and the independent statistician. Stratification factors and their levels are:</w:t>
      </w:r>
    </w:p>
    <w:p>
      <w:pPr>
        <w:pStyle w:val="ListParagraph"/>
        <w:numPr>
          <w:ilvl w:val="0"/>
          <w:numId w:val="2"/>
        </w:numPr>
        <w:spacing w:before="40" w:after="40"/>
        <w:ind w:left="720" w:hanging="360"/>
      </w:pPr>
      <w:r>
        <w:rPr>
          <w:rFonts w:ascii="Arial" w:cs="Arial" w:eastAsia="Arial" w:hAnsi="Arial"/>
          <w:sz w:val="20"/>
          <w:szCs w:val="20"/>
        </w:rPr>
        <w:t xml:space="preserve">ECOG Performance Status: 0 versus 1-2</w:t>
      </w:r>
    </w:p>
    <w:p>
      <w:pPr>
        <w:pStyle w:val="ListParagraph"/>
        <w:numPr>
          <w:ilvl w:val="0"/>
          <w:numId w:val="2"/>
        </w:numPr>
        <w:spacing w:before="40" w:after="40"/>
        <w:ind w:left="720" w:hanging="360"/>
      </w:pPr>
      <w:r>
        <w:rPr>
          <w:rFonts w:ascii="Arial" w:cs="Arial" w:eastAsia="Arial" w:hAnsi="Arial"/>
          <w:sz w:val="20"/>
          <w:szCs w:val="20"/>
        </w:rPr>
        <w:t xml:space="preserve">Geographic Region: North America/Western Europe versus Asia-Pacific/Rest of World</w:t>
      </w:r>
    </w:p>
    <w:p>
      <w:pPr>
        <w:pStyle w:val="ListParagraph"/>
        <w:numPr>
          <w:ilvl w:val="0"/>
          <w:numId w:val="2"/>
        </w:numPr>
        <w:spacing w:before="40" w:after="40"/>
        <w:ind w:left="720" w:hanging="360"/>
      </w:pPr>
      <w:r>
        <w:rPr>
          <w:rFonts w:ascii="Arial" w:cs="Arial" w:eastAsia="Arial" w:hAnsi="Arial"/>
          <w:sz w:val="20"/>
          <w:szCs w:val="20"/>
        </w:rPr>
        <w:t xml:space="preserve">Prior Adjuvant Chemotherapy: Yes versus No</w:t>
      </w:r>
    </w:p>
    <w:p>
      <w:pPr>
        <w:pStyle w:val="Heading1"/>
        <w:pBdr>
          <w:bottom w:val="single" w:color="2E75B6" w:sz="6" w:space="4"/>
        </w:pBdr>
        <w:spacing w:before="360" w:after="120"/>
      </w:pPr>
      <w:r>
        <w:rPr>
          <w:rFonts w:ascii="Arial" w:cs="Arial" w:eastAsia="Arial" w:hAnsi="Arial"/>
          <w:b/>
          <w:bCs/>
          <w:color w:val="1F3864"/>
          <w:sz w:val="28"/>
          <w:szCs w:val="28"/>
        </w:rPr>
        <w:t xml:space="preserve">APPENDIX B: RECIST v1.1 ASSESSMENT SCHEDULE</w:t>
      </w:r>
    </w:p>
    <w:p>
      <w:pPr>
        <w:spacing w:before="60" w:after="80"/>
      </w:pPr>
      <w:r>
        <w:rPr>
          <w:rFonts w:ascii="Arial" w:cs="Arial" w:eastAsia="Arial" w:hAnsi="Arial"/>
          <w:sz w:val="20"/>
          <w:szCs w:val="20"/>
        </w:rPr>
        <w:t xml:space="preserve">Tumor imaging (CT scan with contrast or MRI) will be performed at baseline (within 28 days of randomization) and every 8 weeks (+ 7 days window) through Week 40, then every 12 weeks (+ 14 days window) thereafter until confirmed progression, initiation of new anti-cancer therapy, withdrawal of consent, or death. All images will be transmitted to the central imaging vendor (Bio-Imaging Research Inc.) within 5 business days of acquisition for BICR assessment.</w:t>
      </w:r>
    </w:p>
    <w:p>
      <w:pPr>
        <w:pStyle w:val="Heading1"/>
        <w:pBdr>
          <w:bottom w:val="single" w:color="2E75B6" w:sz="6" w:space="4"/>
        </w:pBdr>
        <w:spacing w:before="360" w:after="120"/>
      </w:pPr>
      <w:r>
        <w:rPr>
          <w:rFonts w:ascii="Arial" w:cs="Arial" w:eastAsia="Arial" w:hAnsi="Arial"/>
          <w:b/>
          <w:bCs/>
          <w:color w:val="1F3864"/>
          <w:sz w:val="28"/>
          <w:szCs w:val="28"/>
        </w:rPr>
        <w:t xml:space="preserve">APPENDIX C: IMMUNE-MEDIATED AE DEFINITIONS</w:t>
      </w:r>
    </w:p>
    <w:p>
      <w:pPr>
        <w:spacing w:before="60" w:after="80"/>
      </w:pPr>
      <w:r>
        <w:rPr>
          <w:rFonts w:ascii="Arial" w:cs="Arial" w:eastAsia="Arial" w:hAnsi="Arial"/>
          <w:sz w:val="20"/>
          <w:szCs w:val="20"/>
        </w:rPr>
        <w:t xml:space="preserve">Immune-mediated adverse events (imAEs) are defined as AEs of potential immunological etiology requiring systemic corticosteroid management or other immunosuppressive therapy, occurring in the absence of an obvious alternative cause. Pre-specified imAE categories and their preferred management pathways are defined in the Cervimab Immune-Mediated Toxicity Management Guide (CERTIMAB-IMG-001). Specific imAE monitoring schedules (thyroid function, liver function, glucose, amylase/lipase) are defined in the Protocol Schedule of Assessments.</w:t>
      </w:r>
    </w:p>
    <w:p>
      <w:pPr>
        <w:pStyle w:val="Heading1"/>
        <w:pBdr>
          <w:bottom w:val="single" w:color="2E75B6" w:sz="6" w:space="4"/>
        </w:pBdr>
        <w:spacing w:before="360" w:after="120"/>
      </w:pPr>
      <w:r>
        <w:rPr>
          <w:rFonts w:ascii="Arial" w:cs="Arial" w:eastAsia="Arial" w:hAnsi="Arial"/>
          <w:b/>
          <w:bCs/>
          <w:color w:val="1F3864"/>
          <w:sz w:val="28"/>
          <w:szCs w:val="28"/>
        </w:rPr>
        <w:t xml:space="preserve">APPENDIX D: R PACKAGE VERSION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Package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survival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3.5-8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KM estimation, log-rank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survminer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0.4.9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KM visualization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forestplot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3.1.3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Subgroup forest plots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3.16.0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Multiple imputation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renv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Package version locking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ggplot2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General visualization</w:t>
            </w:r>
          </w:p>
        </w:tc>
      </w:tr>
    </w:tbl>
    <w:p>
      <w:pPr>
        <w:spacing w:before="80" w:after="80"/>
      </w:pPr>
      <w:r>
        <w:t xml:space="preserve"/>
      </w:r>
    </w:p>
    <w:p>
      <w:pPr>
        <w:pBdr>
          <w:top w:val="single" w:color="2E75B6" w:sz="4" w:space="4"/>
        </w:pBdr>
        <w:spacing w:before="480"/>
        <w:jc w:val="center"/>
      </w:pPr>
      <w:r>
        <w:rPr>
          <w:rFonts w:ascii="Arial" w:cs="Arial" w:eastAsia="Arial" w:hAnsi="Arial"/>
          <w:i/>
          <w:iCs/>
          <w:color w:val="595959"/>
          <w:sz w:val="18"/>
          <w:szCs w:val="18"/>
        </w:rPr>
        <w:t xml:space="preserve">END OF DOCUMENT — CERV-301 Statistical Analysis Plan v2.0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95959"/>
        <w:sz w:val="16"/>
        <w:szCs w:val="16"/>
      </w:rPr>
      <w:t xml:space="preserve">Statistical Analysis Plan v2.0  |  Sponsor: NovaPharma Oncology, Inc.</w:t>
    </w:r>
    <w:r>
      <w:rPr>
        <w:rFonts w:ascii="Arial" w:cs="Arial" w:eastAsia="Arial" w:hAnsi="Arial"/>
        <w:color w:val="595959"/>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i/>
        <w:iCs/>
        <w:color w:val="595959"/>
        <w:sz w:val="16"/>
        <w:szCs w:val="16"/>
      </w:rPr>
      <w:t xml:space="preserve">CONFIDENTIAL — INVESTIGATIONAL USE ONLY    |    CERVIMAB Phase 3 SAP    |    Protocol CERV-301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2026-03-16T14:49:46.757Z</dcterms:created>
  <dcterms:modified xsi:type="dcterms:W3CDTF">2026-03-16T14:49:46.757Z</dcterms:modified>
</cp:coreProperties>
</file>

<file path=docProps/custom.xml><?xml version="1.0" encoding="utf-8"?>
<Properties xmlns="http://schemas.openxmlformats.org/officeDocument/2006/custom-properties" xmlns:vt="http://schemas.openxmlformats.org/officeDocument/2006/docPropsVTypes"/>
</file>