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3864"/>
          <w:sz w:val="28"/>
          <w:szCs w:val="28"/>
        </w:rPr>
        <w:t xml:space="preserve">ONCOBIOLOGICS, INC.</w:t>
      </w:r>
    </w:p>
    <w:p>
      <w:pPr>
        <w:spacing w:before="0" w:after="80"/>
        <w:jc w:val="center"/>
      </w:pPr>
      <w:r>
        <w:rPr>
          <w:rFonts w:ascii="Arial" w:cs="Arial" w:eastAsia="Arial" w:hAnsi="Arial"/>
          <w:b/>
          <w:bCs/>
          <w:color w:val="1F3864"/>
          <w:sz w:val="48"/>
          <w:szCs w:val="48"/>
        </w:rPr>
        <w:t xml:space="preserve">CLINICAL STUDY PROTOCOL</w:t>
      </w:r>
    </w:p>
    <w:p>
      <w:pPr>
        <w:pBdr>
          <w:bottom w:val="thick" w:color="2E5FAC" w:sz="8"/>
        </w:pBdr>
        <w:spacing w:before="0" w:after="480"/>
        <w:jc w:val="center"/>
      </w:pPr>
      <w:r>
        <w:rPr>
          <w:rFonts w:ascii="Arial" w:cs="Arial" w:eastAsia="Arial" w:hAnsi="Arial"/>
          <w:sz w:val="24"/>
          <w:szCs w:val="24"/>
        </w:rPr>
        <w:t xml:space="preserve"> </w:t>
      </w:r>
    </w:p>
    <w:p>
      <w:pPr>
        <w:spacing w:before="480" w:after="80"/>
        <w:jc w:val="center"/>
      </w:pPr>
      <w:r>
        <w:rPr>
          <w:rFonts w:ascii="Arial" w:cs="Arial" w:eastAsia="Arial" w:hAnsi="Arial"/>
          <w:b/>
          <w:bCs/>
          <w:color w:val="1A1A2E"/>
          <w:sz w:val="28"/>
          <w:szCs w:val="28"/>
        </w:rPr>
        <w:t xml:space="preserve">Protocol Number: CERVIMAB-301</w:t>
      </w:r>
    </w:p>
    <w:p>
      <w:pPr>
        <w:spacing w:before="0" w:after="80"/>
        <w:jc w:val="center"/>
      </w:pPr>
      <w:r>
        <w:rPr>
          <w:rFonts w:ascii="Arial" w:cs="Arial" w:eastAsia="Arial" w:hAnsi="Arial"/>
          <w:color w:val="555555"/>
          <w:sz w:val="24"/>
          <w:szCs w:val="24"/>
        </w:rPr>
        <w:t xml:space="preserve">Version 1.0 | 16 March 2026</w:t>
      </w:r>
    </w:p>
    <w:p>
      <w:pPr>
        <w:spacing w:before="400" w:after="80"/>
        <w:jc w:val="center"/>
      </w:pPr>
      <w:r>
        <w:rPr>
          <w:rFonts w:ascii="Arial" w:cs="Arial" w:eastAsia="Arial" w:hAnsi="Arial"/>
          <w:b/>
          <w:bCs/>
          <w:color w:val="2E5FAC"/>
          <w:sz w:val="26"/>
          <w:szCs w:val="26"/>
        </w:rPr>
        <w:t xml:space="preserve">A PHASE 3, RANDOMIZED, DOUBLE-BLIND,</w:t>
      </w:r>
    </w:p>
    <w:p>
      <w:pPr>
        <w:spacing w:before="0" w:after="80"/>
        <w:jc w:val="center"/>
      </w:pPr>
      <w:r>
        <w:rPr>
          <w:rFonts w:ascii="Arial" w:cs="Arial" w:eastAsia="Arial" w:hAnsi="Arial"/>
          <w:b/>
          <w:bCs/>
          <w:color w:val="2E5FAC"/>
          <w:sz w:val="26"/>
          <w:szCs w:val="26"/>
        </w:rPr>
        <w:t xml:space="preserve">PLACEBO-CONTROLLED, MULTICENTER STUDY OF CERVIMAB</w:t>
      </w:r>
    </w:p>
    <w:p>
      <w:pPr>
        <w:spacing w:before="0" w:after="80"/>
        <w:jc w:val="center"/>
      </w:pPr>
      <w:r>
        <w:rPr>
          <w:rFonts w:ascii="Arial" w:cs="Arial" w:eastAsia="Arial" w:hAnsi="Arial"/>
          <w:b/>
          <w:bCs/>
          <w:color w:val="2E5FAC"/>
          <w:sz w:val="26"/>
          <w:szCs w:val="26"/>
        </w:rPr>
        <w:t xml:space="preserve">VERSUS CHEMOTHERAPY IN PATIENTS WITH</w:t>
      </w:r>
    </w:p>
    <w:p>
      <w:pPr>
        <w:spacing w:before="0" w:after="80"/>
        <w:jc w:val="center"/>
      </w:pPr>
      <w:r>
        <w:rPr>
          <w:rFonts w:ascii="Arial" w:cs="Arial" w:eastAsia="Arial" w:hAnsi="Arial"/>
          <w:b/>
          <w:bCs/>
          <w:color w:val="2E5FAC"/>
          <w:sz w:val="26"/>
          <w:szCs w:val="26"/>
        </w:rPr>
        <w:t xml:space="preserve">dMMR/MSI-H METASTATIC COLORECTAL CANCER</w:t>
      </w:r>
    </w:p>
    <w:p>
      <w:pPr>
        <w:spacing w:before="480" w:after="80"/>
        <w:jc w:val="center"/>
      </w:pPr>
      <w:r>
        <w:rPr>
          <w:rFonts w:ascii="Arial" w:cs="Arial" w:eastAsia="Arial" w:hAnsi="Arial"/>
          <w:color w:val="555555"/>
          <w:sz w:val="22"/>
          <w:szCs w:val="22"/>
        </w:rPr>
        <w:t xml:space="preserve">IND Number: [IND-XXXXX]</w:t>
      </w:r>
    </w:p>
    <w:p>
      <w:pPr>
        <w:spacing w:before="0" w:after="80"/>
        <w:jc w:val="center"/>
      </w:pPr>
      <w:r>
        <w:rPr>
          <w:rFonts w:ascii="Arial" w:cs="Arial" w:eastAsia="Arial" w:hAnsi="Arial"/>
          <w:color w:val="555555"/>
          <w:sz w:val="22"/>
          <w:szCs w:val="22"/>
        </w:rPr>
        <w:t xml:space="preserve">EudraCT Number: [XXXX-XXXXXX-XX]</w:t>
      </w:r>
    </w:p>
    <w:p>
      <w:pPr>
        <w:spacing w:before="0" w:after="240"/>
        <w:jc w:val="center"/>
      </w:pPr>
      <w:r>
        <w:rPr>
          <w:rFonts w:ascii="Arial" w:cs="Arial" w:eastAsia="Arial" w:hAnsi="Arial"/>
          <w:color w:val="555555"/>
          <w:sz w:val="22"/>
          <w:szCs w:val="22"/>
        </w:rPr>
        <w:t xml:space="preserve">ClinicalTrials.gov: NCT0XXXXXXX</w:t>
      </w:r>
    </w:p>
    <w:p>
      <w:pPr>
        <w:spacing w:before="640" w:after="80"/>
        <w:jc w:val="center"/>
      </w:pPr>
      <w:r>
        <w:rPr>
          <w:rFonts w:ascii="Arial" w:cs="Arial" w:eastAsia="Arial" w:hAnsi="Arial"/>
          <w:b/>
          <w:bCs/>
          <w:color w:val="CC0000"/>
          <w:sz w:val="20"/>
          <w:szCs w:val="20"/>
        </w:rPr>
        <w:t xml:space="preserve">CONFIDENTIAL — FOR INVESTIGATOR AND IRB/IEC USE ONLY</w:t>
      </w:r>
    </w:p>
    <w:p>
      <w:pPr>
        <w:spacing w:before="0" w:after="80"/>
        <w:jc w:val="center"/>
      </w:pPr>
      <w:r>
        <w:rPr>
          <w:rFonts w:ascii="Arial" w:cs="Arial" w:eastAsia="Arial" w:hAnsi="Arial"/>
          <w:i/>
          <w:iCs/>
          <w:color w:val="777777"/>
          <w:sz w:val="18"/>
          <w:szCs w:val="18"/>
        </w:rPr>
        <w:t xml:space="preserve">This document contains proprietary and confidential information of Oncobiologics, Inc.</w:t>
      </w:r>
    </w:p>
    <w:p>
      <w:pPr>
        <w:spacing w:before="0" w:after="80"/>
        <w:jc w:val="center"/>
      </w:pPr>
      <w:r>
        <w:rPr>
          <w:rFonts w:ascii="Arial" w:cs="Arial" w:eastAsia="Arial" w:hAnsi="Arial"/>
          <w:i/>
          <w:iCs/>
          <w:color w:val="777777"/>
          <w:sz w:val="18"/>
          <w:szCs w:val="18"/>
        </w:rPr>
        <w:t xml:space="preserve">Unauthorized disclosure, copying, or distribution is strictly prohibited.</w:t>
      </w:r>
    </w:p>
    <w:p>
      <w:r>
        <w:br w:type="page"/>
      </w:r>
    </w:p>
    <w:p>
      <w:pPr>
        <w:pStyle w:val="Heading1"/>
        <w:pBdr>
          <w:bottom w:val="single" w:color="2E5FAC" w:sz="4"/>
        </w:pBdr>
        <w:spacing w:before="320" w:after="160"/>
      </w:pPr>
      <w:r>
        <w:rPr>
          <w:rFonts w:ascii="Arial" w:cs="Arial" w:eastAsia="Arial" w:hAnsi="Arial"/>
          <w:b/>
          <w:bCs/>
          <w:color w:val="1F3864"/>
          <w:sz w:val="28"/>
          <w:szCs w:val="28"/>
        </w:rPr>
        <w:t xml:space="preserve">PROTOCOL SYNOPSIS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Full Title</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A Phase 3, Randomized, Double-Blind, Placebo-Controlled, Multicenter Study Evaluating the Efficacy and Safety of Cervimab (Anti-PD-1 Monoclonal Antibody) Versus FOLFOX-4 Plus Bevacizumab in Patients with Previously Untreated dMMR/MSI-H Metastatic Colorectal Cancer</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Short Title</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CERVIMAB-301: Cervimab in dMMR/MSI-H mCRC</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Protocol Number</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CERVIMAB-301, Version 1.0</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Phase</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Phase 3</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Study Design</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Randomized, double-blind, placebo-controlled, multicenter, international</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Investigational Drug</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Cervimab 400 mg IV Q3W (PD-1 inhibitor, fully human IgG4 mAb)</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Comparator</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FOLFOX-4 (Oxaliplatin 85 mg/m2 IV + Leucovorin 200 mg/m2 IV + 5-FU 400 mg/m2 IV bolus + 5-FU 600 mg/m2 CI) + Bevacizumab 5 mg/kg IV Q2W</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Primary Endpoint</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Progression-Free Survival (PFS) per RECIST v1.1 by BICR</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Key Secondary Endpoints</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Overall Survival (OS), Objective Response Rate (ORR), Duration of Response (DoR), Health-Related Quality of Life (HRQoL)</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Target Population</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Adults (&gt;=18 years) with histologically confirmed unresectable metastatic or locally advanced dMMR/MSI-H colorectal adenocarcinoma; ECOG PS 0-1; no prior systemic therapy for metastatic disease</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Sample Size</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Approximately 480 patients (240 per arm); 90% power to detect HR=0.60 for PFS</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Randomization Ratio</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1:1 (Cervimab : FOLFOX-4 + Bevacizumab)</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Stratification Factors</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ECOG PS (0 vs 1); Geographic Region (North America/Europe vs. Rest of World); RAS/BRAF mutation status (wild-type vs. mutant)</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Study Duration</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Enrollment: ~24 months; Follow-up: minimum 24 months; Total: ~48 months</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Number of Sites</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Approximately 120 sites in 18 countries</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Sponsor</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Oncobiologics, Inc., 375 Phoenixville Pike, Malvern, PA 19355, USA</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Medical Monitor</w:t>
            </w:r>
          </w:p>
        </w:tc>
        <w:tc>
          <w:tcPr>
            <w:tcW w:type="dxa" w:w="65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sz w:val="20"/>
                <w:szCs w:val="20"/>
              </w:rPr>
              <w:t xml:space="preserve">[Name, MD] | medmonitor@oncobiologics.com | +1-610-555-0100</w:t>
            </w:r>
          </w:p>
        </w:tc>
      </w:tr>
    </w:tbl>
    <w:p>
      <w:r>
        <w:br w:type="page"/>
      </w:r>
    </w:p>
    <w:p>
      <w:pPr>
        <w:pStyle w:val="Heading1"/>
        <w:pBdr>
          <w:bottom w:val="single" w:color="2E5FAC" w:sz="4"/>
        </w:pBdr>
        <w:spacing w:before="320" w:after="160"/>
      </w:pPr>
      <w:r>
        <w:rPr>
          <w:rFonts w:ascii="Arial" w:cs="Arial" w:eastAsia="Arial" w:hAnsi="Arial"/>
          <w:b/>
          <w:bCs/>
          <w:color w:val="1F3864"/>
          <w:sz w:val="28"/>
          <w:szCs w:val="28"/>
        </w:rPr>
        <w:t xml:space="preserve">TABLE OF CONTENTS</w:t>
      </w:r>
    </w:p>
    <w:p>
      <w:pPr>
        <w:spacing w:before="80" w:after="80"/>
      </w:pPr>
      <w:r>
        <w:rPr>
          <w:rFonts w:ascii="Arial" w:cs="Arial" w:eastAsia="Arial" w:hAnsi="Arial"/>
          <w:sz w:val="22"/>
          <w:szCs w:val="22"/>
        </w:rPr>
        <w:t xml:space="preserve">1. Background and Rationale</w:t>
      </w:r>
    </w:p>
    <w:p>
      <w:pPr>
        <w:spacing w:before="80" w:after="80"/>
      </w:pPr>
      <w:r>
        <w:rPr>
          <w:rFonts w:ascii="Arial" w:cs="Arial" w:eastAsia="Arial" w:hAnsi="Arial"/>
          <w:sz w:val="22"/>
          <w:szCs w:val="22"/>
        </w:rPr>
        <w:t xml:space="preserve">2. Study Objectives and Endpoints</w:t>
      </w:r>
    </w:p>
    <w:p>
      <w:pPr>
        <w:spacing w:before="80" w:after="80"/>
      </w:pPr>
      <w:r>
        <w:rPr>
          <w:rFonts w:ascii="Arial" w:cs="Arial" w:eastAsia="Arial" w:hAnsi="Arial"/>
          <w:sz w:val="22"/>
          <w:szCs w:val="22"/>
        </w:rPr>
        <w:t xml:space="preserve">3. Study Design</w:t>
      </w:r>
    </w:p>
    <w:p>
      <w:pPr>
        <w:spacing w:before="80" w:after="80"/>
      </w:pPr>
      <w:r>
        <w:rPr>
          <w:rFonts w:ascii="Arial" w:cs="Arial" w:eastAsia="Arial" w:hAnsi="Arial"/>
          <w:sz w:val="22"/>
          <w:szCs w:val="22"/>
        </w:rPr>
        <w:t xml:space="preserve">4. Patient Selection</w:t>
      </w:r>
    </w:p>
    <w:p>
      <w:pPr>
        <w:spacing w:before="80" w:after="80"/>
      </w:pPr>
      <w:r>
        <w:rPr>
          <w:rFonts w:ascii="Arial" w:cs="Arial" w:eastAsia="Arial" w:hAnsi="Arial"/>
          <w:sz w:val="22"/>
          <w:szCs w:val="22"/>
        </w:rPr>
        <w:t xml:space="preserve">5. Treatment</w:t>
      </w:r>
    </w:p>
    <w:p>
      <w:pPr>
        <w:spacing w:before="80" w:after="80"/>
      </w:pPr>
      <w:r>
        <w:rPr>
          <w:rFonts w:ascii="Arial" w:cs="Arial" w:eastAsia="Arial" w:hAnsi="Arial"/>
          <w:sz w:val="22"/>
          <w:szCs w:val="22"/>
        </w:rPr>
        <w:t xml:space="preserve">6. Study Assessments and Procedures</w:t>
      </w:r>
    </w:p>
    <w:p>
      <w:pPr>
        <w:spacing w:before="80" w:after="80"/>
      </w:pPr>
      <w:r>
        <w:rPr>
          <w:rFonts w:ascii="Arial" w:cs="Arial" w:eastAsia="Arial" w:hAnsi="Arial"/>
          <w:sz w:val="22"/>
          <w:szCs w:val="22"/>
        </w:rPr>
        <w:t xml:space="preserve">7. Statistical Considerations</w:t>
      </w:r>
    </w:p>
    <w:p>
      <w:pPr>
        <w:spacing w:before="80" w:after="80"/>
      </w:pPr>
      <w:r>
        <w:rPr>
          <w:rFonts w:ascii="Arial" w:cs="Arial" w:eastAsia="Arial" w:hAnsi="Arial"/>
          <w:sz w:val="22"/>
          <w:szCs w:val="22"/>
        </w:rPr>
        <w:t xml:space="preserve">8. Safety Monitoring and Reporting</w:t>
      </w:r>
    </w:p>
    <w:p>
      <w:pPr>
        <w:spacing w:before="80" w:after="80"/>
      </w:pPr>
      <w:r>
        <w:rPr>
          <w:rFonts w:ascii="Arial" w:cs="Arial" w:eastAsia="Arial" w:hAnsi="Arial"/>
          <w:sz w:val="22"/>
          <w:szCs w:val="22"/>
        </w:rPr>
        <w:t xml:space="preserve">9. Ethical Considerations</w:t>
      </w:r>
    </w:p>
    <w:p>
      <w:pPr>
        <w:spacing w:before="80" w:after="80"/>
      </w:pPr>
      <w:r>
        <w:rPr>
          <w:rFonts w:ascii="Arial" w:cs="Arial" w:eastAsia="Arial" w:hAnsi="Arial"/>
          <w:sz w:val="22"/>
          <w:szCs w:val="22"/>
        </w:rPr>
        <w:t xml:space="preserve">10. Data Management</w:t>
      </w:r>
    </w:p>
    <w:p>
      <w:pPr>
        <w:spacing w:before="80" w:after="80"/>
      </w:pPr>
      <w:r>
        <w:rPr>
          <w:rFonts w:ascii="Arial" w:cs="Arial" w:eastAsia="Arial" w:hAnsi="Arial"/>
          <w:sz w:val="22"/>
          <w:szCs w:val="22"/>
        </w:rPr>
        <w:t xml:space="preserve">11. Study Administration</w:t>
      </w:r>
    </w:p>
    <w:p>
      <w:pPr>
        <w:spacing w:before="80" w:after="80"/>
      </w:pPr>
      <w:r>
        <w:rPr>
          <w:rFonts w:ascii="Arial" w:cs="Arial" w:eastAsia="Arial" w:hAnsi="Arial"/>
          <w:sz w:val="22"/>
          <w:szCs w:val="22"/>
        </w:rPr>
        <w:t xml:space="preserve">12. References</w:t>
      </w:r>
    </w:p>
    <w:p>
      <w:pPr>
        <w:spacing w:before="80" w:after="80"/>
      </w:pPr>
      <w:r>
        <w:rPr>
          <w:rFonts w:ascii="Arial" w:cs="Arial" w:eastAsia="Arial" w:hAnsi="Arial"/>
          <w:sz w:val="22"/>
          <w:szCs w:val="22"/>
        </w:rPr>
        <w:t xml:space="preserve">Appendices</w:t>
      </w:r>
    </w:p>
    <w:p>
      <w:r>
        <w:br w:type="page"/>
      </w:r>
    </w:p>
    <w:p>
      <w:pPr>
        <w:pStyle w:val="Heading1"/>
        <w:pBdr>
          <w:bottom w:val="single" w:color="2E5FAC" w:sz="4"/>
        </w:pBdr>
        <w:spacing w:before="320" w:after="160"/>
      </w:pPr>
      <w:r>
        <w:rPr>
          <w:rFonts w:ascii="Arial" w:cs="Arial" w:eastAsia="Arial" w:hAnsi="Arial"/>
          <w:b/>
          <w:bCs/>
          <w:color w:val="1F3864"/>
          <w:sz w:val="28"/>
          <w:szCs w:val="28"/>
        </w:rPr>
        <w:t xml:space="preserve">1. BACKGROUND AND RATIONALE</w:t>
      </w:r>
    </w:p>
    <w:p>
      <w:pPr>
        <w:pStyle w:val="Heading2"/>
        <w:spacing w:before="240" w:after="120"/>
      </w:pPr>
      <w:r>
        <w:rPr>
          <w:rFonts w:ascii="Arial" w:cs="Arial" w:eastAsia="Arial" w:hAnsi="Arial"/>
          <w:b/>
          <w:bCs/>
          <w:color w:val="2E5FAC"/>
          <w:sz w:val="24"/>
          <w:szCs w:val="24"/>
        </w:rPr>
        <w:t xml:space="preserve">1.1 Disease Overview</w:t>
      </w:r>
    </w:p>
    <w:p>
      <w:pPr>
        <w:spacing w:before="80" w:after="80"/>
      </w:pPr>
      <w:r>
        <w:rPr>
          <w:rFonts w:ascii="Arial" w:cs="Arial" w:eastAsia="Arial" w:hAnsi="Arial"/>
          <w:sz w:val="22"/>
          <w:szCs w:val="22"/>
        </w:rPr>
        <w:t xml:space="preserve">Colorectal cancer (CRC) is the third most commonly diagnosed cancer and the second leading cause of cancer-related mortality worldwide, with an estimated 1.9 million new cases and over 930,000 deaths annually (GLOBOCAN 2022). Approximately 20-25% of patients present with metastatic disease at initial diagnosis, and an additional 30-40% of patients with localized CRC will develop distant metastases. The 5-year survival rate for metastatic CRC remains approximately 14%.</w:t>
      </w:r>
    </w:p>
    <w:p>
      <w:pPr>
        <w:spacing w:before="80" w:after="80"/>
      </w:pPr>
      <w:r>
        <w:rPr>
          <w:rFonts w:ascii="Arial" w:cs="Arial" w:eastAsia="Arial" w:hAnsi="Arial"/>
          <w:sz w:val="22"/>
          <w:szCs w:val="22"/>
        </w:rPr>
        <w:t xml:space="preserve">Deficiency in mismatch repair (dMMR) or microsatellite instability-high (MSI-H) status occurs in approximately 4-5% of metastatic CRC cases. This molecular subtype is characterized by a hypermutated phenotype, high neoantigen burden, dense tumor-infiltrating lymphocyte (TIL) infiltration, and upregulated immune checkpoint ligand expression — features that render these tumors exquisitely sensitive to immune checkpoint blockade.</w:t>
      </w:r>
    </w:p>
    <w:p>
      <w:pPr>
        <w:pStyle w:val="Heading2"/>
        <w:spacing w:before="240" w:after="120"/>
      </w:pPr>
      <w:r>
        <w:rPr>
          <w:rFonts w:ascii="Arial" w:cs="Arial" w:eastAsia="Arial" w:hAnsi="Arial"/>
          <w:b/>
          <w:bCs/>
          <w:color w:val="2E5FAC"/>
          <w:sz w:val="24"/>
          <w:szCs w:val="24"/>
        </w:rPr>
        <w:t xml:space="preserve">1.2 Cervimab: Nonclinical and Clinical Background</w:t>
      </w:r>
    </w:p>
    <w:p>
      <w:pPr>
        <w:spacing w:before="80" w:after="80"/>
      </w:pPr>
      <w:r>
        <w:rPr>
          <w:rFonts w:ascii="Arial" w:cs="Arial" w:eastAsia="Arial" w:hAnsi="Arial"/>
          <w:sz w:val="22"/>
          <w:szCs w:val="22"/>
        </w:rPr>
        <w:t xml:space="preserve">Cervimab is a fully human immunoglobulin G4 (IgG4) monoclonal antibody directed against the programmed cell death protein 1 (PD-1) receptor. By blocking the PD-1/PD-L1 and PD-1/PD-L2 inhibitory axes, Cervimab restores T-cell-mediated antitumor immunity.</w:t>
      </w:r>
    </w:p>
    <w:p>
      <w:pPr>
        <w:spacing w:before="80" w:after="80"/>
      </w:pPr>
      <w:r>
        <w:rPr>
          <w:rFonts w:ascii="Arial" w:cs="Arial" w:eastAsia="Arial" w:hAnsi="Arial"/>
          <w:sz w:val="22"/>
          <w:szCs w:val="22"/>
        </w:rPr>
        <w:t xml:space="preserve">In nonclinical studies, Cervimab demonstrated high-affinity binding to human PD-1 (KD ~0.3 nM), potent blockade of PD-L1/PD-L2 interactions, and robust T-cell reactivation in co-culture assays. In xenograft models bearing dMMR tumors, Cervimab produced complete tumor regression in 70% of animals at 10 mg/kg.</w:t>
      </w:r>
    </w:p>
    <w:p>
      <w:pPr>
        <w:spacing w:before="80" w:after="80"/>
      </w:pPr>
      <w:r>
        <w:rPr>
          <w:rFonts w:ascii="Arial" w:cs="Arial" w:eastAsia="Arial" w:hAnsi="Arial"/>
          <w:sz w:val="22"/>
          <w:szCs w:val="22"/>
        </w:rPr>
        <w:t xml:space="preserve">In the Phase 1/2 dose-escalation study (CERVIMAB-101), Cervimab demonstrated a manageable safety profile with an ORR of 45% in dMMR/MSI-H mCRC patients at 400 mg Q3W flat dosing — supporting the dose selected for this Phase 3 investigation.</w:t>
      </w:r>
    </w:p>
    <w:p>
      <w:pPr>
        <w:pStyle w:val="Heading2"/>
        <w:spacing w:before="240" w:after="120"/>
      </w:pPr>
      <w:r>
        <w:rPr>
          <w:rFonts w:ascii="Arial" w:cs="Arial" w:eastAsia="Arial" w:hAnsi="Arial"/>
          <w:b/>
          <w:bCs/>
          <w:color w:val="2E5FAC"/>
          <w:sz w:val="24"/>
          <w:szCs w:val="24"/>
        </w:rPr>
        <w:t xml:space="preserve">1.3 Rationale for Dose and Schedule</w:t>
      </w:r>
    </w:p>
    <w:p>
      <w:pPr>
        <w:spacing w:before="80" w:after="80"/>
      </w:pPr>
      <w:r>
        <w:rPr>
          <w:rFonts w:ascii="Arial" w:cs="Arial" w:eastAsia="Arial" w:hAnsi="Arial"/>
          <w:sz w:val="22"/>
          <w:szCs w:val="22"/>
        </w:rPr>
        <w:t xml:space="preserve">Cervimab 400 mg IV Q3W was selected based on population PK/PD modeling demonstrating sustained receptor occupancy (&gt;95%) throughout the dosing interval. Flat dosing eliminates weight-based calculation complexity and is consistent with established practice for IgG4 immune checkpoint inhibitors. This dose and schedule will be employed as monotherapy in the experimental arm.</w:t>
      </w:r>
    </w:p>
    <w:p>
      <w:pPr>
        <w:pStyle w:val="Heading2"/>
        <w:spacing w:before="240" w:after="120"/>
      </w:pPr>
      <w:r>
        <w:rPr>
          <w:rFonts w:ascii="Arial" w:cs="Arial" w:eastAsia="Arial" w:hAnsi="Arial"/>
          <w:b/>
          <w:bCs/>
          <w:color w:val="2E5FAC"/>
          <w:sz w:val="24"/>
          <w:szCs w:val="24"/>
        </w:rPr>
        <w:t xml:space="preserve">1.4 Rationale for Study Design</w:t>
      </w:r>
    </w:p>
    <w:p>
      <w:pPr>
        <w:spacing w:before="80" w:after="80"/>
      </w:pPr>
      <w:r>
        <w:rPr>
          <w:rFonts w:ascii="Arial" w:cs="Arial" w:eastAsia="Arial" w:hAnsi="Arial"/>
          <w:sz w:val="22"/>
          <w:szCs w:val="22"/>
        </w:rPr>
        <w:t xml:space="preserve">The current standard of care for first-line treatment of metastatic CRC is FOLFOX-4 plus bevacizumab, which produces a median PFS of approximately 9.5 months and median OS of approximately 21 months. Phase 2 data suggest that cervimab produces superior PFS and OS in the dMMR/MSI-H subpopulation. This Phase 3 study is designed to formally demonstrate this superiority and support a New Drug Application (NDA) submission to the FDA under 21 CFR Part 312.</w:t>
      </w:r>
    </w:p>
    <w:p>
      <w:r>
        <w:br w:type="page"/>
      </w:r>
    </w:p>
    <w:p>
      <w:pPr>
        <w:pStyle w:val="Heading1"/>
        <w:pBdr>
          <w:bottom w:val="single" w:color="2E5FAC" w:sz="4"/>
        </w:pBdr>
        <w:spacing w:before="320" w:after="160"/>
      </w:pPr>
      <w:r>
        <w:rPr>
          <w:rFonts w:ascii="Arial" w:cs="Arial" w:eastAsia="Arial" w:hAnsi="Arial"/>
          <w:b/>
          <w:bCs/>
          <w:color w:val="1F3864"/>
          <w:sz w:val="28"/>
          <w:szCs w:val="28"/>
        </w:rPr>
        <w:t xml:space="preserve">2. STUDY OBJECTIVES AND ENDPOINTS</w:t>
      </w:r>
    </w:p>
    <w:p>
      <w:pPr>
        <w:pStyle w:val="Heading2"/>
        <w:spacing w:before="240" w:after="120"/>
      </w:pPr>
      <w:r>
        <w:rPr>
          <w:rFonts w:ascii="Arial" w:cs="Arial" w:eastAsia="Arial" w:hAnsi="Arial"/>
          <w:b/>
          <w:bCs/>
          <w:color w:val="2E5FAC"/>
          <w:sz w:val="24"/>
          <w:szCs w:val="24"/>
        </w:rPr>
        <w:t xml:space="preserve">2.1 Primary Objective</w:t>
      </w:r>
    </w:p>
    <w:p>
      <w:pPr>
        <w:spacing w:before="80" w:after="80"/>
      </w:pPr>
      <w:r>
        <w:rPr>
          <w:rFonts w:ascii="Arial" w:cs="Arial" w:eastAsia="Arial" w:hAnsi="Arial"/>
          <w:sz w:val="22"/>
          <w:szCs w:val="22"/>
        </w:rPr>
        <w:t xml:space="preserve">To demonstrate the superiority of Cervimab versus FOLFOX-4 plus Bevacizumab in terms of Progression-Free Survival (PFS) as assessed by Blinded Independent Central Review (BICR) per RECIST v1.1 criteria in patients with previously untreated dMMR/MSI-H metastatic colorectal cancer.</w:t>
      </w:r>
    </w:p>
    <w:p>
      <w:pPr>
        <w:pStyle w:val="Heading2"/>
        <w:spacing w:before="240" w:after="120"/>
      </w:pPr>
      <w:r>
        <w:rPr>
          <w:rFonts w:ascii="Arial" w:cs="Arial" w:eastAsia="Arial" w:hAnsi="Arial"/>
          <w:b/>
          <w:bCs/>
          <w:color w:val="2E5FAC"/>
          <w:sz w:val="24"/>
          <w:szCs w:val="24"/>
        </w:rPr>
        <w:t xml:space="preserve">2.2 Secondary Objectives</w:t>
      </w:r>
    </w:p>
    <w:p>
      <w:pPr>
        <w:pStyle w:val="ListParagraph"/>
        <w:numPr>
          <w:ilvl w:val="0"/>
          <w:numId w:val="2"/>
        </w:numPr>
        <w:spacing w:before="40" w:after="40"/>
      </w:pPr>
      <w:r>
        <w:rPr>
          <w:rFonts w:ascii="Arial" w:cs="Arial" w:eastAsia="Arial" w:hAnsi="Arial"/>
          <w:sz w:val="22"/>
          <w:szCs w:val="22"/>
        </w:rPr>
        <w:t xml:space="preserve">To evaluate Overall Survival (OS) of Cervimab versus the control arm</w:t>
      </w:r>
    </w:p>
    <w:p>
      <w:pPr>
        <w:pStyle w:val="ListParagraph"/>
        <w:numPr>
          <w:ilvl w:val="0"/>
          <w:numId w:val="2"/>
        </w:numPr>
        <w:spacing w:before="40" w:after="40"/>
      </w:pPr>
      <w:r>
        <w:rPr>
          <w:rFonts w:ascii="Arial" w:cs="Arial" w:eastAsia="Arial" w:hAnsi="Arial"/>
          <w:sz w:val="22"/>
          <w:szCs w:val="22"/>
        </w:rPr>
        <w:t xml:space="preserve">To evaluate Objective Response Rate (ORR) by BICR per RECIST v1.1</w:t>
      </w:r>
    </w:p>
    <w:p>
      <w:pPr>
        <w:pStyle w:val="ListParagraph"/>
        <w:numPr>
          <w:ilvl w:val="0"/>
          <w:numId w:val="2"/>
        </w:numPr>
        <w:spacing w:before="40" w:after="40"/>
      </w:pPr>
      <w:r>
        <w:rPr>
          <w:rFonts w:ascii="Arial" w:cs="Arial" w:eastAsia="Arial" w:hAnsi="Arial"/>
          <w:sz w:val="22"/>
          <w:szCs w:val="22"/>
        </w:rPr>
        <w:t xml:space="preserve">To evaluate Duration of Response (DoR) in responding patients</w:t>
      </w:r>
    </w:p>
    <w:p>
      <w:pPr>
        <w:pStyle w:val="ListParagraph"/>
        <w:numPr>
          <w:ilvl w:val="0"/>
          <w:numId w:val="2"/>
        </w:numPr>
        <w:spacing w:before="40" w:after="40"/>
      </w:pPr>
      <w:r>
        <w:rPr>
          <w:rFonts w:ascii="Arial" w:cs="Arial" w:eastAsia="Arial" w:hAnsi="Arial"/>
          <w:sz w:val="22"/>
          <w:szCs w:val="22"/>
        </w:rPr>
        <w:t xml:space="preserve">To evaluate Disease Control Rate (DCR) at 24 weeks</w:t>
      </w:r>
    </w:p>
    <w:p>
      <w:pPr>
        <w:pStyle w:val="ListParagraph"/>
        <w:numPr>
          <w:ilvl w:val="0"/>
          <w:numId w:val="2"/>
        </w:numPr>
        <w:spacing w:before="40" w:after="40"/>
      </w:pPr>
      <w:r>
        <w:rPr>
          <w:rFonts w:ascii="Arial" w:cs="Arial" w:eastAsia="Arial" w:hAnsi="Arial"/>
          <w:sz w:val="22"/>
          <w:szCs w:val="22"/>
        </w:rPr>
        <w:t xml:space="preserve">To assess Patient-Reported Outcomes (PROs) including EORTC QLQ-C30 and EQ-5D-5L</w:t>
      </w:r>
    </w:p>
    <w:p>
      <w:pPr>
        <w:pStyle w:val="ListParagraph"/>
        <w:numPr>
          <w:ilvl w:val="0"/>
          <w:numId w:val="2"/>
        </w:numPr>
        <w:spacing w:before="40" w:after="40"/>
      </w:pPr>
      <w:r>
        <w:rPr>
          <w:rFonts w:ascii="Arial" w:cs="Arial" w:eastAsia="Arial" w:hAnsi="Arial"/>
          <w:sz w:val="22"/>
          <w:szCs w:val="22"/>
        </w:rPr>
        <w:t xml:space="preserve">To evaluate the safety and tolerability of Cervimab per NCI CTCAE v5.0</w:t>
      </w:r>
    </w:p>
    <w:p>
      <w:pPr>
        <w:pStyle w:val="Heading2"/>
        <w:spacing w:before="240" w:after="120"/>
      </w:pPr>
      <w:r>
        <w:rPr>
          <w:rFonts w:ascii="Arial" w:cs="Arial" w:eastAsia="Arial" w:hAnsi="Arial"/>
          <w:b/>
          <w:bCs/>
          <w:color w:val="2E5FAC"/>
          <w:sz w:val="24"/>
          <w:szCs w:val="24"/>
        </w:rPr>
        <w:t xml:space="preserve">2.3 Exploratory Objectives</w:t>
      </w:r>
    </w:p>
    <w:p>
      <w:pPr>
        <w:pStyle w:val="ListParagraph"/>
        <w:numPr>
          <w:ilvl w:val="0"/>
          <w:numId w:val="2"/>
        </w:numPr>
        <w:spacing w:before="40" w:after="40"/>
      </w:pPr>
      <w:r>
        <w:rPr>
          <w:rFonts w:ascii="Arial" w:cs="Arial" w:eastAsia="Arial" w:hAnsi="Arial"/>
          <w:sz w:val="22"/>
          <w:szCs w:val="22"/>
        </w:rPr>
        <w:t xml:space="preserve">To evaluate PFS and OS by PD-L1 expression levels (TPS and CPS)</w:t>
      </w:r>
    </w:p>
    <w:p>
      <w:pPr>
        <w:pStyle w:val="ListParagraph"/>
        <w:numPr>
          <w:ilvl w:val="0"/>
          <w:numId w:val="2"/>
        </w:numPr>
        <w:spacing w:before="40" w:after="40"/>
      </w:pPr>
      <w:r>
        <w:rPr>
          <w:rFonts w:ascii="Arial" w:cs="Arial" w:eastAsia="Arial" w:hAnsi="Arial"/>
          <w:sz w:val="22"/>
          <w:szCs w:val="22"/>
        </w:rPr>
        <w:t xml:space="preserve">To assess tumor mutational burden (TMB) as a biomarker of response</w:t>
      </w:r>
    </w:p>
    <w:p>
      <w:pPr>
        <w:pStyle w:val="ListParagraph"/>
        <w:numPr>
          <w:ilvl w:val="0"/>
          <w:numId w:val="2"/>
        </w:numPr>
        <w:spacing w:before="40" w:after="40"/>
      </w:pPr>
      <w:r>
        <w:rPr>
          <w:rFonts w:ascii="Arial" w:cs="Arial" w:eastAsia="Arial" w:hAnsi="Arial"/>
          <w:sz w:val="22"/>
          <w:szCs w:val="22"/>
        </w:rPr>
        <w:t xml:space="preserve">To characterize the pharmacokinetics (PK) of Cervimab in this population</w:t>
      </w:r>
    </w:p>
    <w:p>
      <w:pPr>
        <w:pStyle w:val="ListParagraph"/>
        <w:numPr>
          <w:ilvl w:val="0"/>
          <w:numId w:val="2"/>
        </w:numPr>
        <w:spacing w:before="40" w:after="40"/>
      </w:pPr>
      <w:r>
        <w:rPr>
          <w:rFonts w:ascii="Arial" w:cs="Arial" w:eastAsia="Arial" w:hAnsi="Arial"/>
          <w:sz w:val="22"/>
          <w:szCs w:val="22"/>
        </w:rPr>
        <w:t xml:space="preserve">To assess anti-cervimab antibody formation (immunogenicity)</w:t>
      </w:r>
    </w:p>
    <w:p>
      <w:pPr>
        <w:pStyle w:val="ListParagraph"/>
        <w:numPr>
          <w:ilvl w:val="0"/>
          <w:numId w:val="2"/>
        </w:numPr>
        <w:spacing w:before="40" w:after="40"/>
      </w:pPr>
      <w:r>
        <w:rPr>
          <w:rFonts w:ascii="Arial" w:cs="Arial" w:eastAsia="Arial" w:hAnsi="Arial"/>
          <w:sz w:val="22"/>
          <w:szCs w:val="22"/>
        </w:rPr>
        <w:t xml:space="preserve">To evaluate KRAS, NRAS, and BRAF mutational subgroup outcomes</w:t>
      </w:r>
    </w:p>
    <w:p>
      <w:pPr>
        <w:pStyle w:val="Heading2"/>
        <w:spacing w:before="240" w:after="120"/>
      </w:pPr>
      <w:r>
        <w:rPr>
          <w:rFonts w:ascii="Arial" w:cs="Arial" w:eastAsia="Arial" w:hAnsi="Arial"/>
          <w:b/>
          <w:bCs/>
          <w:color w:val="2E5FAC"/>
          <w:sz w:val="24"/>
          <w:szCs w:val="24"/>
        </w:rPr>
        <w:t xml:space="preserve">2.4 Endpoint Definitions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2E5FAC" w:sz="1"/>
              <w:left w:val="single" w:color="2E5FAC" w:sz="1"/>
              <w:bottom w:val="single" w:color="2E5FAC" w:sz="1"/>
              <w:right w:val="single" w:color="2E5FA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000"/>
            <w:tcBorders>
              <w:top w:val="single" w:color="2E5FAC" w:sz="1"/>
              <w:left w:val="single" w:color="2E5FAC" w:sz="1"/>
              <w:bottom w:val="single" w:color="2E5FAC" w:sz="1"/>
              <w:right w:val="single" w:color="2E5FA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160"/>
            <w:tcBorders>
              <w:top w:val="single" w:color="2E5FAC" w:sz="1"/>
              <w:left w:val="single" w:color="2E5FAC" w:sz="1"/>
              <w:bottom w:val="single" w:color="2E5FAC" w:sz="1"/>
              <w:right w:val="single" w:color="2E5FA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Assessment Method</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PFS (Primary)</w:t>
            </w:r>
          </w:p>
        </w:tc>
        <w:tc>
          <w:tcPr>
            <w:tcW w:type="dxa" w:w="4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Time from randomization to first documented disease progression per RECIST v1.1 or death from any cause</w:t>
            </w:r>
          </w:p>
        </w:tc>
        <w:tc>
          <w:tcPr>
            <w:tcW w:type="dxa" w:w="2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BICR; CT/MRI Q6W x 12 months, then Q12W</w:t>
            </w:r>
          </w:p>
        </w:tc>
      </w:tr>
      <w:tr>
        <w:tc>
          <w:tcPr>
            <w:tcW w:type="dxa" w:w="3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OS</w:t>
            </w:r>
          </w:p>
        </w:tc>
        <w:tc>
          <w:tcPr>
            <w:tcW w:type="dxa" w:w="4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Time from randomization to death from any cause</w:t>
            </w:r>
          </w:p>
        </w:tc>
        <w:tc>
          <w:tcPr>
            <w:tcW w:type="dxa" w:w="21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Vital status Q3 months after discontinuation</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ORR</w:t>
            </w:r>
          </w:p>
        </w:tc>
        <w:tc>
          <w:tcPr>
            <w:tcW w:type="dxa" w:w="4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Proportion of patients with CR or PR per RECIST v1.1</w:t>
            </w:r>
          </w:p>
        </w:tc>
        <w:tc>
          <w:tcPr>
            <w:tcW w:type="dxa" w:w="2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BICR assessment</w:t>
            </w:r>
          </w:p>
        </w:tc>
      </w:tr>
      <w:tr>
        <w:tc>
          <w:tcPr>
            <w:tcW w:type="dxa" w:w="3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DoR</w:t>
            </w:r>
          </w:p>
        </w:tc>
        <w:tc>
          <w:tcPr>
            <w:tcW w:type="dxa" w:w="4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Time from first CR/PR to disease progression or death</w:t>
            </w:r>
          </w:p>
        </w:tc>
        <w:tc>
          <w:tcPr>
            <w:tcW w:type="dxa" w:w="21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BICR assessment</w:t>
            </w:r>
          </w:p>
        </w:tc>
      </w:tr>
      <w:tr>
        <w:tc>
          <w:tcPr>
            <w:tcW w:type="dxa" w:w="3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DCR</w:t>
            </w:r>
          </w:p>
        </w:tc>
        <w:tc>
          <w:tcPr>
            <w:tcW w:type="dxa" w:w="4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Proportion with CR, PR, or SD &gt;= 24 weeks</w:t>
            </w:r>
          </w:p>
        </w:tc>
        <w:tc>
          <w:tcPr>
            <w:tcW w:type="dxa" w:w="21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BICR assessment</w:t>
            </w:r>
          </w:p>
        </w:tc>
      </w:tr>
      <w:tr>
        <w:tc>
          <w:tcPr>
            <w:tcW w:type="dxa" w:w="3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Safety</w:t>
            </w:r>
          </w:p>
        </w:tc>
        <w:tc>
          <w:tcPr>
            <w:tcW w:type="dxa" w:w="4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Adverse events per NCI CTCAE v5.0, lab values, vitals, ECG</w:t>
            </w:r>
          </w:p>
        </w:tc>
        <w:tc>
          <w:tcPr>
            <w:tcW w:type="dxa" w:w="21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Continuous through 90 days post last dose</w:t>
            </w:r>
          </w:p>
        </w:tc>
      </w:tr>
    </w:tbl>
    <w:p>
      <w:r>
        <w:br w:type="page"/>
      </w:r>
    </w:p>
    <w:p>
      <w:pPr>
        <w:pStyle w:val="Heading1"/>
        <w:pBdr>
          <w:bottom w:val="single" w:color="2E5FAC" w:sz="4"/>
        </w:pBdr>
        <w:spacing w:before="320" w:after="160"/>
      </w:pPr>
      <w:r>
        <w:rPr>
          <w:rFonts w:ascii="Arial" w:cs="Arial" w:eastAsia="Arial" w:hAnsi="Arial"/>
          <w:b/>
          <w:bCs/>
          <w:color w:val="1F3864"/>
          <w:sz w:val="28"/>
          <w:szCs w:val="28"/>
        </w:rPr>
        <w:t xml:space="preserve">3. STUDY DESIGN</w:t>
      </w:r>
    </w:p>
    <w:p>
      <w:pPr>
        <w:pStyle w:val="Heading2"/>
        <w:spacing w:before="240" w:after="120"/>
      </w:pPr>
      <w:r>
        <w:rPr>
          <w:rFonts w:ascii="Arial" w:cs="Arial" w:eastAsia="Arial" w:hAnsi="Arial"/>
          <w:b/>
          <w:bCs/>
          <w:color w:val="2E5FAC"/>
          <w:sz w:val="24"/>
          <w:szCs w:val="24"/>
        </w:rPr>
        <w:t xml:space="preserve">3.1 Overall Design</w:t>
      </w:r>
    </w:p>
    <w:p>
      <w:pPr>
        <w:spacing w:before="80" w:after="80"/>
      </w:pPr>
      <w:r>
        <w:rPr>
          <w:rFonts w:ascii="Arial" w:cs="Arial" w:eastAsia="Arial" w:hAnsi="Arial"/>
          <w:sz w:val="22"/>
          <w:szCs w:val="22"/>
        </w:rPr>
        <w:t xml:space="preserve">CERVIMAB-301 is a Phase 3, randomized, double-blind, placebo-controlled, multicenter, international study. Approximately 480 patients will be randomized 1:1 to receive either Cervimab 400 mg IV Q3W plus chemotherapy placebo, or FOLFOX-4 plus Bevacizumab plus cervimab placebo. Double-dummy design will be employed to maintain blinding.</w:t>
      </w:r>
    </w:p>
    <w:p>
      <w:pPr>
        <w:spacing w:before="80" w:after="80"/>
      </w:pPr>
      <w:r>
        <w:rPr>
          <w:rFonts w:ascii="Arial" w:cs="Arial" w:eastAsia="Arial" w:hAnsi="Arial"/>
          <w:sz w:val="22"/>
          <w:szCs w:val="22"/>
        </w:rPr>
        <w:t xml:space="preserve">Randomization will be stratified by ECOG Performance Status (0 vs 1), Geographic Region (North America/Western Europe vs. Rest of World), and RAS/BRAF mutation status (wild-type vs. mutant) using an Interactive Web Response System (IWRS).</w:t>
      </w:r>
    </w:p>
    <w:p>
      <w:pPr>
        <w:pStyle w:val="Heading2"/>
        <w:spacing w:before="240" w:after="120"/>
      </w:pPr>
      <w:r>
        <w:rPr>
          <w:rFonts w:ascii="Arial" w:cs="Arial" w:eastAsia="Arial" w:hAnsi="Arial"/>
          <w:b/>
          <w:bCs/>
          <w:color w:val="2E5FAC"/>
          <w:sz w:val="24"/>
          <w:szCs w:val="24"/>
        </w:rPr>
        <w:t xml:space="preserve">3.2 Study Phases</w:t>
      </w:r>
    </w:p>
    <w:p>
      <w:pPr>
        <w:pStyle w:val="Heading3"/>
        <w:spacing w:before="200" w:after="80"/>
      </w:pPr>
      <w:r>
        <w:rPr>
          <w:rFonts w:ascii="Arial" w:cs="Arial" w:eastAsia="Arial" w:hAnsi="Arial"/>
          <w:b/>
          <w:bCs/>
          <w:color w:val="2F5496"/>
          <w:sz w:val="22"/>
          <w:szCs w:val="22"/>
        </w:rPr>
        <w:t xml:space="preserve">3.2.1 Screening (Days -28 to -1)</w:t>
      </w:r>
    </w:p>
    <w:p>
      <w:pPr>
        <w:spacing w:before="80" w:after="80"/>
      </w:pPr>
      <w:r>
        <w:rPr>
          <w:rFonts w:ascii="Arial" w:cs="Arial" w:eastAsia="Arial" w:hAnsi="Arial"/>
          <w:sz w:val="22"/>
          <w:szCs w:val="22"/>
        </w:rPr>
        <w:t xml:space="preserve">Eligibility will be confirmed through medical history, physical examination, laboratory tests, tumor imaging (CT chest/abdomen/pelvis with contrast), and central confirmation of dMMR/MSI-H status by IHC/PCR at the sponsor-designated central laboratory.</w:t>
      </w:r>
    </w:p>
    <w:p>
      <w:pPr>
        <w:pStyle w:val="Heading3"/>
        <w:spacing w:before="200" w:after="80"/>
      </w:pPr>
      <w:r>
        <w:rPr>
          <w:rFonts w:ascii="Arial" w:cs="Arial" w:eastAsia="Arial" w:hAnsi="Arial"/>
          <w:b/>
          <w:bCs/>
          <w:color w:val="2F5496"/>
          <w:sz w:val="22"/>
          <w:szCs w:val="22"/>
        </w:rPr>
        <w:t xml:space="preserve">3.2.2 Treatment Period</w:t>
      </w:r>
    </w:p>
    <w:p>
      <w:pPr>
        <w:spacing w:before="80" w:after="80"/>
      </w:pPr>
      <w:r>
        <w:rPr>
          <w:rFonts w:ascii="Arial" w:cs="Arial" w:eastAsia="Arial" w:hAnsi="Arial"/>
          <w:sz w:val="22"/>
          <w:szCs w:val="22"/>
        </w:rPr>
        <w:t xml:space="preserve">Arm A (Experimental): Cervimab 400 mg IV Q3W. Patients receive Cervimab every 21 days (each cycle = 21 days) until disease progression, unacceptable toxicity, patient withdrawal, or investigator decision to discontinue. Maximum treatment duration is 2 years.</w:t>
      </w:r>
    </w:p>
    <w:p>
      <w:pPr>
        <w:spacing w:before="80" w:after="80"/>
      </w:pPr>
      <w:r>
        <w:rPr>
          <w:rFonts w:ascii="Arial" w:cs="Arial" w:eastAsia="Arial" w:hAnsi="Arial"/>
          <w:sz w:val="22"/>
          <w:szCs w:val="22"/>
        </w:rPr>
        <w:t xml:space="preserve">Arm B (Control): FOLFOX-4 every 14 days plus Bevacizumab 5 mg/kg IV Q2W until disease progression or unacceptable toxicity.</w:t>
      </w:r>
    </w:p>
    <w:p>
      <w:pPr>
        <w:pStyle w:val="Heading3"/>
        <w:spacing w:before="200" w:after="80"/>
      </w:pPr>
      <w:r>
        <w:rPr>
          <w:rFonts w:ascii="Arial" w:cs="Arial" w:eastAsia="Arial" w:hAnsi="Arial"/>
          <w:b/>
          <w:bCs/>
          <w:color w:val="2F5496"/>
          <w:sz w:val="22"/>
          <w:szCs w:val="22"/>
        </w:rPr>
        <w:t xml:space="preserve">3.2.3 Response Assessment</w:t>
      </w:r>
    </w:p>
    <w:p>
      <w:pPr>
        <w:spacing w:before="80" w:after="80"/>
      </w:pPr>
      <w:r>
        <w:rPr>
          <w:rFonts w:ascii="Arial" w:cs="Arial" w:eastAsia="Arial" w:hAnsi="Arial"/>
          <w:sz w:val="22"/>
          <w:szCs w:val="22"/>
        </w:rPr>
        <w:t xml:space="preserve">Tumor assessments will be performed by CT (or MRI where CT is contraindicated) at Screening, then Q6 weeks from Cycle 1 Day 1 for the first 12 months, and Q12 weeks thereafter. All scans will be assessed by BICR per RECIST v1.1. Investigator assessment will also be performed to guide clinical management.</w:t>
      </w:r>
    </w:p>
    <w:p>
      <w:pPr>
        <w:pStyle w:val="Heading3"/>
        <w:spacing w:before="200" w:after="80"/>
      </w:pPr>
      <w:r>
        <w:rPr>
          <w:rFonts w:ascii="Arial" w:cs="Arial" w:eastAsia="Arial" w:hAnsi="Arial"/>
          <w:b/>
          <w:bCs/>
          <w:color w:val="2F5496"/>
          <w:sz w:val="22"/>
          <w:szCs w:val="22"/>
        </w:rPr>
        <w:t xml:space="preserve">3.2.4 End of Treatment and Follow-Up</w:t>
      </w:r>
    </w:p>
    <w:p>
      <w:pPr>
        <w:spacing w:before="80" w:after="80"/>
      </w:pPr>
      <w:r>
        <w:rPr>
          <w:rFonts w:ascii="Arial" w:cs="Arial" w:eastAsia="Arial" w:hAnsi="Arial"/>
          <w:sz w:val="22"/>
          <w:szCs w:val="22"/>
        </w:rPr>
        <w:t xml:space="preserve">End of Treatment (EOT) visit within 30 days of last dose. Safety follow-up at 90 days post-last dose. Long-term survival follow-up every 3 months until death, lost to follow-up, or study closure.</w:t>
      </w:r>
    </w:p>
    <w:p>
      <w:pPr>
        <w:pStyle w:val="Heading2"/>
        <w:spacing w:before="240" w:after="120"/>
      </w:pPr>
      <w:r>
        <w:rPr>
          <w:rFonts w:ascii="Arial" w:cs="Arial" w:eastAsia="Arial" w:hAnsi="Arial"/>
          <w:b/>
          <w:bCs/>
          <w:color w:val="2E5FAC"/>
          <w:sz w:val="24"/>
          <w:szCs w:val="24"/>
        </w:rPr>
        <w:t xml:space="preserve">3.3 Dose Modifications</w:t>
      </w:r>
    </w:p>
    <w:p>
      <w:pPr>
        <w:spacing w:before="80" w:after="80"/>
      </w:pPr>
      <w:r>
        <w:rPr>
          <w:rFonts w:ascii="Arial" w:cs="Arial" w:eastAsia="Arial" w:hAnsi="Arial"/>
          <w:sz w:val="22"/>
          <w:szCs w:val="22"/>
        </w:rPr>
        <w:t xml:space="preserve">Dose modifications for Cervimab are not permitted. In the event of immune-related adverse events (irAEs), treatment interruption, corticosteroid management, and protocol-specific algorithms will be followed per Section 5. FOLFOX-4 and Bevacizumab dose modifications follow the respective standard of care guidelines.</w:t>
      </w:r>
    </w:p>
    <w:p>
      <w:r>
        <w:br w:type="page"/>
      </w:r>
    </w:p>
    <w:p>
      <w:pPr>
        <w:pStyle w:val="Heading1"/>
        <w:pBdr>
          <w:bottom w:val="single" w:color="2E5FAC" w:sz="4"/>
        </w:pBdr>
        <w:spacing w:before="320" w:after="160"/>
      </w:pPr>
      <w:r>
        <w:rPr>
          <w:rFonts w:ascii="Arial" w:cs="Arial" w:eastAsia="Arial" w:hAnsi="Arial"/>
          <w:b/>
          <w:bCs/>
          <w:color w:val="1F3864"/>
          <w:sz w:val="28"/>
          <w:szCs w:val="28"/>
        </w:rPr>
        <w:t xml:space="preserve">4. PATIENT SELECTION</w:t>
      </w:r>
    </w:p>
    <w:p>
      <w:pPr>
        <w:pStyle w:val="Heading2"/>
        <w:spacing w:before="240" w:after="120"/>
      </w:pPr>
      <w:r>
        <w:rPr>
          <w:rFonts w:ascii="Arial" w:cs="Arial" w:eastAsia="Arial" w:hAnsi="Arial"/>
          <w:b/>
          <w:bCs/>
          <w:color w:val="2E5FAC"/>
          <w:sz w:val="24"/>
          <w:szCs w:val="24"/>
        </w:rPr>
        <w:t xml:space="preserve">4.1 Inclusion Criteria</w:t>
      </w:r>
    </w:p>
    <w:p>
      <w:pPr>
        <w:spacing w:before="80" w:after="80"/>
      </w:pPr>
      <w:r>
        <w:rPr>
          <w:rFonts w:ascii="Arial" w:cs="Arial" w:eastAsia="Arial" w:hAnsi="Arial"/>
          <w:sz w:val="22"/>
          <w:szCs w:val="22"/>
        </w:rPr>
        <w:t xml:space="preserve">Patients must meet ALL of the following criteria to be eligible:</w:t>
      </w:r>
    </w:p>
    <w:p>
      <w:pPr>
        <w:pStyle w:val="ListParagraph"/>
        <w:numPr>
          <w:ilvl w:val="0"/>
          <w:numId w:val="2"/>
        </w:numPr>
        <w:spacing w:before="40" w:after="40"/>
      </w:pPr>
      <w:r>
        <w:rPr>
          <w:rFonts w:ascii="Arial" w:cs="Arial" w:eastAsia="Arial" w:hAnsi="Arial"/>
          <w:sz w:val="22"/>
          <w:szCs w:val="22"/>
        </w:rPr>
        <w:t xml:space="preserve">Age &gt;= 18 years at time of informed consent</w:t>
      </w:r>
    </w:p>
    <w:p>
      <w:pPr>
        <w:pStyle w:val="ListParagraph"/>
        <w:numPr>
          <w:ilvl w:val="0"/>
          <w:numId w:val="2"/>
        </w:numPr>
        <w:spacing w:before="40" w:after="40"/>
      </w:pPr>
      <w:r>
        <w:rPr>
          <w:rFonts w:ascii="Arial" w:cs="Arial" w:eastAsia="Arial" w:hAnsi="Arial"/>
          <w:sz w:val="22"/>
          <w:szCs w:val="22"/>
        </w:rPr>
        <w:t xml:space="preserve">Histologically or cytologically confirmed colorectal adenocarcinoma with unresectable metastatic or locally advanced disease</w:t>
      </w:r>
    </w:p>
    <w:p>
      <w:pPr>
        <w:pStyle w:val="ListParagraph"/>
        <w:numPr>
          <w:ilvl w:val="0"/>
          <w:numId w:val="2"/>
        </w:numPr>
        <w:spacing w:before="40" w:after="40"/>
      </w:pPr>
      <w:r>
        <w:rPr>
          <w:rFonts w:ascii="Arial" w:cs="Arial" w:eastAsia="Arial" w:hAnsi="Arial"/>
          <w:sz w:val="22"/>
          <w:szCs w:val="22"/>
        </w:rPr>
        <w:t xml:space="preserve">dMMR/MSI-H status confirmed by IHC (loss of MLH1, MSH2, MSH6, and/or PMS2) and/or PCR-based MSI testing at the central laboratory</w:t>
      </w:r>
    </w:p>
    <w:p>
      <w:pPr>
        <w:pStyle w:val="ListParagraph"/>
        <w:numPr>
          <w:ilvl w:val="0"/>
          <w:numId w:val="2"/>
        </w:numPr>
        <w:spacing w:before="40" w:after="40"/>
      </w:pPr>
      <w:r>
        <w:rPr>
          <w:rFonts w:ascii="Arial" w:cs="Arial" w:eastAsia="Arial" w:hAnsi="Arial"/>
          <w:sz w:val="22"/>
          <w:szCs w:val="22"/>
        </w:rPr>
        <w:t xml:space="preserve">No prior systemic therapy for unresectable metastatic CRC (prior adjuvant therapy completed &gt;= 6 months before randomization is permitted)</w:t>
      </w:r>
    </w:p>
    <w:p>
      <w:pPr>
        <w:pStyle w:val="ListParagraph"/>
        <w:numPr>
          <w:ilvl w:val="0"/>
          <w:numId w:val="2"/>
        </w:numPr>
        <w:spacing w:before="40" w:after="40"/>
      </w:pPr>
      <w:r>
        <w:rPr>
          <w:rFonts w:ascii="Arial" w:cs="Arial" w:eastAsia="Arial" w:hAnsi="Arial"/>
          <w:sz w:val="22"/>
          <w:szCs w:val="22"/>
        </w:rPr>
        <w:t xml:space="preserve">At least one measurable lesion per RECIST v1.1 on CT/MRI performed within 28 days of randomization</w:t>
      </w:r>
    </w:p>
    <w:p>
      <w:pPr>
        <w:pStyle w:val="ListParagraph"/>
        <w:numPr>
          <w:ilvl w:val="0"/>
          <w:numId w:val="2"/>
        </w:numPr>
        <w:spacing w:before="40" w:after="40"/>
      </w:pPr>
      <w:r>
        <w:rPr>
          <w:rFonts w:ascii="Arial" w:cs="Arial" w:eastAsia="Arial" w:hAnsi="Arial"/>
          <w:sz w:val="22"/>
          <w:szCs w:val="22"/>
        </w:rPr>
        <w:t xml:space="preserve">ECOG Performance Status 0 or 1</w:t>
      </w:r>
    </w:p>
    <w:p>
      <w:pPr>
        <w:pStyle w:val="ListParagraph"/>
        <w:numPr>
          <w:ilvl w:val="0"/>
          <w:numId w:val="2"/>
        </w:numPr>
        <w:spacing w:before="40" w:after="40"/>
      </w:pPr>
      <w:r>
        <w:rPr>
          <w:rFonts w:ascii="Arial" w:cs="Arial" w:eastAsia="Arial" w:hAnsi="Arial"/>
          <w:sz w:val="22"/>
          <w:szCs w:val="22"/>
        </w:rPr>
        <w:t xml:space="preserve">Adequate organ function: ANC &gt;= 1.5 x 10^9/L, Platelets &gt;= 100 x 10^9/L, Hemoglobin &gt;= 9.0 g/dL, Total bilirubin &lt;= 1.5 x ULN (or &lt;= 3 x ULN for Gilbert syndrome), AST and ALT &lt;= 2.5 x ULN (or &lt;= 5 x ULN with hepatic metastases), Serum creatinine &lt;= 1.5 x ULN or CrCl &gt;= 50 mL/min</w:t>
      </w:r>
    </w:p>
    <w:p>
      <w:pPr>
        <w:pStyle w:val="ListParagraph"/>
        <w:numPr>
          <w:ilvl w:val="0"/>
          <w:numId w:val="2"/>
        </w:numPr>
        <w:spacing w:before="40" w:after="40"/>
      </w:pPr>
      <w:r>
        <w:rPr>
          <w:rFonts w:ascii="Arial" w:cs="Arial" w:eastAsia="Arial" w:hAnsi="Arial"/>
          <w:sz w:val="22"/>
          <w:szCs w:val="22"/>
        </w:rPr>
        <w:t xml:space="preserve">Negative serum pregnancy test within 72 hours prior to first dose (women of childbearing potential [WOCBP])</w:t>
      </w:r>
    </w:p>
    <w:p>
      <w:pPr>
        <w:pStyle w:val="ListParagraph"/>
        <w:numPr>
          <w:ilvl w:val="0"/>
          <w:numId w:val="2"/>
        </w:numPr>
        <w:spacing w:before="40" w:after="40"/>
      </w:pPr>
      <w:r>
        <w:rPr>
          <w:rFonts w:ascii="Arial" w:cs="Arial" w:eastAsia="Arial" w:hAnsi="Arial"/>
          <w:sz w:val="22"/>
          <w:szCs w:val="22"/>
        </w:rPr>
        <w:t xml:space="preserve">Willingness to use effective contraception from Day 1 through 6 months after last dose (WOCBP and male patients with WOCBP partners)</w:t>
      </w:r>
    </w:p>
    <w:p>
      <w:pPr>
        <w:pStyle w:val="ListParagraph"/>
        <w:numPr>
          <w:ilvl w:val="0"/>
          <w:numId w:val="2"/>
        </w:numPr>
        <w:spacing w:before="40" w:after="40"/>
      </w:pPr>
      <w:r>
        <w:rPr>
          <w:rFonts w:ascii="Arial" w:cs="Arial" w:eastAsia="Arial" w:hAnsi="Arial"/>
          <w:sz w:val="22"/>
          <w:szCs w:val="22"/>
        </w:rPr>
        <w:t xml:space="preserve">Provision of signed and dated written informed consent prior to any study-specific procedures</w:t>
      </w:r>
    </w:p>
    <w:p>
      <w:pPr>
        <w:pStyle w:val="Heading2"/>
        <w:spacing w:before="240" w:after="120"/>
      </w:pPr>
      <w:r>
        <w:rPr>
          <w:rFonts w:ascii="Arial" w:cs="Arial" w:eastAsia="Arial" w:hAnsi="Arial"/>
          <w:b/>
          <w:bCs/>
          <w:color w:val="2E5FAC"/>
          <w:sz w:val="24"/>
          <w:szCs w:val="24"/>
        </w:rPr>
        <w:t xml:space="preserve">4.2 Exclusion Criteria</w:t>
      </w:r>
    </w:p>
    <w:p>
      <w:pPr>
        <w:spacing w:before="80" w:after="80"/>
      </w:pPr>
      <w:r>
        <w:rPr>
          <w:rFonts w:ascii="Arial" w:cs="Arial" w:eastAsia="Arial" w:hAnsi="Arial"/>
          <w:sz w:val="22"/>
          <w:szCs w:val="22"/>
        </w:rPr>
        <w:t xml:space="preserve">Patients will be excluded if ANY of the following criteria apply:</w:t>
      </w:r>
    </w:p>
    <w:p>
      <w:pPr>
        <w:pStyle w:val="ListParagraph"/>
        <w:numPr>
          <w:ilvl w:val="0"/>
          <w:numId w:val="2"/>
        </w:numPr>
        <w:spacing w:before="40" w:after="40"/>
      </w:pPr>
      <w:r>
        <w:rPr>
          <w:rFonts w:ascii="Arial" w:cs="Arial" w:eastAsia="Arial" w:hAnsi="Arial"/>
          <w:sz w:val="22"/>
          <w:szCs w:val="22"/>
        </w:rPr>
        <w:t xml:space="preserve">Prior treatment with an anti-PD-1, anti-PD-L1, anti-PD-L2, anti-CTLA-4, or any other immune checkpoint inhibitor</w:t>
      </w:r>
    </w:p>
    <w:p>
      <w:pPr>
        <w:pStyle w:val="ListParagraph"/>
        <w:numPr>
          <w:ilvl w:val="0"/>
          <w:numId w:val="2"/>
        </w:numPr>
        <w:spacing w:before="40" w:after="40"/>
      </w:pPr>
      <w:r>
        <w:rPr>
          <w:rFonts w:ascii="Arial" w:cs="Arial" w:eastAsia="Arial" w:hAnsi="Arial"/>
          <w:sz w:val="22"/>
          <w:szCs w:val="22"/>
        </w:rPr>
        <w:t xml:space="preserve">Active autoimmune disease requiring systemic treatment within the past 2 years (replacement therapy is permissible)</w:t>
      </w:r>
    </w:p>
    <w:p>
      <w:pPr>
        <w:pStyle w:val="ListParagraph"/>
        <w:numPr>
          <w:ilvl w:val="0"/>
          <w:numId w:val="2"/>
        </w:numPr>
        <w:spacing w:before="40" w:after="40"/>
      </w:pPr>
      <w:r>
        <w:rPr>
          <w:rFonts w:ascii="Arial" w:cs="Arial" w:eastAsia="Arial" w:hAnsi="Arial"/>
          <w:sz w:val="22"/>
          <w:szCs w:val="22"/>
        </w:rPr>
        <w:t xml:space="preserve">Active or prior documented inflammatory bowel disease (Crohn's disease or ulcerative colitis)</w:t>
      </w:r>
    </w:p>
    <w:p>
      <w:pPr>
        <w:pStyle w:val="ListParagraph"/>
        <w:numPr>
          <w:ilvl w:val="0"/>
          <w:numId w:val="2"/>
        </w:numPr>
        <w:spacing w:before="40" w:after="40"/>
      </w:pPr>
      <w:r>
        <w:rPr>
          <w:rFonts w:ascii="Arial" w:cs="Arial" w:eastAsia="Arial" w:hAnsi="Arial"/>
          <w:sz w:val="22"/>
          <w:szCs w:val="22"/>
        </w:rPr>
        <w:t xml:space="preserve">Known history of Grade 3 or 4 immune-mediated reactions with prior immunotherapy</w:t>
      </w:r>
    </w:p>
    <w:p>
      <w:pPr>
        <w:pStyle w:val="ListParagraph"/>
        <w:numPr>
          <w:ilvl w:val="0"/>
          <w:numId w:val="2"/>
        </w:numPr>
        <w:spacing w:before="40" w:after="40"/>
      </w:pPr>
      <w:r>
        <w:rPr>
          <w:rFonts w:ascii="Arial" w:cs="Arial" w:eastAsia="Arial" w:hAnsi="Arial"/>
          <w:sz w:val="22"/>
          <w:szCs w:val="22"/>
        </w:rPr>
        <w:t xml:space="preserve">Systemic corticosteroids (&gt; 10 mg prednisone/day equivalent) or other immunosuppressive therapy within 14 days prior to randomization</w:t>
      </w:r>
    </w:p>
    <w:p>
      <w:pPr>
        <w:pStyle w:val="ListParagraph"/>
        <w:numPr>
          <w:ilvl w:val="0"/>
          <w:numId w:val="2"/>
        </w:numPr>
        <w:spacing w:before="40" w:after="40"/>
      </w:pPr>
      <w:r>
        <w:rPr>
          <w:rFonts w:ascii="Arial" w:cs="Arial" w:eastAsia="Arial" w:hAnsi="Arial"/>
          <w:sz w:val="22"/>
          <w:szCs w:val="22"/>
        </w:rPr>
        <w:t xml:space="preserve">Known CNS metastases (unless previously treated, asymptomatic, and stable for &gt;= 4 weeks)</w:t>
      </w:r>
    </w:p>
    <w:p>
      <w:pPr>
        <w:pStyle w:val="ListParagraph"/>
        <w:numPr>
          <w:ilvl w:val="0"/>
          <w:numId w:val="2"/>
        </w:numPr>
        <w:spacing w:before="40" w:after="40"/>
      </w:pPr>
      <w:r>
        <w:rPr>
          <w:rFonts w:ascii="Arial" w:cs="Arial" w:eastAsia="Arial" w:hAnsi="Arial"/>
          <w:sz w:val="22"/>
          <w:szCs w:val="22"/>
        </w:rPr>
        <w:t xml:space="preserve">Known microsatellite stable (MSS) or pMMR tumor status</w:t>
      </w:r>
    </w:p>
    <w:p>
      <w:pPr>
        <w:pStyle w:val="ListParagraph"/>
        <w:numPr>
          <w:ilvl w:val="0"/>
          <w:numId w:val="2"/>
        </w:numPr>
        <w:spacing w:before="40" w:after="40"/>
      </w:pPr>
      <w:r>
        <w:rPr>
          <w:rFonts w:ascii="Arial" w:cs="Arial" w:eastAsia="Arial" w:hAnsi="Arial"/>
          <w:sz w:val="22"/>
          <w:szCs w:val="22"/>
        </w:rPr>
        <w:t xml:space="preserve">History of interstitial lung disease, non-infectious pneumonitis, or pulmonary fibrosis</w:t>
      </w:r>
    </w:p>
    <w:p>
      <w:pPr>
        <w:pStyle w:val="ListParagraph"/>
        <w:numPr>
          <w:ilvl w:val="0"/>
          <w:numId w:val="2"/>
        </w:numPr>
        <w:spacing w:before="40" w:after="40"/>
      </w:pPr>
      <w:r>
        <w:rPr>
          <w:rFonts w:ascii="Arial" w:cs="Arial" w:eastAsia="Arial" w:hAnsi="Arial"/>
          <w:sz w:val="22"/>
          <w:szCs w:val="22"/>
        </w:rPr>
        <w:t xml:space="preserve">Known HIV infection with CD4+ count &lt; 350 cells/uL, or requiring antiretroviral therapy (stable HIV is permitted)</w:t>
      </w:r>
    </w:p>
    <w:p>
      <w:pPr>
        <w:pStyle w:val="ListParagraph"/>
        <w:numPr>
          <w:ilvl w:val="0"/>
          <w:numId w:val="2"/>
        </w:numPr>
        <w:spacing w:before="40" w:after="40"/>
      </w:pPr>
      <w:r>
        <w:rPr>
          <w:rFonts w:ascii="Arial" w:cs="Arial" w:eastAsia="Arial" w:hAnsi="Arial"/>
          <w:sz w:val="22"/>
          <w:szCs w:val="22"/>
        </w:rPr>
        <w:t xml:space="preserve">Active Hepatitis B (HBsAg+) or Hepatitis C (HCV RNA+) infection</w:t>
      </w:r>
    </w:p>
    <w:p>
      <w:pPr>
        <w:pStyle w:val="ListParagraph"/>
        <w:numPr>
          <w:ilvl w:val="0"/>
          <w:numId w:val="2"/>
        </w:numPr>
        <w:spacing w:before="40" w:after="40"/>
      </w:pPr>
      <w:r>
        <w:rPr>
          <w:rFonts w:ascii="Arial" w:cs="Arial" w:eastAsia="Arial" w:hAnsi="Arial"/>
          <w:sz w:val="22"/>
          <w:szCs w:val="22"/>
        </w:rPr>
        <w:t xml:space="preserve">Major surgery within 28 days prior to randomization</w:t>
      </w:r>
    </w:p>
    <w:p>
      <w:pPr>
        <w:pStyle w:val="ListParagraph"/>
        <w:numPr>
          <w:ilvl w:val="0"/>
          <w:numId w:val="2"/>
        </w:numPr>
        <w:spacing w:before="40" w:after="40"/>
      </w:pPr>
      <w:r>
        <w:rPr>
          <w:rFonts w:ascii="Arial" w:cs="Arial" w:eastAsia="Arial" w:hAnsi="Arial"/>
          <w:sz w:val="22"/>
          <w:szCs w:val="22"/>
        </w:rPr>
        <w:t xml:space="preserve">Known hypersensitivity to Chinese hamster ovary (CHO)-derived biologics, oxaliplatin, 5-fluorouracil, leucovorin, or bevacizumab</w:t>
      </w:r>
    </w:p>
    <w:p>
      <w:pPr>
        <w:pStyle w:val="ListParagraph"/>
        <w:numPr>
          <w:ilvl w:val="0"/>
          <w:numId w:val="2"/>
        </w:numPr>
        <w:spacing w:before="40" w:after="40"/>
      </w:pPr>
      <w:r>
        <w:rPr>
          <w:rFonts w:ascii="Arial" w:cs="Arial" w:eastAsia="Arial" w:hAnsi="Arial"/>
          <w:sz w:val="22"/>
          <w:szCs w:val="22"/>
        </w:rPr>
        <w:t xml:space="preserve">Pregnancy or breastfeeding</w:t>
      </w:r>
    </w:p>
    <w:p>
      <w:pPr>
        <w:pStyle w:val="ListParagraph"/>
        <w:numPr>
          <w:ilvl w:val="0"/>
          <w:numId w:val="2"/>
        </w:numPr>
        <w:spacing w:before="40" w:after="40"/>
      </w:pPr>
      <w:r>
        <w:rPr>
          <w:rFonts w:ascii="Arial" w:cs="Arial" w:eastAsia="Arial" w:hAnsi="Arial"/>
          <w:sz w:val="22"/>
          <w:szCs w:val="22"/>
        </w:rPr>
        <w:t xml:space="preserve">Any prior malignancy within 3 years except adequately treated basal cell carcinoma, squamous cell carcinoma of the skin, or carcinoma in situ</w:t>
      </w:r>
    </w:p>
    <w:p>
      <w:pPr>
        <w:pStyle w:val="ListParagraph"/>
        <w:numPr>
          <w:ilvl w:val="0"/>
          <w:numId w:val="2"/>
        </w:numPr>
        <w:spacing w:before="40" w:after="40"/>
      </w:pPr>
      <w:r>
        <w:rPr>
          <w:rFonts w:ascii="Arial" w:cs="Arial" w:eastAsia="Arial" w:hAnsi="Arial"/>
          <w:sz w:val="22"/>
          <w:szCs w:val="22"/>
        </w:rPr>
        <w:t xml:space="preserve">Participation in another therapeutic clinical trial within 28 days prior to randomization</w:t>
      </w:r>
    </w:p>
    <w:p>
      <w:r>
        <w:br w:type="page"/>
      </w:r>
    </w:p>
    <w:p>
      <w:pPr>
        <w:pStyle w:val="Heading1"/>
        <w:pBdr>
          <w:bottom w:val="single" w:color="2E5FAC" w:sz="4"/>
        </w:pBdr>
        <w:spacing w:before="320" w:after="160"/>
      </w:pPr>
      <w:r>
        <w:rPr>
          <w:rFonts w:ascii="Arial" w:cs="Arial" w:eastAsia="Arial" w:hAnsi="Arial"/>
          <w:b/>
          <w:bCs/>
          <w:color w:val="1F3864"/>
          <w:sz w:val="28"/>
          <w:szCs w:val="28"/>
        </w:rPr>
        <w:t xml:space="preserve">5. TREATMENT</w:t>
      </w:r>
    </w:p>
    <w:p>
      <w:pPr>
        <w:pStyle w:val="Heading2"/>
        <w:spacing w:before="240" w:after="120"/>
      </w:pPr>
      <w:r>
        <w:rPr>
          <w:rFonts w:ascii="Arial" w:cs="Arial" w:eastAsia="Arial" w:hAnsi="Arial"/>
          <w:b/>
          <w:bCs/>
          <w:color w:val="2E5FAC"/>
          <w:sz w:val="24"/>
          <w:szCs w:val="24"/>
        </w:rPr>
        <w:t xml:space="preserve">5.1 Study Treatment Overview</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5FAC" w:sz="1"/>
              <w:left w:val="single" w:color="2E5FAC" w:sz="1"/>
              <w:bottom w:val="single" w:color="2E5FAC" w:sz="1"/>
              <w:right w:val="single" w:color="2E5FA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580"/>
            <w:tcBorders>
              <w:top w:val="single" w:color="2E5FAC" w:sz="1"/>
              <w:left w:val="single" w:color="2E5FAC" w:sz="1"/>
              <w:bottom w:val="single" w:color="2E5FAC" w:sz="1"/>
              <w:right w:val="single" w:color="2E5FA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Arm A – Cervimab</w:t>
            </w:r>
          </w:p>
        </w:tc>
        <w:tc>
          <w:tcPr>
            <w:tcW w:type="dxa" w:w="3580"/>
            <w:tcBorders>
              <w:top w:val="single" w:color="2E5FAC" w:sz="1"/>
              <w:left w:val="single" w:color="2E5FAC" w:sz="1"/>
              <w:bottom w:val="single" w:color="2E5FAC" w:sz="1"/>
              <w:right w:val="single" w:color="2E5FA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Arm B – FOLFOX-4 + Bevacizumab</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Investigational drug</w:t>
            </w:r>
          </w:p>
        </w:tc>
        <w:tc>
          <w:tcPr>
            <w:tcW w:type="dxa" w:w="35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Cervimab 400 mg IV Q21D</w:t>
            </w:r>
          </w:p>
        </w:tc>
        <w:tc>
          <w:tcPr>
            <w:tcW w:type="dxa" w:w="35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Cervimab-matching placebo IV Q21D</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Chemotherapy</w:t>
            </w:r>
          </w:p>
        </w:tc>
        <w:tc>
          <w:tcPr>
            <w:tcW w:type="dxa" w:w="35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FOLFOX-4-matching placebo IV Q14D</w:t>
            </w:r>
          </w:p>
        </w:tc>
        <w:tc>
          <w:tcPr>
            <w:tcW w:type="dxa" w:w="35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FOLFOX-4 Q14D + Bevacizumab 5 mg/kg IV Q14D</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Cycle length</w:t>
            </w:r>
          </w:p>
        </w:tc>
        <w:tc>
          <w:tcPr>
            <w:tcW w:type="dxa" w:w="35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21 days</w:t>
            </w:r>
          </w:p>
        </w:tc>
        <w:tc>
          <w:tcPr>
            <w:tcW w:type="dxa" w:w="35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14 days (FOLFOX-4); Q21D aligned for Arm A comparison</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Max duration</w:t>
            </w:r>
          </w:p>
        </w:tc>
        <w:tc>
          <w:tcPr>
            <w:tcW w:type="dxa" w:w="35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Up to 24 months (Cervimab)</w:t>
            </w:r>
          </w:p>
        </w:tc>
        <w:tc>
          <w:tcPr>
            <w:tcW w:type="dxa" w:w="35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Until PD or unacceptable toxicity</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Route</w:t>
            </w:r>
          </w:p>
        </w:tc>
        <w:tc>
          <w:tcPr>
            <w:tcW w:type="dxa" w:w="35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Intravenous infusion</w:t>
            </w:r>
          </w:p>
        </w:tc>
        <w:tc>
          <w:tcPr>
            <w:tcW w:type="dxa" w:w="35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Intravenous infusion</w:t>
            </w:r>
          </w:p>
        </w:tc>
      </w:tr>
    </w:tbl>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4"/>
          <w:szCs w:val="24"/>
        </w:rPr>
        <w:t xml:space="preserve">5.2 Cervimab Administration</w:t>
      </w:r>
    </w:p>
    <w:p>
      <w:pPr>
        <w:spacing w:before="80" w:after="80"/>
      </w:pPr>
      <w:r>
        <w:rPr>
          <w:rFonts w:ascii="Arial" w:cs="Arial" w:eastAsia="Arial" w:hAnsi="Arial"/>
          <w:sz w:val="22"/>
          <w:szCs w:val="22"/>
        </w:rPr>
        <w:t xml:space="preserve">Cervimab 400 mg will be diluted in 100 mL 0.9% sodium chloride for injection and administered as a 30-minute IV infusion. Pre-medication is not required but may be administered at investigator discretion after the first infusion if IRR management is needed.</w:t>
      </w:r>
    </w:p>
    <w:p>
      <w:pPr>
        <w:pStyle w:val="Heading2"/>
        <w:spacing w:before="240" w:after="120"/>
      </w:pPr>
      <w:r>
        <w:rPr>
          <w:rFonts w:ascii="Arial" w:cs="Arial" w:eastAsia="Arial" w:hAnsi="Arial"/>
          <w:b/>
          <w:bCs/>
          <w:color w:val="2E5FAC"/>
          <w:sz w:val="24"/>
          <w:szCs w:val="24"/>
        </w:rPr>
        <w:t xml:space="preserve">5.3 FOLFOX-4 Administration</w:t>
      </w:r>
    </w:p>
    <w:p>
      <w:pPr>
        <w:spacing w:before="80" w:after="80"/>
      </w:pPr>
      <w:r>
        <w:rPr>
          <w:rFonts w:ascii="Arial" w:cs="Arial" w:eastAsia="Arial" w:hAnsi="Arial"/>
          <w:sz w:val="22"/>
          <w:szCs w:val="22"/>
        </w:rPr>
        <w:t xml:space="preserve">Oxaliplatin 85 mg/m2 IV over 2 hours (Day 1), Leucovorin 200 mg/m2 IV over 2 hours (Days 1-2), 5-FU 400 mg/m2 IV bolus then 600 mg/m2 continuous infusion over 22 hours (Days 1-2), repeated every 14 days.</w:t>
      </w:r>
    </w:p>
    <w:p>
      <w:pPr>
        <w:pStyle w:val="Heading2"/>
        <w:spacing w:before="240" w:after="120"/>
      </w:pPr>
      <w:r>
        <w:rPr>
          <w:rFonts w:ascii="Arial" w:cs="Arial" w:eastAsia="Arial" w:hAnsi="Arial"/>
          <w:b/>
          <w:bCs/>
          <w:color w:val="2E5FAC"/>
          <w:sz w:val="24"/>
          <w:szCs w:val="24"/>
        </w:rPr>
        <w:t xml:space="preserve">5.4 Management of Immune-Related Adverse Events (irAEs)</w:t>
      </w:r>
    </w:p>
    <w:p>
      <w:pPr>
        <w:pStyle w:val="ListParagraph"/>
        <w:numPr>
          <w:ilvl w:val="0"/>
          <w:numId w:val="2"/>
        </w:numPr>
        <w:spacing w:before="40" w:after="40"/>
      </w:pPr>
      <w:r>
        <w:rPr>
          <w:rFonts w:ascii="Arial" w:cs="Arial" w:eastAsia="Arial" w:hAnsi="Arial"/>
          <w:sz w:val="22"/>
          <w:szCs w:val="22"/>
        </w:rPr>
        <w:t xml:space="preserve">Grade 1 irAE: Continue treatment; close monitoring; consider topical or local therapies</w:t>
      </w:r>
    </w:p>
    <w:p>
      <w:pPr>
        <w:pStyle w:val="ListParagraph"/>
        <w:numPr>
          <w:ilvl w:val="0"/>
          <w:numId w:val="2"/>
        </w:numPr>
        <w:spacing w:before="40" w:after="40"/>
      </w:pPr>
      <w:r>
        <w:rPr>
          <w:rFonts w:ascii="Arial" w:cs="Arial" w:eastAsia="Arial" w:hAnsi="Arial"/>
          <w:sz w:val="22"/>
          <w:szCs w:val="22"/>
        </w:rPr>
        <w:t xml:space="preserve">Grade 2 irAE: Withhold Cervimab; initiate prednisone 1 mg/kg/day; resume when resolved to Grade &lt;= 1</w:t>
      </w:r>
    </w:p>
    <w:p>
      <w:pPr>
        <w:pStyle w:val="ListParagraph"/>
        <w:numPr>
          <w:ilvl w:val="0"/>
          <w:numId w:val="2"/>
        </w:numPr>
        <w:spacing w:before="40" w:after="40"/>
      </w:pPr>
      <w:r>
        <w:rPr>
          <w:rFonts w:ascii="Arial" w:cs="Arial" w:eastAsia="Arial" w:hAnsi="Arial"/>
          <w:sz w:val="22"/>
          <w:szCs w:val="22"/>
        </w:rPr>
        <w:t xml:space="preserve">Grade 3 irAE: Withhold Cervimab; initiate IV methylprednisolone 1-2 mg/kg/day; resume when resolved to Grade &lt;= 1 if within 12 weeks</w:t>
      </w:r>
    </w:p>
    <w:p>
      <w:pPr>
        <w:pStyle w:val="ListParagraph"/>
        <w:numPr>
          <w:ilvl w:val="0"/>
          <w:numId w:val="2"/>
        </w:numPr>
        <w:spacing w:before="40" w:after="40"/>
      </w:pPr>
      <w:r>
        <w:rPr>
          <w:rFonts w:ascii="Arial" w:cs="Arial" w:eastAsia="Arial" w:hAnsi="Arial"/>
          <w:sz w:val="22"/>
          <w:szCs w:val="22"/>
        </w:rPr>
        <w:t xml:space="preserve">Grade 4 or recurrent Grade 3 irAE: Permanently discontinue Cervimab</w:t>
      </w:r>
    </w:p>
    <w:p>
      <w:pPr>
        <w:pStyle w:val="Heading2"/>
        <w:spacing w:before="240" w:after="120"/>
      </w:pPr>
      <w:r>
        <w:rPr>
          <w:rFonts w:ascii="Arial" w:cs="Arial" w:eastAsia="Arial" w:hAnsi="Arial"/>
          <w:b/>
          <w:bCs/>
          <w:color w:val="2E5FAC"/>
          <w:sz w:val="24"/>
          <w:szCs w:val="24"/>
        </w:rPr>
        <w:t xml:space="preserve">5.5 Permitted and Prohibited Concomitant Medications</w:t>
      </w:r>
    </w:p>
    <w:p>
      <w:pPr>
        <w:spacing w:before="80" w:after="80"/>
      </w:pPr>
      <w:r>
        <w:rPr>
          <w:rFonts w:ascii="Arial" w:cs="Arial" w:eastAsia="Arial" w:hAnsi="Arial"/>
          <w:sz w:val="22"/>
          <w:szCs w:val="22"/>
        </w:rPr>
        <w:t xml:space="preserve">Permitted: Supportive care including G-CSF, antiemetics, bisphosphonates, analgesics. Best supportive care for palliative intent. Antibiotics for infectious complications.</w:t>
      </w:r>
    </w:p>
    <w:p>
      <w:pPr>
        <w:spacing w:before="80" w:after="80"/>
      </w:pPr>
      <w:r>
        <w:rPr>
          <w:rFonts w:ascii="Arial" w:cs="Arial" w:eastAsia="Arial" w:hAnsi="Arial"/>
          <w:sz w:val="22"/>
          <w:szCs w:val="22"/>
        </w:rPr>
        <w:t xml:space="preserve">Prohibited: Other immunotherapy agents, other systemic anticancer therapy, live attenuated vaccines (within 30 days), immunosuppressants (except as required for irAE management).</w:t>
      </w:r>
    </w:p>
    <w:p>
      <w:r>
        <w:br w:type="page"/>
      </w:r>
    </w:p>
    <w:p>
      <w:pPr>
        <w:pStyle w:val="Heading1"/>
        <w:pBdr>
          <w:bottom w:val="single" w:color="2E5FAC" w:sz="4"/>
        </w:pBdr>
        <w:spacing w:before="320" w:after="160"/>
      </w:pPr>
      <w:r>
        <w:rPr>
          <w:rFonts w:ascii="Arial" w:cs="Arial" w:eastAsia="Arial" w:hAnsi="Arial"/>
          <w:b/>
          <w:bCs/>
          <w:color w:val="1F3864"/>
          <w:sz w:val="28"/>
          <w:szCs w:val="28"/>
        </w:rPr>
        <w:t xml:space="preserve">6. STUDY ASSESSMENTS AND PROCEDURES</w:t>
      </w:r>
    </w:p>
    <w:p>
      <w:pPr>
        <w:pStyle w:val="Heading2"/>
        <w:spacing w:before="240" w:after="120"/>
      </w:pPr>
      <w:r>
        <w:rPr>
          <w:rFonts w:ascii="Arial" w:cs="Arial" w:eastAsia="Arial" w:hAnsi="Arial"/>
          <w:b/>
          <w:bCs/>
          <w:color w:val="2E5FAC"/>
          <w:sz w:val="24"/>
          <w:szCs w:val="24"/>
        </w:rPr>
        <w:t xml:space="preserve">6.1 Schedule of Assessments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380"/>
        <w:gridCol w:w="1380"/>
      </w:tblGrid>
      <w:tr>
        <w:tc>
          <w:tcPr>
            <w:tcW w:type="dxa" w:w="3000"/>
            <w:tcBorders>
              <w:top w:val="single" w:color="2E5FAC" w:sz="1"/>
              <w:left w:val="single" w:color="2E5FAC" w:sz="1"/>
              <w:bottom w:val="single" w:color="2E5FAC" w:sz="1"/>
              <w:right w:val="single" w:color="2E5FA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c>
          <w:tcPr>
            <w:tcW w:type="dxa" w:w="1200"/>
            <w:tcBorders>
              <w:top w:val="single" w:color="2E5FAC" w:sz="1"/>
              <w:left w:val="single" w:color="2E5FAC" w:sz="1"/>
              <w:bottom w:val="single" w:color="2E5FAC" w:sz="1"/>
              <w:right w:val="single" w:color="2E5FA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Screening</w:t>
            </w:r>
          </w:p>
        </w:tc>
        <w:tc>
          <w:tcPr>
            <w:tcW w:type="dxa" w:w="1200"/>
            <w:tcBorders>
              <w:top w:val="single" w:color="2E5FAC" w:sz="1"/>
              <w:left w:val="single" w:color="2E5FAC" w:sz="1"/>
              <w:bottom w:val="single" w:color="2E5FAC" w:sz="1"/>
              <w:right w:val="single" w:color="2E5FA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Cycle 1 D1</w:t>
            </w:r>
          </w:p>
        </w:tc>
        <w:tc>
          <w:tcPr>
            <w:tcW w:type="dxa" w:w="1200"/>
            <w:tcBorders>
              <w:top w:val="single" w:color="2E5FAC" w:sz="1"/>
              <w:left w:val="single" w:color="2E5FAC" w:sz="1"/>
              <w:bottom w:val="single" w:color="2E5FAC" w:sz="1"/>
              <w:right w:val="single" w:color="2E5FA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Each Cycle</w:t>
            </w:r>
          </w:p>
        </w:tc>
        <w:tc>
          <w:tcPr>
            <w:tcW w:type="dxa" w:w="1380"/>
            <w:tcBorders>
              <w:top w:val="single" w:color="2E5FAC" w:sz="1"/>
              <w:left w:val="single" w:color="2E5FAC" w:sz="1"/>
              <w:bottom w:val="single" w:color="2E5FAC" w:sz="1"/>
              <w:right w:val="single" w:color="2E5FA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EOT</w:t>
            </w:r>
          </w:p>
        </w:tc>
        <w:tc>
          <w:tcPr>
            <w:tcW w:type="dxa" w:w="1380"/>
            <w:tcBorders>
              <w:top w:val="single" w:color="2E5FAC" w:sz="1"/>
              <w:left w:val="single" w:color="2E5FAC" w:sz="1"/>
              <w:bottom w:val="single" w:color="2E5FAC" w:sz="1"/>
              <w:right w:val="single" w:color="2E5FA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Follow-up</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Informed consent</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w:r>
          </w:p>
        </w:tc>
        <w:tc>
          <w:tcPr>
            <w:tcW w:type="dxa" w:w="13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w:r>
          </w:p>
        </w:tc>
        <w:tc>
          <w:tcPr>
            <w:tcW w:type="dxa" w:w="13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Medical history/demographics</w:t>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w:r>
          </w:p>
        </w:tc>
        <w:tc>
          <w:tcPr>
            <w:tcW w:type="dxa" w:w="13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w:r>
          </w:p>
        </w:tc>
        <w:tc>
          <w:tcPr>
            <w:tcW w:type="dxa" w:w="13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Physical exam</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3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3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Vital signs</w:t>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X</w:t>
            </w:r>
          </w:p>
        </w:tc>
        <w:tc>
          <w:tcPr>
            <w:tcW w:type="dxa" w:w="13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X</w:t>
            </w:r>
          </w:p>
        </w:tc>
        <w:tc>
          <w:tcPr>
            <w:tcW w:type="dxa" w:w="13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X</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ECOG Performance Status</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3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3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12-lead ECG</w:t>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Q6 cycles</w:t>
            </w:r>
          </w:p>
        </w:tc>
        <w:tc>
          <w:tcPr>
            <w:tcW w:type="dxa" w:w="13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X</w:t>
            </w:r>
          </w:p>
        </w:tc>
        <w:tc>
          <w:tcPr>
            <w:tcW w:type="dxa" w:w="13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CBC with differential</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3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3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Comprehensive metabolic panel</w:t>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X</w:t>
            </w:r>
          </w:p>
        </w:tc>
        <w:tc>
          <w:tcPr>
            <w:tcW w:type="dxa" w:w="13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X</w:t>
            </w:r>
          </w:p>
        </w:tc>
        <w:tc>
          <w:tcPr>
            <w:tcW w:type="dxa" w:w="13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Thyroid function (TSH/fT4)</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Q6 weeks</w:t>
            </w:r>
          </w:p>
        </w:tc>
        <w:tc>
          <w:tcPr>
            <w:tcW w:type="dxa" w:w="13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3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Urinalysis</w:t>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Q6 weeks</w:t>
            </w:r>
          </w:p>
        </w:tc>
        <w:tc>
          <w:tcPr>
            <w:tcW w:type="dxa" w:w="13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X</w:t>
            </w:r>
          </w:p>
        </w:tc>
        <w:tc>
          <w:tcPr>
            <w:tcW w:type="dxa" w:w="13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Tumor markers (CEA, CA19-9)</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3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3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Serum pregnancy test</w:t>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Q6 weeks (WOCBP)</w:t>
            </w:r>
          </w:p>
        </w:tc>
        <w:tc>
          <w:tcPr>
            <w:tcW w:type="dxa" w:w="13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X</w:t>
            </w:r>
          </w:p>
        </w:tc>
        <w:tc>
          <w:tcPr>
            <w:tcW w:type="dxa" w:w="13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CT/MRI tumor imaging</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Q6W x 12 mo, then Q12W</w:t>
            </w:r>
          </w:p>
        </w:tc>
        <w:tc>
          <w:tcPr>
            <w:tcW w:type="dxa" w:w="13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3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Q12W (survival FU)</w:t>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Cervimab PK sampling</w:t>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X (pre/post-infusion)</w:t>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C3, C6, C9</w:t>
            </w:r>
          </w:p>
        </w:tc>
        <w:tc>
          <w:tcPr>
            <w:tcW w:type="dxa" w:w="13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w:r>
          </w:p>
        </w:tc>
        <w:tc>
          <w:tcPr>
            <w:tcW w:type="dxa" w:w="13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Anti-drug antibody (ADA)</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Q6 cycles</w:t>
            </w:r>
          </w:p>
        </w:tc>
        <w:tc>
          <w:tcPr>
            <w:tcW w:type="dxa" w:w="13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3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90-day</w:t>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PD-L1 IHC (archival tissue)</w:t>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w:r>
          </w:p>
        </w:tc>
        <w:tc>
          <w:tcPr>
            <w:tcW w:type="dxa" w:w="13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w:r>
          </w:p>
        </w:tc>
        <w:tc>
          <w:tcPr>
            <w:tcW w:type="dxa" w:w="13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TMB analysis (optional)</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w:r>
          </w:p>
        </w:tc>
        <w:tc>
          <w:tcPr>
            <w:tcW w:type="dxa" w:w="13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w:r>
          </w:p>
        </w:tc>
        <w:tc>
          <w:tcPr>
            <w:tcW w:type="dxa" w:w="13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PROs (EORTC QLQ-C30, EQ-5D-5L)</w:t>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Q6 weeks</w:t>
            </w:r>
          </w:p>
        </w:tc>
        <w:tc>
          <w:tcPr>
            <w:tcW w:type="dxa" w:w="13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X</w:t>
            </w:r>
          </w:p>
        </w:tc>
        <w:tc>
          <w:tcPr>
            <w:tcW w:type="dxa" w:w="13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Q12W</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Adverse event assessment</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 (continuous)</w:t>
            </w:r>
          </w:p>
        </w:tc>
        <w:tc>
          <w:tcPr>
            <w:tcW w:type="dxa" w:w="13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w:t>
            </w:r>
          </w:p>
        </w:tc>
        <w:tc>
          <w:tcPr>
            <w:tcW w:type="dxa" w:w="138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X (90-day)</w:t>
            </w:r>
          </w:p>
        </w:tc>
      </w:tr>
      <w:tr>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Survival status</w:t>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w:r>
          </w:p>
        </w:tc>
        <w:tc>
          <w:tcPr>
            <w:tcW w:type="dxa" w:w="1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w:r>
          </w:p>
        </w:tc>
        <w:tc>
          <w:tcPr>
            <w:tcW w:type="dxa" w:w="13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
            </w:r>
          </w:p>
        </w:tc>
        <w:tc>
          <w:tcPr>
            <w:tcW w:type="dxa" w:w="138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Q3 months</w:t>
            </w:r>
          </w:p>
        </w:tc>
      </w:tr>
    </w:tbl>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4"/>
          <w:szCs w:val="24"/>
        </w:rPr>
        <w:t xml:space="preserve">6.2 Tumor Response Assessment</w:t>
      </w:r>
    </w:p>
    <w:p>
      <w:pPr>
        <w:spacing w:before="80" w:after="80"/>
      </w:pPr>
      <w:r>
        <w:rPr>
          <w:rFonts w:ascii="Arial" w:cs="Arial" w:eastAsia="Arial" w:hAnsi="Arial"/>
          <w:sz w:val="22"/>
          <w:szCs w:val="22"/>
        </w:rPr>
        <w:t xml:space="preserve">Tumor response will be assessed by CT scan of the chest, abdomen, and pelvis with IV contrast (or MRI if CT is contraindicated) at the intervals defined in the Schedule of Assessments. All imaging will be assessed by BICR per RECIST v1.1. Response categories: Complete Response (CR), Partial Response (PR), Stable Disease (SD), Progressive Disease (PD).</w:t>
      </w:r>
    </w:p>
    <w:p>
      <w:pPr>
        <w:pStyle w:val="Heading2"/>
        <w:spacing w:before="240" w:after="120"/>
      </w:pPr>
      <w:r>
        <w:rPr>
          <w:rFonts w:ascii="Arial" w:cs="Arial" w:eastAsia="Arial" w:hAnsi="Arial"/>
          <w:b/>
          <w:bCs/>
          <w:color w:val="2E5FAC"/>
          <w:sz w:val="24"/>
          <w:szCs w:val="24"/>
        </w:rPr>
        <w:t xml:space="preserve">6.3 Biomarker Assessments</w:t>
      </w:r>
    </w:p>
    <w:p>
      <w:pPr>
        <w:spacing w:before="80" w:after="80"/>
      </w:pPr>
      <w:r>
        <w:rPr>
          <w:rFonts w:ascii="Arial" w:cs="Arial" w:eastAsia="Arial" w:hAnsi="Arial"/>
          <w:sz w:val="22"/>
          <w:szCs w:val="22"/>
        </w:rPr>
        <w:t xml:space="preserve">Archival tumor tissue (FFPE block or minimum 10 unstained slides, 4-5 micron) is mandatory for all patients. Fresh biopsy is strongly encouraged but not mandatory. Central laboratory testing will include: dMMR/MSI-H confirmation (IHC + PCR), PD-L1 TPS and CPS by Dako 22C3 immunohistochemistry, and TMB by validated NGS panel.</w:t>
      </w:r>
    </w:p>
    <w:p>
      <w:r>
        <w:br w:type="page"/>
      </w:r>
    </w:p>
    <w:p>
      <w:pPr>
        <w:pStyle w:val="Heading1"/>
        <w:pBdr>
          <w:bottom w:val="single" w:color="2E5FAC" w:sz="4"/>
        </w:pBdr>
        <w:spacing w:before="320" w:after="160"/>
      </w:pPr>
      <w:r>
        <w:rPr>
          <w:rFonts w:ascii="Arial" w:cs="Arial" w:eastAsia="Arial" w:hAnsi="Arial"/>
          <w:b/>
          <w:bCs/>
          <w:color w:val="1F3864"/>
          <w:sz w:val="28"/>
          <w:szCs w:val="28"/>
        </w:rPr>
        <w:t xml:space="preserve">7. STATISTICAL CONSIDERATIONS</w:t>
      </w:r>
    </w:p>
    <w:p>
      <w:pPr>
        <w:pStyle w:val="Heading2"/>
        <w:spacing w:before="240" w:after="120"/>
      </w:pPr>
      <w:r>
        <w:rPr>
          <w:rFonts w:ascii="Arial" w:cs="Arial" w:eastAsia="Arial" w:hAnsi="Arial"/>
          <w:b/>
          <w:bCs/>
          <w:color w:val="2E5FAC"/>
          <w:sz w:val="24"/>
          <w:szCs w:val="24"/>
        </w:rPr>
        <w:t xml:space="preserve">7.1 Sample Size</w:t>
      </w:r>
    </w:p>
    <w:p>
      <w:pPr>
        <w:spacing w:before="80" w:after="80"/>
      </w:pPr>
      <w:r>
        <w:rPr>
          <w:rFonts w:ascii="Arial" w:cs="Arial" w:eastAsia="Arial" w:hAnsi="Arial"/>
          <w:sz w:val="22"/>
          <w:szCs w:val="22"/>
        </w:rPr>
        <w:t xml:space="preserve">The primary endpoint is PFS by BICR. Assuming a median PFS of 17 months for Cervimab versus 9.5 months for FOLFOX-4 (HR = 0.56), an exponential distribution, two-sided log-rank test at alpha = 0.025 (after adjustment for interim analyses per Lan-DeMets alpha-spending with O'Brien-Fleming boundary), and 90% power, approximately 280 PFS events are required. With 480 patients enrolled over 24 months and minimum 24 months follow-up, the required events will be observed approximately 42 months after first patient enrolled.</w:t>
      </w:r>
    </w:p>
    <w:p>
      <w:pPr>
        <w:pStyle w:val="Heading2"/>
        <w:spacing w:before="240" w:after="120"/>
      </w:pPr>
      <w:r>
        <w:rPr>
          <w:rFonts w:ascii="Arial" w:cs="Arial" w:eastAsia="Arial" w:hAnsi="Arial"/>
          <w:b/>
          <w:bCs/>
          <w:color w:val="2E5FAC"/>
          <w:sz w:val="24"/>
          <w:szCs w:val="24"/>
        </w:rPr>
        <w:t xml:space="preserve">7.2 Analysis Populations</w:t>
      </w:r>
    </w:p>
    <w:p>
      <w:pPr>
        <w:pStyle w:val="ListParagraph"/>
        <w:numPr>
          <w:ilvl w:val="0"/>
          <w:numId w:val="2"/>
        </w:numPr>
        <w:spacing w:before="40" w:after="40"/>
      </w:pPr>
      <w:r>
        <w:rPr>
          <w:rFonts w:ascii="Arial" w:cs="Arial" w:eastAsia="Arial" w:hAnsi="Arial"/>
          <w:sz w:val="22"/>
          <w:szCs w:val="22"/>
        </w:rPr>
        <w:t xml:space="preserve">Intent-to-Treat (ITT) Population: All randomized patients (primary analysis)</w:t>
      </w:r>
    </w:p>
    <w:p>
      <w:pPr>
        <w:pStyle w:val="ListParagraph"/>
        <w:numPr>
          <w:ilvl w:val="0"/>
          <w:numId w:val="2"/>
        </w:numPr>
        <w:spacing w:before="40" w:after="40"/>
      </w:pPr>
      <w:r>
        <w:rPr>
          <w:rFonts w:ascii="Arial" w:cs="Arial" w:eastAsia="Arial" w:hAnsi="Arial"/>
          <w:sz w:val="22"/>
          <w:szCs w:val="22"/>
        </w:rPr>
        <w:t xml:space="preserve">Per-Protocol (PP) Population: All ITT patients without major protocol deviations</w:t>
      </w:r>
    </w:p>
    <w:p>
      <w:pPr>
        <w:pStyle w:val="ListParagraph"/>
        <w:numPr>
          <w:ilvl w:val="0"/>
          <w:numId w:val="2"/>
        </w:numPr>
        <w:spacing w:before="40" w:after="40"/>
      </w:pPr>
      <w:r>
        <w:rPr>
          <w:rFonts w:ascii="Arial" w:cs="Arial" w:eastAsia="Arial" w:hAnsi="Arial"/>
          <w:sz w:val="22"/>
          <w:szCs w:val="22"/>
        </w:rPr>
        <w:t xml:space="preserve">Safety Population: All patients who received at least one dose of study treatment</w:t>
      </w:r>
    </w:p>
    <w:p>
      <w:pPr>
        <w:pStyle w:val="ListParagraph"/>
        <w:numPr>
          <w:ilvl w:val="0"/>
          <w:numId w:val="2"/>
        </w:numPr>
        <w:spacing w:before="40" w:after="40"/>
      </w:pPr>
      <w:r>
        <w:rPr>
          <w:rFonts w:ascii="Arial" w:cs="Arial" w:eastAsia="Arial" w:hAnsi="Arial"/>
          <w:sz w:val="22"/>
          <w:szCs w:val="22"/>
        </w:rPr>
        <w:t xml:space="preserve">Biomarker-Evaluable Population (BEP): Patients with evaluable baseline biomarker data</w:t>
      </w:r>
    </w:p>
    <w:p>
      <w:pPr>
        <w:pStyle w:val="Heading2"/>
        <w:spacing w:before="240" w:after="120"/>
      </w:pPr>
      <w:r>
        <w:rPr>
          <w:rFonts w:ascii="Arial" w:cs="Arial" w:eastAsia="Arial" w:hAnsi="Arial"/>
          <w:b/>
          <w:bCs/>
          <w:color w:val="2E5FAC"/>
          <w:sz w:val="24"/>
          <w:szCs w:val="24"/>
        </w:rPr>
        <w:t xml:space="preserve">7.3 Primary Analysis</w:t>
      </w:r>
    </w:p>
    <w:p>
      <w:pPr>
        <w:spacing w:before="80" w:after="80"/>
      </w:pPr>
      <w:r>
        <w:rPr>
          <w:rFonts w:ascii="Arial" w:cs="Arial" w:eastAsia="Arial" w:hAnsi="Arial"/>
          <w:sz w:val="22"/>
          <w:szCs w:val="22"/>
        </w:rPr>
        <w:t xml:space="preserve">The primary analysis will compare PFS between arms in the ITT population using a stratified log-rank test. Hazard ratio and 95% CI will be estimated from a stratified Cox proportional hazards model. Kaplan-Meier methodology will be used to estimate median PFS and survival rates at prespecified time points.</w:t>
      </w:r>
    </w:p>
    <w:p>
      <w:pPr>
        <w:pStyle w:val="Heading2"/>
        <w:spacing w:before="240" w:after="120"/>
      </w:pPr>
      <w:r>
        <w:rPr>
          <w:rFonts w:ascii="Arial" w:cs="Arial" w:eastAsia="Arial" w:hAnsi="Arial"/>
          <w:b/>
          <w:bCs/>
          <w:color w:val="2E5FAC"/>
          <w:sz w:val="24"/>
          <w:szCs w:val="24"/>
        </w:rPr>
        <w:t xml:space="preserve">7.4 Interim Analyses</w:t>
      </w:r>
    </w:p>
    <w:p>
      <w:pPr>
        <w:spacing w:before="80" w:after="80"/>
      </w:pPr>
      <w:r>
        <w:rPr>
          <w:rFonts w:ascii="Arial" w:cs="Arial" w:eastAsia="Arial" w:hAnsi="Arial"/>
          <w:sz w:val="22"/>
          <w:szCs w:val="22"/>
        </w:rPr>
        <w:t xml:space="preserve">Two pre-planned interim analyses are planned: the first at approximately 50% of PFS events (for futility and efficacy), and the second at approximately 75% of PFS events (for efficacy). The Data Safety Monitoring Board (DSMB) will review each interim analysis. Efficacy boundaries will be set per the Lan-DeMets alpha-spending function with O'Brien-Fleming type boundaries.</w:t>
      </w:r>
    </w:p>
    <w:p>
      <w:pPr>
        <w:pStyle w:val="Heading2"/>
        <w:spacing w:before="240" w:after="120"/>
      </w:pPr>
      <w:r>
        <w:rPr>
          <w:rFonts w:ascii="Arial" w:cs="Arial" w:eastAsia="Arial" w:hAnsi="Arial"/>
          <w:b/>
          <w:bCs/>
          <w:color w:val="2E5FAC"/>
          <w:sz w:val="24"/>
          <w:szCs w:val="24"/>
        </w:rPr>
        <w:t xml:space="preserve">7.5 Multiple Testing Procedure</w:t>
      </w:r>
    </w:p>
    <w:p>
      <w:pPr>
        <w:spacing w:before="80" w:after="80"/>
      </w:pPr>
      <w:r>
        <w:rPr>
          <w:rFonts w:ascii="Arial" w:cs="Arial" w:eastAsia="Arial" w:hAnsi="Arial"/>
          <w:sz w:val="22"/>
          <w:szCs w:val="22"/>
        </w:rPr>
        <w:t xml:space="preserve">A hierarchical testing procedure will be used: (1) PFS, (2) OS, (3) ORR, (4) HRQoL. Each subsequent endpoint will only be tested if the preceding endpoint reaches statistical significance, preserving the overall Type I error rate at 0.05 (two-sided).</w:t>
      </w:r>
    </w:p>
    <w:p>
      <w:r>
        <w:br w:type="page"/>
      </w:r>
    </w:p>
    <w:p>
      <w:pPr>
        <w:pStyle w:val="Heading1"/>
        <w:pBdr>
          <w:bottom w:val="single" w:color="2E5FAC" w:sz="4"/>
        </w:pBdr>
        <w:spacing w:before="320" w:after="160"/>
      </w:pPr>
      <w:r>
        <w:rPr>
          <w:rFonts w:ascii="Arial" w:cs="Arial" w:eastAsia="Arial" w:hAnsi="Arial"/>
          <w:b/>
          <w:bCs/>
          <w:color w:val="1F3864"/>
          <w:sz w:val="28"/>
          <w:szCs w:val="28"/>
        </w:rPr>
        <w:t xml:space="preserve">8. SAFETY MONITORING AND REPORTING</w:t>
      </w:r>
    </w:p>
    <w:p>
      <w:pPr>
        <w:pStyle w:val="Heading2"/>
        <w:spacing w:before="240" w:after="120"/>
      </w:pPr>
      <w:r>
        <w:rPr>
          <w:rFonts w:ascii="Arial" w:cs="Arial" w:eastAsia="Arial" w:hAnsi="Arial"/>
          <w:b/>
          <w:bCs/>
          <w:color w:val="2E5FAC"/>
          <w:sz w:val="24"/>
          <w:szCs w:val="24"/>
        </w:rPr>
        <w:t xml:space="preserve">8.1 Adverse Event Definitions and Grading</w:t>
      </w:r>
    </w:p>
    <w:p>
      <w:pPr>
        <w:spacing w:before="80" w:after="80"/>
      </w:pPr>
      <w:r>
        <w:rPr>
          <w:rFonts w:ascii="Arial" w:cs="Arial" w:eastAsia="Arial" w:hAnsi="Arial"/>
          <w:sz w:val="22"/>
          <w:szCs w:val="22"/>
        </w:rPr>
        <w:t xml:space="preserve">All adverse events (AEs) will be graded using the National Cancer Institute Common Terminology Criteria for Adverse Events (NCI CTCAE) Version 5.0. An adverse event of special interest (AESI) list specific to immune checkpoint inhibitor therapy has been predefined and includes: immune-related pneumonitis, colitis, hepatitis, endocrinopathies (thyroiditis, adrenal insufficiency, hypophysitis), nephritis, dermatitis/rash, and infusion-related reactions.</w:t>
      </w:r>
    </w:p>
    <w:p>
      <w:pPr>
        <w:pStyle w:val="Heading2"/>
        <w:spacing w:before="240" w:after="120"/>
      </w:pPr>
      <w:r>
        <w:rPr>
          <w:rFonts w:ascii="Arial" w:cs="Arial" w:eastAsia="Arial" w:hAnsi="Arial"/>
          <w:b/>
          <w:bCs/>
          <w:color w:val="2E5FAC"/>
          <w:sz w:val="24"/>
          <w:szCs w:val="24"/>
        </w:rPr>
        <w:t xml:space="preserve">8.2 Serious Adverse Events</w:t>
      </w:r>
    </w:p>
    <w:p>
      <w:pPr>
        <w:spacing w:before="80" w:after="80"/>
      </w:pPr>
      <w:r>
        <w:rPr>
          <w:rFonts w:ascii="Arial" w:cs="Arial" w:eastAsia="Arial" w:hAnsi="Arial"/>
          <w:sz w:val="22"/>
          <w:szCs w:val="22"/>
        </w:rPr>
        <w:t xml:space="preserve">Any SAE must be reported to the sponsor within 24 hours of the investigator's first awareness. Fatal and unexpected SAEs suspected to be related to study treatment must be reported to the FDA as 7-day and 15-day expedited IND safety reports, respectively, per 21 CFR 312.32.</w:t>
      </w:r>
    </w:p>
    <w:p>
      <w:pPr>
        <w:pStyle w:val="Heading2"/>
        <w:spacing w:before="240" w:after="120"/>
      </w:pPr>
      <w:r>
        <w:rPr>
          <w:rFonts w:ascii="Arial" w:cs="Arial" w:eastAsia="Arial" w:hAnsi="Arial"/>
          <w:b/>
          <w:bCs/>
          <w:color w:val="2E5FAC"/>
          <w:sz w:val="24"/>
          <w:szCs w:val="24"/>
        </w:rPr>
        <w:t xml:space="preserve">8.3 Data Safety Monitoring Board (DSMB)</w:t>
      </w:r>
    </w:p>
    <w:p>
      <w:pPr>
        <w:spacing w:before="80" w:after="80"/>
      </w:pPr>
      <w:r>
        <w:rPr>
          <w:rFonts w:ascii="Arial" w:cs="Arial" w:eastAsia="Arial" w:hAnsi="Arial"/>
          <w:sz w:val="22"/>
          <w:szCs w:val="22"/>
        </w:rPr>
        <w:t xml:space="preserve">An independent DSMB consisting of at least 3 experts in oncology, biostatistics, and clinical trial methodology will review unblinded safety and efficacy data at prespecified intervals and at the interim analyses. The DSMB charter governs all DSMB activities and decision criteria.</w:t>
      </w:r>
    </w:p>
    <w:p>
      <w:r>
        <w:br w:type="page"/>
      </w:r>
    </w:p>
    <w:p>
      <w:pPr>
        <w:pStyle w:val="Heading1"/>
        <w:pBdr>
          <w:bottom w:val="single" w:color="2E5FAC" w:sz="4"/>
        </w:pBdr>
        <w:spacing w:before="320" w:after="160"/>
      </w:pPr>
      <w:r>
        <w:rPr>
          <w:rFonts w:ascii="Arial" w:cs="Arial" w:eastAsia="Arial" w:hAnsi="Arial"/>
          <w:b/>
          <w:bCs/>
          <w:color w:val="1F3864"/>
          <w:sz w:val="28"/>
          <w:szCs w:val="28"/>
        </w:rPr>
        <w:t xml:space="preserve">9. ETHICAL CONSIDERATIONS</w:t>
      </w:r>
    </w:p>
    <w:p>
      <w:pPr>
        <w:pStyle w:val="Heading2"/>
        <w:spacing w:before="240" w:after="120"/>
      </w:pPr>
      <w:r>
        <w:rPr>
          <w:rFonts w:ascii="Arial" w:cs="Arial" w:eastAsia="Arial" w:hAnsi="Arial"/>
          <w:b/>
          <w:bCs/>
          <w:color w:val="2E5FAC"/>
          <w:sz w:val="24"/>
          <w:szCs w:val="24"/>
        </w:rPr>
        <w:t xml:space="preserve">9.1 Regulatory Compliance</w:t>
      </w:r>
    </w:p>
    <w:p>
      <w:pPr>
        <w:spacing w:before="80" w:after="80"/>
      </w:pPr>
      <w:r>
        <w:rPr>
          <w:rFonts w:ascii="Arial" w:cs="Arial" w:eastAsia="Arial" w:hAnsi="Arial"/>
          <w:sz w:val="22"/>
          <w:szCs w:val="22"/>
        </w:rPr>
        <w:t xml:space="preserve">This study will be conducted in compliance with the protocol, the principles of the Declaration of Helsinki (as revised in 2013), ICH Good Clinical Practice (E6(R2)), applicable FDA regulations (21 CFR Parts 50, 54, 56, and 312), and all applicable local regulations.</w:t>
      </w:r>
    </w:p>
    <w:p>
      <w:pPr>
        <w:pStyle w:val="Heading2"/>
        <w:spacing w:before="240" w:after="120"/>
      </w:pPr>
      <w:r>
        <w:rPr>
          <w:rFonts w:ascii="Arial" w:cs="Arial" w:eastAsia="Arial" w:hAnsi="Arial"/>
          <w:b/>
          <w:bCs/>
          <w:color w:val="2E5FAC"/>
          <w:sz w:val="24"/>
          <w:szCs w:val="24"/>
        </w:rPr>
        <w:t xml:space="preserve">9.2 Institutional Review Board / Independent Ethics Committee</w:t>
      </w:r>
    </w:p>
    <w:p>
      <w:pPr>
        <w:spacing w:before="80" w:after="80"/>
      </w:pPr>
      <w:r>
        <w:rPr>
          <w:rFonts w:ascii="Arial" w:cs="Arial" w:eastAsia="Arial" w:hAnsi="Arial"/>
          <w:sz w:val="22"/>
          <w:szCs w:val="22"/>
        </w:rPr>
        <w:t xml:space="preserve">The protocol, informed consent forms, and all subject-facing materials must receive written approval from the institutional review board (IRB) or independent ethics committee (IEC) prior to site initiation. Annual continuing review and prompt reporting of protocol deviations, SAEs, and DSMB recommendations are required.</w:t>
      </w:r>
    </w:p>
    <w:p>
      <w:pPr>
        <w:pStyle w:val="Heading2"/>
        <w:spacing w:before="240" w:after="120"/>
      </w:pPr>
      <w:r>
        <w:rPr>
          <w:rFonts w:ascii="Arial" w:cs="Arial" w:eastAsia="Arial" w:hAnsi="Arial"/>
          <w:b/>
          <w:bCs/>
          <w:color w:val="2E5FAC"/>
          <w:sz w:val="24"/>
          <w:szCs w:val="24"/>
        </w:rPr>
        <w:t xml:space="preserve">9.3 Informed Consent</w:t>
      </w:r>
    </w:p>
    <w:p>
      <w:pPr>
        <w:spacing w:before="80" w:after="80"/>
      </w:pPr>
      <w:r>
        <w:rPr>
          <w:rFonts w:ascii="Arial" w:cs="Arial" w:eastAsia="Arial" w:hAnsi="Arial"/>
          <w:sz w:val="22"/>
          <w:szCs w:val="22"/>
        </w:rPr>
        <w:t xml:space="preserve">Written informed consent must be obtained from each patient prior to any study-specific procedures, including Screening assessments. The informed consent process must confirm the patient's voluntary participation, understanding of risks and benefits, right to withdraw at any time, and confidentiality protections. Consent documentation will be retained in the Investigator Site File.</w:t>
      </w:r>
    </w:p>
    <w:p>
      <w:pPr>
        <w:pStyle w:val="Heading2"/>
        <w:spacing w:before="240" w:after="120"/>
      </w:pPr>
      <w:r>
        <w:rPr>
          <w:rFonts w:ascii="Arial" w:cs="Arial" w:eastAsia="Arial" w:hAnsi="Arial"/>
          <w:b/>
          <w:bCs/>
          <w:color w:val="2E5FAC"/>
          <w:sz w:val="24"/>
          <w:szCs w:val="24"/>
        </w:rPr>
        <w:t xml:space="preserve">9.4 Patient Confidentiality</w:t>
      </w:r>
    </w:p>
    <w:p>
      <w:pPr>
        <w:spacing w:before="80" w:after="80"/>
      </w:pPr>
      <w:r>
        <w:rPr>
          <w:rFonts w:ascii="Arial" w:cs="Arial" w:eastAsia="Arial" w:hAnsi="Arial"/>
          <w:sz w:val="22"/>
          <w:szCs w:val="22"/>
        </w:rPr>
        <w:t xml:space="preserve">All data will be collected, stored, and transmitted in accordance with applicable privacy laws, including HIPAA (US), GDPR (EU), and local equivalent regulations. Patients will be identified by a unique Subject ID (Site Number – Patient Sequence Number) and date of birth. No personal identifiers will be transmitted to the sponsor.</w:t>
      </w:r>
    </w:p>
    <w:p>
      <w:r>
        <w:br w:type="page"/>
      </w:r>
    </w:p>
    <w:p>
      <w:pPr>
        <w:pStyle w:val="Heading1"/>
        <w:pBdr>
          <w:bottom w:val="single" w:color="2E5FAC" w:sz="4"/>
        </w:pBdr>
        <w:spacing w:before="320" w:after="160"/>
      </w:pPr>
      <w:r>
        <w:rPr>
          <w:rFonts w:ascii="Arial" w:cs="Arial" w:eastAsia="Arial" w:hAnsi="Arial"/>
          <w:b/>
          <w:bCs/>
          <w:color w:val="1F3864"/>
          <w:sz w:val="28"/>
          <w:szCs w:val="28"/>
        </w:rPr>
        <w:t xml:space="preserve">10. DATA MANAGEMENT</w:t>
      </w:r>
    </w:p>
    <w:p>
      <w:pPr>
        <w:spacing w:before="80" w:after="80"/>
      </w:pPr>
      <w:r>
        <w:rPr>
          <w:rFonts w:ascii="Arial" w:cs="Arial" w:eastAsia="Arial" w:hAnsi="Arial"/>
          <w:sz w:val="22"/>
          <w:szCs w:val="22"/>
        </w:rPr>
        <w:t xml:space="preserve">All clinical data will be collected electronically using a validated electronic data capture (EDC) system (Medidata Rave or equivalent). eCRF completion guidelines will be provided at site initiation training. Source data verification (SDV) will be conducted by sponsor-appointed clinical research associates (CRAs) per the monitoring plan. Data quality checks and edit queries will be performed centrally. The clinical database will be locked upon completion of all data reviews and query resolution, prior to unblinding for the final analysis.</w:t>
      </w:r>
    </w:p>
    <w:p>
      <w:r>
        <w:br w:type="page"/>
      </w:r>
    </w:p>
    <w:p>
      <w:pPr>
        <w:pStyle w:val="Heading1"/>
        <w:pBdr>
          <w:bottom w:val="single" w:color="2E5FAC" w:sz="4"/>
        </w:pBdr>
        <w:spacing w:before="320" w:after="160"/>
      </w:pPr>
      <w:r>
        <w:rPr>
          <w:rFonts w:ascii="Arial" w:cs="Arial" w:eastAsia="Arial" w:hAnsi="Arial"/>
          <w:b/>
          <w:bCs/>
          <w:color w:val="1F3864"/>
          <w:sz w:val="28"/>
          <w:szCs w:val="28"/>
        </w:rPr>
        <w:t xml:space="preserve">11. STUDY ADMINISTRATION</w:t>
      </w:r>
    </w:p>
    <w:p>
      <w:pPr>
        <w:pStyle w:val="Heading2"/>
        <w:spacing w:before="240" w:after="120"/>
      </w:pPr>
      <w:r>
        <w:rPr>
          <w:rFonts w:ascii="Arial" w:cs="Arial" w:eastAsia="Arial" w:hAnsi="Arial"/>
          <w:b/>
          <w:bCs/>
          <w:color w:val="2E5FAC"/>
          <w:sz w:val="24"/>
          <w:szCs w:val="24"/>
        </w:rPr>
        <w:t xml:space="preserve">11.1 Protocol Amendments</w:t>
      </w:r>
    </w:p>
    <w:p>
      <w:pPr>
        <w:spacing w:before="80" w:after="80"/>
      </w:pPr>
      <w:r>
        <w:rPr>
          <w:rFonts w:ascii="Arial" w:cs="Arial" w:eastAsia="Arial" w:hAnsi="Arial"/>
          <w:sz w:val="22"/>
          <w:szCs w:val="22"/>
        </w:rPr>
        <w:t xml:space="preserve">Any changes to the protocol must be submitted as formal protocol amendments. Substantial amendments require prior IRB/IEC approval and, where applicable, Health Authority approval before implementation. Non-substantial administrative amendments may be implemented immediately with concurrent notification to relevant bodies.</w:t>
      </w:r>
    </w:p>
    <w:p>
      <w:pPr>
        <w:pStyle w:val="Heading2"/>
        <w:spacing w:before="240" w:after="120"/>
      </w:pPr>
      <w:r>
        <w:rPr>
          <w:rFonts w:ascii="Arial" w:cs="Arial" w:eastAsia="Arial" w:hAnsi="Arial"/>
          <w:b/>
          <w:bCs/>
          <w:color w:val="2E5FAC"/>
          <w:sz w:val="24"/>
          <w:szCs w:val="24"/>
        </w:rPr>
        <w:t xml:space="preserve">11.2 Publication Policy</w:t>
      </w:r>
    </w:p>
    <w:p>
      <w:pPr>
        <w:spacing w:before="80" w:after="80"/>
      </w:pPr>
      <w:r>
        <w:rPr>
          <w:rFonts w:ascii="Arial" w:cs="Arial" w:eastAsia="Arial" w:hAnsi="Arial"/>
          <w:sz w:val="22"/>
          <w:szCs w:val="22"/>
        </w:rPr>
        <w:t xml:space="preserve">Results of this study will be published in peer-reviewed journals and presented at major oncology conferences. The sponsor retains the right to review and provide comments on any proposed publication or presentation. Publication rights and authorship will be governed by the Publication Policy Agreement.</w:t>
      </w:r>
    </w:p>
    <w:p>
      <w:pPr>
        <w:pStyle w:val="Heading2"/>
        <w:spacing w:before="240" w:after="120"/>
      </w:pPr>
      <w:r>
        <w:rPr>
          <w:rFonts w:ascii="Arial" w:cs="Arial" w:eastAsia="Arial" w:hAnsi="Arial"/>
          <w:b/>
          <w:bCs/>
          <w:color w:val="2E5FAC"/>
          <w:sz w:val="24"/>
          <w:szCs w:val="24"/>
        </w:rPr>
        <w:t xml:space="preserve">11.3 Insurance and Indemnification</w:t>
      </w:r>
    </w:p>
    <w:p>
      <w:pPr>
        <w:spacing w:before="80" w:after="80"/>
      </w:pPr>
      <w:r>
        <w:rPr>
          <w:rFonts w:ascii="Arial" w:cs="Arial" w:eastAsia="Arial" w:hAnsi="Arial"/>
          <w:sz w:val="22"/>
          <w:szCs w:val="22"/>
        </w:rPr>
        <w:t xml:space="preserve">Oncobiologics, Inc. maintains appropriate clinical trial liability insurance covering all participating sites and patients injured as a result of their participation in this study, as required by applicable regulations and agreements with participating institutions.</w:t>
      </w:r>
    </w:p>
    <w:p>
      <w:r>
        <w:br w:type="page"/>
      </w:r>
    </w:p>
    <w:p>
      <w:pPr>
        <w:pStyle w:val="Heading1"/>
        <w:pBdr>
          <w:bottom w:val="single" w:color="2E5FAC" w:sz="4"/>
        </w:pBdr>
        <w:spacing w:before="320" w:after="160"/>
      </w:pPr>
      <w:r>
        <w:rPr>
          <w:rFonts w:ascii="Arial" w:cs="Arial" w:eastAsia="Arial" w:hAnsi="Arial"/>
          <w:b/>
          <w:bCs/>
          <w:color w:val="1F3864"/>
          <w:sz w:val="28"/>
          <w:szCs w:val="28"/>
        </w:rPr>
        <w:t xml:space="preserve">12. REFERENCES</w:t>
      </w:r>
    </w:p>
    <w:p>
      <w:pPr>
        <w:spacing w:before="80" w:after="80"/>
      </w:pPr>
      <w:r>
        <w:rPr>
          <w:rFonts w:ascii="Arial" w:cs="Arial" w:eastAsia="Arial" w:hAnsi="Arial"/>
          <w:sz w:val="22"/>
          <w:szCs w:val="22"/>
        </w:rPr>
        <w:t xml:space="preserve">1. André T, et al. Pembrolizumab in Microsatellite-Instability-High Advanced Colorectal Cancer. N Engl J Med. 2020;383:2207-2218.</w:t>
      </w:r>
    </w:p>
    <w:p>
      <w:pPr>
        <w:spacing w:before="80" w:after="80"/>
      </w:pPr>
      <w:r>
        <w:rPr>
          <w:rFonts w:ascii="Arial" w:cs="Arial" w:eastAsia="Arial" w:hAnsi="Arial"/>
          <w:sz w:val="22"/>
          <w:szCs w:val="22"/>
        </w:rPr>
        <w:t xml:space="preserve">2. Overman MJ, et al. Nivolumab in patients with metastatic DNA mismatch repair-deficient or microsatellite instability-high colorectal cancer (CheckMate 142). Lancet Oncol. 2017;18:1182-1191.</w:t>
      </w:r>
    </w:p>
    <w:p>
      <w:pPr>
        <w:spacing w:before="80" w:after="80"/>
      </w:pPr>
      <w:r>
        <w:rPr>
          <w:rFonts w:ascii="Arial" w:cs="Arial" w:eastAsia="Arial" w:hAnsi="Arial"/>
          <w:sz w:val="22"/>
          <w:szCs w:val="22"/>
        </w:rPr>
        <w:t xml:space="preserve">3. Eisenhauer EA, et al. New response evaluation criteria in solid tumours: revised RECIST guideline (version 1.1). Eur J Cancer. 2009;45:228-247.</w:t>
      </w:r>
    </w:p>
    <w:p>
      <w:pPr>
        <w:spacing w:before="80" w:after="80"/>
      </w:pPr>
      <w:r>
        <w:rPr>
          <w:rFonts w:ascii="Arial" w:cs="Arial" w:eastAsia="Arial" w:hAnsi="Arial"/>
          <w:sz w:val="22"/>
          <w:szCs w:val="22"/>
        </w:rPr>
        <w:t xml:space="preserve">4. Common Terminology Criteria for Adverse Events (CTCAE) Version 5.0. National Cancer Institute. November 27, 2017.</w:t>
      </w:r>
    </w:p>
    <w:p>
      <w:pPr>
        <w:spacing w:before="80" w:after="80"/>
      </w:pPr>
      <w:r>
        <w:rPr>
          <w:rFonts w:ascii="Arial" w:cs="Arial" w:eastAsia="Arial" w:hAnsi="Arial"/>
          <w:sz w:val="22"/>
          <w:szCs w:val="22"/>
        </w:rPr>
        <w:t xml:space="preserve">5. ICH Harmonised Guideline E6(R2). Good Clinical Practice. International Council for Harmonisation. 2016.</w:t>
      </w:r>
    </w:p>
    <w:p>
      <w:pPr>
        <w:spacing w:before="80" w:after="80"/>
      </w:pPr>
      <w:r>
        <w:rPr>
          <w:rFonts w:ascii="Arial" w:cs="Arial" w:eastAsia="Arial" w:hAnsi="Arial"/>
          <w:sz w:val="22"/>
          <w:szCs w:val="22"/>
        </w:rPr>
        <w:t xml:space="preserve">6. FDA Guidance for Industry: Clinical Trial Endpoints for the Approval of Cancer Drugs and Biologics. 2018.</w:t>
      </w:r>
    </w:p>
    <w:p>
      <w:pPr>
        <w:spacing w:before="80" w:after="80"/>
      </w:pPr>
      <w:r>
        <w:rPr>
          <w:rFonts w:ascii="Arial" w:cs="Arial" w:eastAsia="Arial" w:hAnsi="Arial"/>
          <w:sz w:val="22"/>
          <w:szCs w:val="22"/>
        </w:rPr>
        <w:t xml:space="preserve">7. FDA Guidance for Industry: Immune Checkpoint Inhibitors for the Treatment of Cancer. 2022.</w:t>
      </w:r>
    </w:p>
    <w:p>
      <w:pPr>
        <w:spacing w:before="80" w:after="80"/>
      </w:pPr>
      <w:r>
        <w:rPr>
          <w:rFonts w:ascii="Arial" w:cs="Arial" w:eastAsia="Arial" w:hAnsi="Arial"/>
          <w:sz w:val="22"/>
          <w:szCs w:val="22"/>
        </w:rPr>
        <w:t xml:space="preserve">8. GLOBOCAN 2022. International Agency for Research on Cancer. World Cancer Report 2022.</w:t>
      </w:r>
    </w:p>
    <w:p>
      <w:r>
        <w:br w:type="page"/>
      </w:r>
    </w:p>
    <w:p>
      <w:pPr>
        <w:pStyle w:val="Heading1"/>
        <w:pBdr>
          <w:bottom w:val="single" w:color="2E5FAC" w:sz="4"/>
        </w:pBdr>
        <w:spacing w:before="320" w:after="160"/>
      </w:pPr>
      <w:r>
        <w:rPr>
          <w:rFonts w:ascii="Arial" w:cs="Arial" w:eastAsia="Arial" w:hAnsi="Arial"/>
          <w:b/>
          <w:bCs/>
          <w:color w:val="1F3864"/>
          <w:sz w:val="28"/>
          <w:szCs w:val="28"/>
        </w:rPr>
        <w:t xml:space="preserve">APPENDICES</w:t>
      </w:r>
    </w:p>
    <w:p>
      <w:pPr>
        <w:pStyle w:val="Heading2"/>
        <w:spacing w:before="240" w:after="120"/>
      </w:pPr>
      <w:r>
        <w:rPr>
          <w:rFonts w:ascii="Arial" w:cs="Arial" w:eastAsia="Arial" w:hAnsi="Arial"/>
          <w:b/>
          <w:bCs/>
          <w:color w:val="2E5FAC"/>
          <w:sz w:val="24"/>
          <w:szCs w:val="24"/>
        </w:rPr>
        <w:t xml:space="preserve">Appendix A: ECOG Performance Status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5FAC" w:sz="1"/>
              <w:left w:val="single" w:color="2E5FAC" w:sz="1"/>
              <w:bottom w:val="single" w:color="2E5FAC" w:sz="1"/>
              <w:right w:val="single" w:color="2E5FA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7920"/>
            <w:tcBorders>
              <w:top w:val="single" w:color="2E5FAC" w:sz="1"/>
              <w:left w:val="single" w:color="2E5FAC" w:sz="1"/>
              <w:bottom w:val="single" w:color="2E5FAC" w:sz="1"/>
              <w:right w:val="single" w:color="2E5FA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4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0</w:t>
            </w:r>
          </w:p>
        </w:tc>
        <w:tc>
          <w:tcPr>
            <w:tcW w:type="dxa" w:w="79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Fully active; able to carry on all pre-disease activities without restriction</w:t>
            </w:r>
          </w:p>
        </w:tc>
      </w:tr>
      <w:tr>
        <w:tc>
          <w:tcPr>
            <w:tcW w:type="dxa" w:w="144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1</w:t>
            </w:r>
          </w:p>
        </w:tc>
        <w:tc>
          <w:tcPr>
            <w:tcW w:type="dxa" w:w="792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Restricted in physically strenuous activity but ambulatory and able to carry out light work</w:t>
            </w:r>
          </w:p>
        </w:tc>
      </w:tr>
      <w:tr>
        <w:tc>
          <w:tcPr>
            <w:tcW w:type="dxa" w:w="144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2</w:t>
            </w:r>
          </w:p>
        </w:tc>
        <w:tc>
          <w:tcPr>
            <w:tcW w:type="dxa" w:w="79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Ambulatory and capable of all self-care but unable to carry out any work activities; up and about &gt; 50% of waking hours</w:t>
            </w:r>
          </w:p>
        </w:tc>
      </w:tr>
      <w:tr>
        <w:tc>
          <w:tcPr>
            <w:tcW w:type="dxa" w:w="144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3</w:t>
            </w:r>
          </w:p>
        </w:tc>
        <w:tc>
          <w:tcPr>
            <w:tcW w:type="dxa" w:w="792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Capable of only limited self-care; confined to bed or chair &gt; 50% of waking hours</w:t>
            </w:r>
          </w:p>
        </w:tc>
      </w:tr>
      <w:tr>
        <w:tc>
          <w:tcPr>
            <w:tcW w:type="dxa" w:w="144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4</w:t>
            </w:r>
          </w:p>
        </w:tc>
        <w:tc>
          <w:tcPr>
            <w:tcW w:type="dxa" w:w="792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Completely disabled; cannot carry on any self-care; totally confined to bed or chair</w:t>
            </w:r>
          </w:p>
        </w:tc>
      </w:tr>
      <w:tr>
        <w:tc>
          <w:tcPr>
            <w:tcW w:type="dxa" w:w="144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5</w:t>
            </w:r>
          </w:p>
        </w:tc>
        <w:tc>
          <w:tcPr>
            <w:tcW w:type="dxa" w:w="792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Dead</w:t>
            </w:r>
          </w:p>
        </w:tc>
      </w:tr>
    </w:tbl>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4"/>
          <w:szCs w:val="24"/>
        </w:rPr>
        <w:t xml:space="preserve">Appendix B: RECIST v1.1 Response Criteria Summary</w:t>
      </w:r>
    </w:p>
    <w:p>
      <w:pPr>
        <w:spacing w:before="80" w:after="80"/>
      </w:pPr>
      <w:r>
        <w:rPr>
          <w:rFonts w:ascii="Arial" w:cs="Arial" w:eastAsia="Arial" w:hAnsi="Arial"/>
          <w:sz w:val="22"/>
          <w:szCs w:val="22"/>
        </w:rPr>
        <w:t xml:space="preserve">Complete Response (CR): Disappearance of all target lesions and all non-target lesions; normalization of tumor marker levels.</w:t>
      </w:r>
    </w:p>
    <w:p>
      <w:pPr>
        <w:spacing w:before="80" w:after="80"/>
      </w:pPr>
      <w:r>
        <w:rPr>
          <w:rFonts w:ascii="Arial" w:cs="Arial" w:eastAsia="Arial" w:hAnsi="Arial"/>
          <w:sz w:val="22"/>
          <w:szCs w:val="22"/>
        </w:rPr>
        <w:t xml:space="preserve">Partial Response (PR): &gt;= 30% decrease in the sum of diameters of target lesions, taking as reference the baseline sum of diameters.</w:t>
      </w:r>
    </w:p>
    <w:p>
      <w:pPr>
        <w:spacing w:before="80" w:after="80"/>
      </w:pPr>
      <w:r>
        <w:rPr>
          <w:rFonts w:ascii="Arial" w:cs="Arial" w:eastAsia="Arial" w:hAnsi="Arial"/>
          <w:sz w:val="22"/>
          <w:szCs w:val="22"/>
        </w:rPr>
        <w:t xml:space="preserve">Progressive Disease (PD): &gt;= 20% increase in the sum of diameters of target lesions (absolute increase of &gt;= 5 mm required), or unequivocal progression of non-target lesions, or appearance of new lesions.</w:t>
      </w:r>
    </w:p>
    <w:p>
      <w:pPr>
        <w:spacing w:before="80" w:after="80"/>
      </w:pPr>
      <w:r>
        <w:rPr>
          <w:rFonts w:ascii="Arial" w:cs="Arial" w:eastAsia="Arial" w:hAnsi="Arial"/>
          <w:sz w:val="22"/>
          <w:szCs w:val="22"/>
        </w:rPr>
        <w:t xml:space="preserve">Stable Disease (SD): Neither sufficient shrinkage to qualify for PR nor sufficient increase to qualify for PD.</w:t>
      </w: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4"/>
          <w:szCs w:val="24"/>
        </w:rPr>
        <w:t xml:space="preserve">Appendix C: Protocol Amendment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2E5FAC" w:sz="1"/>
              <w:left w:val="single" w:color="2E5FAC" w:sz="1"/>
              <w:bottom w:val="single" w:color="2E5FAC" w:sz="1"/>
              <w:right w:val="single" w:color="2E5FA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Amendment Number</w:t>
            </w:r>
          </w:p>
        </w:tc>
        <w:tc>
          <w:tcPr>
            <w:tcW w:type="dxa" w:w="2200"/>
            <w:tcBorders>
              <w:top w:val="single" w:color="2E5FAC" w:sz="1"/>
              <w:left w:val="single" w:color="2E5FAC" w:sz="1"/>
              <w:bottom w:val="single" w:color="2E5FAC" w:sz="1"/>
              <w:right w:val="single" w:color="2E5FA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960"/>
            <w:tcBorders>
              <w:top w:val="single" w:color="2E5FAC" w:sz="1"/>
              <w:left w:val="single" w:color="2E5FAC" w:sz="1"/>
              <w:bottom w:val="single" w:color="2E5FAC" w:sz="1"/>
              <w:right w:val="single" w:color="2E5FA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of Changes</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Original</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16 March 2026</w:t>
            </w:r>
          </w:p>
        </w:tc>
        <w:tc>
          <w:tcPr>
            <w:tcW w:type="dxa" w:w="49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r>
              <w:rPr>
                <w:rFonts w:ascii="Arial" w:cs="Arial" w:eastAsia="Arial" w:hAnsi="Arial"/>
                <w:sz w:val="20"/>
                <w:szCs w:val="20"/>
              </w:rPr>
              <w:t xml:space="preserve">Original protocol</w:t>
            </w:r>
          </w:p>
        </w:tc>
      </w:tr>
      <w:tr>
        <w:tc>
          <w:tcPr>
            <w:tcW w:type="dxa" w:w="2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Amendment 1</w:t>
            </w:r>
          </w:p>
        </w:tc>
        <w:tc>
          <w:tcPr>
            <w:tcW w:type="dxa" w:w="22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[TBD]</w:t>
            </w:r>
          </w:p>
        </w:tc>
        <w:tc>
          <w:tcPr>
            <w:tcW w:type="dxa" w:w="49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r>
              <w:rPr>
                <w:rFonts w:ascii="Arial" w:cs="Arial" w:eastAsia="Arial" w:hAnsi="Arial"/>
                <w:sz w:val="20"/>
                <w:szCs w:val="20"/>
              </w:rPr>
              <w:t xml:space="preserve">[To be completed as amendments occur]</w:t>
            </w:r>
          </w:p>
        </w:tc>
      </w:tr>
    </w:tbl>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color w:val="2E5FAC"/>
          <w:sz w:val="24"/>
          <w:szCs w:val="24"/>
        </w:rPr>
        <w:t xml:space="preserve">Appendix D: Signature Page</w:t>
      </w:r>
    </w:p>
    <w:p>
      <w:pPr>
        <w:spacing w:before="80" w:after="80"/>
      </w:pPr>
      <w:r>
        <w:rPr>
          <w:rFonts w:ascii="Arial" w:cs="Arial" w:eastAsia="Arial" w:hAnsi="Arial"/>
          <w:sz w:val="22"/>
          <w:szCs w:val="22"/>
        </w:rPr>
        <w:t xml:space="preserve">By signing below, the Principal Investigator confirms that the protocol has been reviewed and the study will be conducted in accordance with ICH GCP, applicable regulatory requirements, and the principles of the Declaration of Helsinki.</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Principal Investigator Signature: _______________________________   Date: ________________</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Printed Name: ________________________________   Institution: ____________________________</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Sponsor Medical Monitor Signature: _______________________________   Date: ________________</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Sponsor Study Director Signature: _______________________________   Date: ________________</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C" w:sz="2"/>
      </w:pBdr>
      <w:tabs>
        <w:tab w:val="center" w:pos="4680"/>
        <w:tab w:val="right" w:pos="9360"/>
      </w:tabs>
    </w:pPr>
    <w:r>
      <w:rPr>
        <w:rFonts w:ascii="Arial" w:cs="Arial" w:eastAsia="Arial" w:hAnsi="Arial"/>
        <w:color w:val="555555"/>
        <w:sz w:val="18"/>
        <w:szCs w:val="18"/>
      </w:rPr>
      <w:t xml:space="preserve">Version 1.0  |  16 March 2026</w:t>
    </w:r>
    <w:r>
      <w:rPr>
        <w:rFonts w:ascii="Arial" w:cs="Arial" w:eastAsia="Arial" w:hAnsi="Arial"/>
        <w:sz w:val="18"/>
        <w:szCs w:val="18"/>
      </w:rPr>
      <w:t xml:space="preserve">	</w:t>
    </w:r>
    <w:fldSimple w:instr="PAGE"/>
    <w:r>
      <w:rPr>
        <w:rFonts w:ascii="Arial" w:cs="Arial" w:eastAsia="Arial" w:hAnsi="Arial"/>
        <w:color w:val="555555"/>
        <w:sz w:val="18"/>
        <w:szCs w:val="18"/>
      </w:rPr>
      <w:t xml:space="preserve">	Oncobiologics, Inc.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4"/>
      </w:pBdr>
      <w:tabs>
        <w:tab w:val="right" w:pos="8360"/>
      </w:tabs>
      <w:spacing w:after="80"/>
    </w:pPr>
    <w:r>
      <w:rPr>
        <w:rFonts w:ascii="Arial" w:cs="Arial" w:eastAsia="Arial" w:hAnsi="Arial"/>
        <w:b/>
        <w:bCs/>
        <w:color w:val="1F3864"/>
        <w:sz w:val="18"/>
        <w:szCs w:val="18"/>
      </w:rPr>
      <w:t xml:space="preserve">CERVIMAB-301  |  Phase 3 Clinical Study Protocol</w:t>
    </w:r>
    <w:r>
      <w:rPr>
        <w:rFonts w:ascii="Arial" w:cs="Arial" w:eastAsia="Arial" w:hAnsi="Arial"/>
        <w:sz w:val="18"/>
        <w:szCs w:val="18"/>
      </w:rPr>
      <w:t xml:space="preserve">	</w:t>
    </w:r>
    <w:r>
      <w:rPr>
        <w:rFonts w:ascii="Arial" w:cs="Arial" w:eastAsia="Arial" w:hAnsi="Arial"/>
        <w:b/>
        <w:bCs/>
        <w:color w:val="C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FAC"/>
      <w:sz w:val="24"/>
      <w:szCs w:val="24"/>
    </w:rPr>
  </w:style>
  <w:style w:type="paragraph" w:styleId="Heading3">
    <w:name w:val="Heading 3"/>
    <w:basedOn w:val="Normal"/>
    <w:next w:val="Normal"/>
    <w:qFormat/>
    <w:pPr>
      <w:spacing w:before="200" w:after="8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2026-03-16T14:47:37.641Z</dcterms:created>
  <dcterms:modified xsi:type="dcterms:W3CDTF">2026-03-16T14:47:37.641Z</dcterms:modified>
</cp:coreProperties>
</file>

<file path=docProps/custom.xml><?xml version="1.0" encoding="utf-8"?>
<Properties xmlns="http://schemas.openxmlformats.org/officeDocument/2006/custom-properties" xmlns:vt="http://schemas.openxmlformats.org/officeDocument/2006/docPropsVTypes"/>
</file>