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BIOLOGICS LICENSE APPLICATION</w:t>
      </w:r>
    </w:p>
    <w:p>
      <w:pPr>
        <w:spacing w:before="80" w:after="80"/>
        <w:jc w:val="center"/>
      </w:pPr>
      <w:r>
        <w:rPr>
          <w:rFonts w:ascii="Arial" w:cs="Arial" w:eastAsia="Arial" w:hAnsi="Arial"/>
          <w:b/>
          <w:bCs/>
          <w:color w:val="2E75B6"/>
          <w:sz w:val="28"/>
          <w:szCs w:val="28"/>
        </w:rPr>
        <w:t xml:space="preserve">BLA Number: 761XXX</w:t>
      </w:r>
    </w:p>
    <w:p>
      <w:pPr>
        <w:pBdr>
          <w:bottom w:val="single" w:color="2E75B6" w:sz="8" w:space="8"/>
        </w:pBdr>
        <w:spacing w:before="0" w:after="320"/>
        <w:jc w:val="center"/>
      </w:pPr>
      <w:r>
        <w:rPr>
          <w:rFonts w:ascii="Arial" w:cs="Arial" w:eastAsia="Arial" w:hAnsi="Arial"/>
          <w:i/>
          <w:iCs/>
          <w:color w:val="555555"/>
          <w:sz w:val="22"/>
          <w:szCs w:val="22"/>
        </w:rPr>
        <w:t xml:space="preserve">Electronic Common Technical Document (eCTD) Format</w:t>
      </w:r>
    </w:p>
    <w:p>
      <w:pPr>
        <w:spacing w:before="60" w:after="60"/>
      </w:pPr>
      <w:r>
        <w:t xml:space="preserve"/>
      </w:r>
    </w:p>
    <w:p>
      <w:pPr>
        <w:spacing w:before="120" w:after="40"/>
        <w:jc w:val="center"/>
      </w:pPr>
      <w:r>
        <w:rPr>
          <w:rFonts w:ascii="Arial" w:cs="Arial" w:eastAsia="Arial" w:hAnsi="Arial"/>
          <w:b/>
          <w:bCs/>
          <w:color w:val="1F3864"/>
          <w:sz w:val="56"/>
          <w:szCs w:val="56"/>
        </w:rPr>
        <w:t xml:space="preserve">CERVIMAB</w:t>
      </w:r>
    </w:p>
    <w:p>
      <w:pPr>
        <w:spacing w:before="0" w:after="40"/>
        <w:jc w:val="center"/>
      </w:pPr>
      <w:r>
        <w:rPr>
          <w:rFonts w:ascii="Arial" w:cs="Arial" w:eastAsia="Arial" w:hAnsi="Arial"/>
          <w:i/>
          <w:iCs/>
          <w:color w:val="444444"/>
          <w:sz w:val="26"/>
          <w:szCs w:val="26"/>
        </w:rPr>
        <w:t xml:space="preserve">(anti-PD-1 monoclonal antibody)</w:t>
      </w:r>
    </w:p>
    <w:p>
      <w:pPr>
        <w:spacing w:before="0" w:after="280"/>
        <w:jc w:val="center"/>
      </w:pPr>
      <w:r>
        <w:rPr>
          <w:rFonts w:ascii="Arial" w:cs="Arial" w:eastAsia="Arial" w:hAnsi="Arial"/>
          <w:color w:val="333333"/>
          <w:sz w:val="24"/>
          <w:szCs w:val="24"/>
        </w:rPr>
        <w:t xml:space="preserve">200 mg/4 mL (50 mg/mL) Solution for Intravenous Infusion</w:t>
      </w:r>
    </w:p>
    <w:p>
      <w:pPr>
        <w:spacing w:before="120" w:after="60"/>
        <w:jc w:val="center"/>
      </w:pPr>
      <w:r>
        <w:rPr>
          <w:rFonts w:ascii="Arial" w:cs="Arial" w:eastAsia="Arial" w:hAnsi="Arial"/>
          <w:b/>
          <w:bCs/>
          <w:color w:val="1F3864"/>
          <w:sz w:val="22"/>
          <w:szCs w:val="22"/>
        </w:rPr>
        <w:t xml:space="preserve">PROPOSED INDICATION:</w:t>
      </w:r>
    </w:p>
    <w:p>
      <w:pPr>
        <w:spacing w:before="0" w:after="280"/>
        <w:jc w:val="center"/>
      </w:pPr>
      <w:r>
        <w:rPr>
          <w:rFonts w:ascii="Arial" w:cs="Arial" w:eastAsia="Arial" w:hAnsi="Arial"/>
          <w:color w:val="333333"/>
          <w:sz w:val="22"/>
          <w:szCs w:val="22"/>
        </w:rPr>
        <w:t xml:space="preserve">Treatment of adult patients with unresectable or metastatic mismatch repair-deficient (dMMR) / microsatellite instability-high (MSI-H) colorectal cancer (CRC) that has progressed following treatment with fluoropyrimidine-, oxaliplatin-, and irinotecan-based chemotherapy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Sponsor / Applicant: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Inc.</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1000 Innovation Drive, Cambridge, MA 02142, USA</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IND Number: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 123456</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BLA Number: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761XXX (assigned at receipt)</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Type: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Original BLA — 351(a) Biologics License Application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Regulatory Pathway: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Priority Review / Breakthrough Therapy Designation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PDUFA Goal Date: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TBD (per FDA acknowledgment letter)</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Proposed Proprietary Name: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Proposed Non-Proprietary Name: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 (INN pending)</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Drug Class: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PD-1 Checkpoint Inhibitor — Humanized IgG4 mAb</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November 14, 2025</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Regulatory Contact: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 Sarah L. Chen, VP Regulatory Affairs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regulatory@archonbio.com | +1 (617) 555-0192</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MODULE 1 — ADMINISTRATIVE INFORMATION AND PRESCRIBING INFORMATION</w:t>
      </w:r>
    </w:p>
    <w:p>
      <w:pPr>
        <w:pStyle w:val="Heading2"/>
        <w:spacing w:before="240" w:after="80"/>
      </w:pPr>
      <w:r>
        <w:rPr>
          <w:rFonts w:ascii="Arial" w:cs="Arial" w:eastAsia="Arial" w:hAnsi="Arial"/>
          <w:b/>
          <w:bCs/>
          <w:color w:val="2E75B6"/>
          <w:sz w:val="24"/>
          <w:szCs w:val="24"/>
        </w:rPr>
        <w:t xml:space="preserve">1.1  Cover Letter</w:t>
      </w:r>
    </w:p>
    <w:p>
      <w:pPr>
        <w:spacing w:before="60" w:after="100"/>
      </w:pPr>
      <w:r>
        <w:rPr>
          <w:rFonts w:ascii="Arial" w:cs="Arial" w:eastAsia="Arial" w:hAnsi="Arial"/>
          <w:sz w:val="22"/>
          <w:szCs w:val="22"/>
        </w:rPr>
        <w:t xml:space="preserve">November 14, 2025</w:t>
      </w:r>
    </w:p>
    <w:p>
      <w:pPr>
        <w:spacing w:before="60" w:after="60"/>
      </w:pPr>
      <w:r>
        <w:t xml:space="preserve"/>
      </w:r>
    </w:p>
    <w:p>
      <w:pPr>
        <w:spacing w:before="60" w:after="100"/>
      </w:pPr>
      <w:r>
        <w:rPr>
          <w:rFonts w:ascii="Arial" w:cs="Arial" w:eastAsia="Arial" w:hAnsi="Arial"/>
          <w:sz w:val="22"/>
          <w:szCs w:val="22"/>
        </w:rPr>
        <w:t xml:space="preserve">U.S. Food and Drug Administration
Center for Drug Evaluation and Research (CDER)
Office of Oncology Products
10903 New Hampshire Avenue
Silver Spring, MD 20993-0002</w:t>
      </w:r>
    </w:p>
    <w:p>
      <w:pPr>
        <w:spacing w:before="60" w:after="60"/>
      </w:pPr>
      <w:r>
        <w:t xml:space="preserve"/>
      </w:r>
    </w:p>
    <w:p>
      <w:pPr>
        <w:spacing w:before="60" w:after="100"/>
      </w:pPr>
      <w:r>
        <w:rPr>
          <w:rFonts w:ascii="Arial" w:cs="Arial" w:eastAsia="Arial" w:hAnsi="Arial"/>
          <w:b/>
          <w:bCs/>
          <w:sz w:val="22"/>
          <w:szCs w:val="22"/>
        </w:rPr>
        <w:t xml:space="preserve">Re:  BLA Number 761XXX — CERVIMAB (anti-PD-1 mAb) — Original Biologics License Application for dMMR/MSI-H Metastatic Colorectal Cancer</w:t>
      </w:r>
    </w:p>
    <w:p>
      <w:pPr>
        <w:spacing w:before="60" w:after="60"/>
      </w:pPr>
      <w:r>
        <w:t xml:space="preserve"/>
      </w:r>
    </w:p>
    <w:p>
      <w:pPr>
        <w:spacing w:before="60" w:after="100"/>
      </w:pPr>
      <w:r>
        <w:rPr>
          <w:rFonts w:ascii="Arial" w:cs="Arial" w:eastAsia="Arial" w:hAnsi="Arial"/>
          <w:sz w:val="22"/>
          <w:szCs w:val="22"/>
        </w:rPr>
        <w:t xml:space="preserve">Dear Reviewing Division:</w:t>
      </w:r>
    </w:p>
    <w:p>
      <w:pPr>
        <w:spacing w:before="60" w:after="60"/>
      </w:pPr>
      <w:r>
        <w:t xml:space="preserve"/>
      </w:r>
    </w:p>
    <w:p>
      <w:pPr>
        <w:spacing w:before="60" w:after="100"/>
      </w:pPr>
      <w:r>
        <w:rPr>
          <w:rFonts w:ascii="Arial" w:cs="Arial" w:eastAsia="Arial" w:hAnsi="Arial"/>
          <w:sz w:val="22"/>
          <w:szCs w:val="22"/>
        </w:rPr>
        <w:t xml:space="preserve">Archon Biotherapeutics, Inc. ('Archon' or 'the Applicant') hereby submits this original Biologics License Application (BLA) pursuant to Section 351(a) of the Public Health Service (PHS) Act (42 U.S.C. § 262) and 21 C.F.R. Part 601 for CERVIMAB (cervimab), a humanized immunoglobulin G4 (IgG4) monoclonal antibody targeting the programmed cell death protein 1 (PD-1) receptor.</w:t>
      </w:r>
    </w:p>
    <w:p>
      <w:pPr>
        <w:spacing w:before="60" w:after="100"/>
      </w:pPr>
      <w:r>
        <w:rPr>
          <w:rFonts w:ascii="Arial" w:cs="Arial" w:eastAsia="Arial" w:hAnsi="Arial"/>
          <w:sz w:val="22"/>
          <w:szCs w:val="22"/>
        </w:rPr>
        <w:t xml:space="preserve">This BLA is submitted in eCTD format in accordance with FDA guidance on 'Providing Regulatory Submissions in Electronic Format — Submissions Under Section 745A(a) of the FD&amp;C Act' and the ICH M8 eCTD guidance.</w:t>
      </w:r>
    </w:p>
    <w:p>
      <w:pPr>
        <w:spacing w:before="60" w:after="100"/>
      </w:pPr>
      <w:r>
        <w:rPr>
          <w:rFonts w:ascii="Arial" w:cs="Arial" w:eastAsia="Arial" w:hAnsi="Arial"/>
          <w:sz w:val="22"/>
          <w:szCs w:val="22"/>
        </w:rPr>
        <w:t xml:space="preserve">The proposed indication is the treatment of adult patients with unresectable or metastatic dMMR/MSI-H colorectal cancer (CRC) that has progressed following fluoropyrimidine-, oxaliplatin-, and irinotecan-based chemotherapy. This application is supported by results from the pivotal Phase 3 randomized controlled trial CERVIMAB-301 (RESTORE-CRC), which demonstrated a statistically significant and clinically meaningful improvement in overall survival (OS), progression-free survival (PFS), and objective response rate (ORR) compared to standard of care regorafenib/TAS-102.</w:t>
      </w:r>
    </w:p>
    <w:p>
      <w:pPr>
        <w:spacing w:before="60" w:after="100"/>
      </w:pPr>
      <w:r>
        <w:rPr>
          <w:rFonts w:ascii="Arial" w:cs="Arial" w:eastAsia="Arial" w:hAnsi="Arial"/>
          <w:sz w:val="22"/>
          <w:szCs w:val="22"/>
        </w:rPr>
        <w:t xml:space="preserve">CERVIMAB holds the following FDA designations:</w:t>
      </w:r>
    </w:p>
    <w:p>
      <w:pPr>
        <w:pStyle w:val="ListParagraph"/>
        <w:numPr>
          <w:ilvl w:val="0"/>
          <w:numId w:val="2"/>
        </w:numPr>
        <w:spacing w:before="40" w:after="40"/>
      </w:pPr>
      <w:r>
        <w:rPr>
          <w:rFonts w:ascii="Arial" w:cs="Arial" w:eastAsia="Arial" w:hAnsi="Arial"/>
          <w:sz w:val="22"/>
          <w:szCs w:val="22"/>
        </w:rPr>
        <w:t xml:space="preserve">Breakthrough Therapy Designation (BTD) — granted March 12, 2022</w:t>
      </w:r>
    </w:p>
    <w:p>
      <w:pPr>
        <w:pStyle w:val="ListParagraph"/>
        <w:numPr>
          <w:ilvl w:val="0"/>
          <w:numId w:val="2"/>
        </w:numPr>
        <w:spacing w:before="40" w:after="40"/>
      </w:pPr>
      <w:r>
        <w:rPr>
          <w:rFonts w:ascii="Arial" w:cs="Arial" w:eastAsia="Arial" w:hAnsi="Arial"/>
          <w:sz w:val="22"/>
          <w:szCs w:val="22"/>
        </w:rPr>
        <w:t xml:space="preserve">Priority Review Designation — granted upon BLA filing</w:t>
      </w:r>
    </w:p>
    <w:p>
      <w:pPr>
        <w:pStyle w:val="ListParagraph"/>
        <w:numPr>
          <w:ilvl w:val="0"/>
          <w:numId w:val="2"/>
        </w:numPr>
        <w:spacing w:before="40" w:after="40"/>
      </w:pPr>
      <w:r>
        <w:rPr>
          <w:rFonts w:ascii="Arial" w:cs="Arial" w:eastAsia="Arial" w:hAnsi="Arial"/>
          <w:sz w:val="22"/>
          <w:szCs w:val="22"/>
        </w:rPr>
        <w:t xml:space="preserve">Orphan Drug Designation — not applicable (CRC prevalence exceeds orphan threshold)</w:t>
      </w:r>
    </w:p>
    <w:p>
      <w:pPr>
        <w:spacing w:before="60" w:after="100"/>
      </w:pPr>
      <w:r>
        <w:rPr>
          <w:rFonts w:ascii="Arial" w:cs="Arial" w:eastAsia="Arial" w:hAnsi="Arial"/>
          <w:sz w:val="22"/>
          <w:szCs w:val="22"/>
        </w:rPr>
        <w:t xml:space="preserve">We request a Type A meeting within 30 days of filing acceptance to discuss labeling and any outstanding review issues. We are prepared to facilitate a Real-Time Oncology Review (RTOR) interaction if FDA deems appropriate.</w:t>
      </w:r>
    </w:p>
    <w:p>
      <w:pPr>
        <w:spacing w:before="60" w:after="60"/>
      </w:pPr>
      <w:r>
        <w:t xml:space="preserve"/>
      </w:r>
    </w:p>
    <w:p>
      <w:pPr>
        <w:spacing w:before="60" w:after="100"/>
      </w:pPr>
      <w:r>
        <w:rPr>
          <w:rFonts w:ascii="Arial" w:cs="Arial" w:eastAsia="Arial" w:hAnsi="Arial"/>
          <w:sz w:val="22"/>
          <w:szCs w:val="22"/>
        </w:rPr>
        <w:t xml:space="preserve">Respectfully submitted,</w:t>
      </w:r>
    </w:p>
    <w:p>
      <w:pPr>
        <w:spacing w:before="60" w:after="60"/>
      </w:pPr>
      <w:r>
        <w:t xml:space="preserve"/>
      </w:r>
    </w:p>
    <w:p>
      <w:pPr>
        <w:spacing w:before="60" w:after="100"/>
      </w:pPr>
      <w:r>
        <w:rPr>
          <w:rFonts w:ascii="Arial" w:cs="Arial" w:eastAsia="Arial" w:hAnsi="Arial"/>
          <w:sz w:val="22"/>
          <w:szCs w:val="22"/>
        </w:rPr>
        <w:t xml:space="preserve">Dr. Sarah L. Chen, PhD
Vice President, Regulatory Affairs
Archon Biotherapeutics, Inc.</w:t>
      </w:r>
    </w:p>
    <w:p>
      <w:r>
        <w:br w:type="page"/>
      </w:r>
    </w:p>
    <w:p>
      <w:pPr>
        <w:pStyle w:val="Heading2"/>
        <w:spacing w:before="240" w:after="80"/>
      </w:pPr>
      <w:r>
        <w:rPr>
          <w:rFonts w:ascii="Arial" w:cs="Arial" w:eastAsia="Arial" w:hAnsi="Arial"/>
          <w:b/>
          <w:bCs/>
          <w:color w:val="2E75B6"/>
          <w:sz w:val="24"/>
          <w:szCs w:val="24"/>
        </w:rPr>
        <w:t xml:space="preserve">1.2  Comprehensive Table of Contents — BLA 761XXX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Module/Section</w:t>
            </w:r>
          </w:p>
        </w:tc>
        <w:tc>
          <w:tcPr>
            <w:tcW w:type="dxa" w:w="57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 Title</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Volume/Sequence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Administrative Information &amp; Prescribing Information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 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Cover Letter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Comprehensive Table of Contents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1.3.1</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Form FDA 356h — Application Form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1.3.1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Labeling (Prescribing Information &amp; Package Insert)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1.4.1–1.4.4</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Debarment Certification (21 CFR 312.70)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1.5.1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Field Copy Certification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User Fee Cover Sheet (Form FDA 3397)</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1.7.1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Financial Disclosure (Form FDA 3455)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Patent Information &amp; Exclusivity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Environmental Assessment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1.12.1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Common Technical Document Summaries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Vol. 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CTD Table of Contents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CTD Introduction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2.2.1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Quality Overall Summary (QOS)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2.3.1–2.3.P.8</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Nonclinical Overview</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2.4.1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Clinical Overview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2.5.1–2.5.6</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Nonclinical Summary (Written &amp; Tabulated)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2.6.1–2.6.7</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Clinical Summary (Biopharmaceutics, Clinical Pharmacology, Efficacy, Safety)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2.7.1–2.7.6</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Quality (CMC)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Vol. 3–4</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3.2.A</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Appendices (Facilities, Adventitious Agents)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3.2.A.1–3.2.A.3</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3.2.S</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Drug Substance (Cervimab API)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3.2.S.1–3.2.S.7</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3.2.P</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Drug Product (200 mg/4 mL IV Solution)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3.2.P.1–3.2.P.8</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Nonclinical Study Reports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Vol. 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Pharmacology (Primary, Secondary, Safety)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4.2.1.1–4.2.1.3</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4.2.2</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Pharmacokinetics (ADME, Species PK)</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4.2.2.1–4.2.2.5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Toxicology (Repeat-dose, Genotox, Repro, Carcinogenicity)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4.2.3.1–4.2.3.7</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Clinical Study Reports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Vol. 6–12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Tabular Listing of All Clinical Studies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5.2.1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5.3.1</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Study Reports — Biopharmaceutics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5.3.1.1–5.3.1.2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Study Reports — Intrinsic/Extrinsic Factors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5.3.3.1–5.3.3.3</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5.3.4</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Study Reports — Phase 1/2 (CERVIMAB-101, 201)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5.3.4.1–5.3.4.2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5.3.5.1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CSR: CERVIMAB-301 (RESTORE-CRC) — Pivotal Phase 3 RCT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5.3.5.1.1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5.3.7</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Case Report Tabulations &amp; Patient Narratives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5.3.7.1–5.3.7.3</w:t>
            </w:r>
          </w:p>
        </w:tc>
      </w:tr>
    </w:tbl>
    <w:p>
      <w:r>
        <w:br w:type="page"/>
      </w:r>
    </w:p>
    <w:p>
      <w:pPr>
        <w:pStyle w:val="Heading2"/>
        <w:spacing w:before="240" w:after="80"/>
      </w:pPr>
      <w:r>
        <w:rPr>
          <w:rFonts w:ascii="Arial" w:cs="Arial" w:eastAsia="Arial" w:hAnsi="Arial"/>
          <w:b/>
          <w:bCs/>
          <w:color w:val="2E75B6"/>
          <w:sz w:val="24"/>
          <w:szCs w:val="24"/>
        </w:rPr>
        <w:t xml:space="preserve">1.3  Form FDA 356h — Application Form (Summary)</w:t>
      </w:r>
    </w:p>
    <w:p>
      <w:pPr>
        <w:spacing w:before="60" w:after="100"/>
      </w:pPr>
      <w:r>
        <w:rPr>
          <w:rFonts w:ascii="Arial" w:cs="Arial" w:eastAsia="Arial" w:hAnsi="Arial"/>
          <w:i/>
          <w:iCs/>
          <w:color w:val="666666"/>
          <w:sz w:val="22"/>
          <w:szCs w:val="22"/>
        </w:rPr>
        <w:t xml:space="preserve">NOTE: The executed Form FDA 356h is included as a separate PDF in Section 1.3.1 of this submission. Key fields are summarized below for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Applicant Name: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Inc.</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Date of Submission: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November 14, 2025</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BLA — Original Application (351(a))</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Product Name (Proprietary):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Product Name (Non-Proprietary):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Dosage Form / Route: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Solution for Infusion / Intravenous (IV)</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Strength:</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mg/4 mL (50 mg/mL)</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Proposed Indication: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dMMR/MSI-H Metastatic Colorectal Cancer (2L+)</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Drug Class: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Monoclonal Antibody — PD-1 Inhibitor</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Manufacturing Site (Drug Substance):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BioManufacturing, Lexington, MA (FDA Registration #3007254891)</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Manufacturing Site (Drug Product):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Patheon Biologics GmbH, Vienna, Austria (FDA Registration #3007198465)</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Authorized US Agent: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 (Domestic Applicant)</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Pediatric Assessment Status: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Pediatric Study Plan (PSP) agreed with FDA — studies waived for &lt; 2 yrs; deferred for 2–17 yrs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Patent Certification: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 C.F.R. § 314.50(i) — Paragraph IV certifications listed in Section 1.9</w:t>
            </w:r>
          </w:p>
        </w:tc>
      </w:tr>
    </w:tbl>
    <w:p>
      <w:r>
        <w:br w:type="page"/>
      </w:r>
    </w:p>
    <w:p>
      <w:pPr>
        <w:pStyle w:val="Heading2"/>
        <w:spacing w:before="240" w:after="80"/>
      </w:pPr>
      <w:r>
        <w:rPr>
          <w:rFonts w:ascii="Arial" w:cs="Arial" w:eastAsia="Arial" w:hAnsi="Arial"/>
          <w:b/>
          <w:bCs/>
          <w:color w:val="2E75B6"/>
          <w:sz w:val="24"/>
          <w:szCs w:val="24"/>
        </w:rPr>
        <w:t xml:space="preserve">1.4  Prescribing Information (PI) — Draft Package Insert</w:t>
      </w:r>
    </w:p>
    <w:p>
      <w:pPr>
        <w:pStyle w:val="Heading3"/>
        <w:spacing w:before="180" w:after="60"/>
      </w:pPr>
      <w:r>
        <w:rPr>
          <w:rFonts w:ascii="Arial" w:cs="Arial" w:eastAsia="Arial" w:hAnsi="Arial"/>
          <w:b/>
          <w:bCs/>
          <w:color w:val="2C2C2C"/>
          <w:sz w:val="22"/>
          <w:szCs w:val="22"/>
        </w:rPr>
        <w:t xml:space="preserve">HIGHLIGHTS OF PRESCRIBING INFORMATION</w:t>
      </w:r>
    </w:p>
    <w:p>
      <w:pPr>
        <w:spacing w:before="60" w:after="100"/>
      </w:pPr>
      <w:r>
        <w:rPr>
          <w:rFonts w:ascii="Arial" w:cs="Arial" w:eastAsia="Arial" w:hAnsi="Arial"/>
          <w:sz w:val="22"/>
          <w:szCs w:val="22"/>
        </w:rPr>
        <w:t xml:space="preserve">These highlights do not include all the information needed to use CERVIMAB safely and effectively. See full prescribing information for CERVIMAB.</w:t>
      </w:r>
    </w:p>
    <w:p>
      <w:pPr>
        <w:spacing w:before="60" w:after="60"/>
      </w:pPr>
      <w:r>
        <w:t xml:space="preserve"/>
      </w:r>
    </w:p>
    <w:p>
      <w:pPr>
        <w:spacing w:before="60" w:after="100"/>
      </w:pPr>
      <w:r>
        <w:rPr>
          <w:rFonts w:ascii="Arial" w:cs="Arial" w:eastAsia="Arial" w:hAnsi="Arial"/>
          <w:b/>
          <w:bCs/>
          <w:sz w:val="22"/>
          <w:szCs w:val="22"/>
        </w:rPr>
        <w:t xml:space="preserve">CERVIMAB (cervimab) injection, for intravenous use</w:t>
      </w:r>
    </w:p>
    <w:p>
      <w:pPr>
        <w:spacing w:before="60" w:after="100"/>
      </w:pPr>
      <w:r>
        <w:rPr>
          <w:rFonts w:ascii="Arial" w:cs="Arial" w:eastAsia="Arial" w:hAnsi="Arial"/>
          <w:i/>
          <w:iCs/>
          <w:sz w:val="22"/>
          <w:szCs w:val="22"/>
        </w:rPr>
        <w:t xml:space="preserve">Initial U.S. Approval: 2026 (anticipated)</w:t>
      </w:r>
    </w:p>
    <w:p>
      <w:pPr>
        <w:spacing w:before="60" w:after="60"/>
      </w:pPr>
      <w:r>
        <w:t xml:space="preserve"/>
      </w:r>
    </w:p>
    <w:p>
      <w:pPr>
        <w:pBdr>
          <w:top w:val="single" w:color="CC0000" w:sz="4"/>
          <w:bottom w:val="single" w:color="CC0000" w:sz="4"/>
          <w:left w:val="single" w:color="CC0000" w:sz="4"/>
          <w:right w:val="single" w:color="CC0000" w:sz="4"/>
        </w:pBdr>
        <w:spacing w:before="120" w:after="40"/>
      </w:pPr>
      <w:r>
        <w:rPr>
          <w:rFonts w:ascii="Arial" w:cs="Arial" w:eastAsia="Arial" w:hAnsi="Arial"/>
          <w:b/>
          <w:bCs/>
          <w:color w:val="CC0000"/>
          <w:sz w:val="22"/>
          <w:szCs w:val="22"/>
        </w:rPr>
        <w:t xml:space="preserve">WARNING: IMMUNE-MEDIATED ADVERSE REACTIONS AND INFUSION-RELATED REACTIONS</w:t>
      </w:r>
    </w:p>
    <w:p>
      <w:pPr>
        <w:spacing w:before="60" w:after="100"/>
      </w:pPr>
      <w:r>
        <w:rPr>
          <w:rFonts w:ascii="Arial" w:cs="Arial" w:eastAsia="Arial" w:hAnsi="Arial"/>
          <w:sz w:val="22"/>
          <w:szCs w:val="22"/>
        </w:rPr>
        <w:t xml:space="preserve">See full prescribing information for complete boxed warning.</w:t>
      </w:r>
    </w:p>
    <w:p>
      <w:pPr>
        <w:pStyle w:val="ListParagraph"/>
        <w:numPr>
          <w:ilvl w:val="0"/>
          <w:numId w:val="2"/>
        </w:numPr>
        <w:spacing w:before="40" w:after="40"/>
      </w:pPr>
      <w:r>
        <w:rPr>
          <w:rFonts w:ascii="Arial" w:cs="Arial" w:eastAsia="Arial" w:hAnsi="Arial"/>
          <w:sz w:val="22"/>
          <w:szCs w:val="22"/>
        </w:rPr>
        <w:t xml:space="preserve">CERVIMAB can cause severe and fatal immune-mediated adverse reactions. These immune-mediated reactions may involve any organ system. Monitor for signs and symptoms; administer corticosteroids and/or other immunosuppressants based on severity. Withhold or permanently discontinue CERVIMAB depending on severity. (5.1–5.13)</w:t>
      </w:r>
    </w:p>
    <w:p>
      <w:pPr>
        <w:pStyle w:val="ListParagraph"/>
        <w:numPr>
          <w:ilvl w:val="0"/>
          <w:numId w:val="2"/>
        </w:numPr>
        <w:spacing w:before="40" w:after="40"/>
      </w:pPr>
      <w:r>
        <w:rPr>
          <w:rFonts w:ascii="Arial" w:cs="Arial" w:eastAsia="Arial" w:hAnsi="Arial"/>
          <w:sz w:val="22"/>
          <w:szCs w:val="22"/>
        </w:rPr>
        <w:t xml:space="preserve">CERVIMAB can cause severe infusion-related reactions, including anaphylaxis. Monitor patients and manage reactions appropriately. (5.14)</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INDICATIONS AND USAGE</w:t>
      </w:r>
    </w:p>
    <w:p>
      <w:pPr>
        <w:spacing w:before="60" w:after="100"/>
      </w:pPr>
      <w:r>
        <w:rPr>
          <w:rFonts w:ascii="Arial" w:cs="Arial" w:eastAsia="Arial" w:hAnsi="Arial"/>
          <w:sz w:val="22"/>
          <w:szCs w:val="22"/>
        </w:rPr>
        <w:t xml:space="preserve">CERVIMAB is a programmed death receptor-1 (PD-1) blocking antibody indicated for the treatment of adult patients with unresectable or metastatic mismatch repair-deficient (dMMR) or microsatellite instability-high (MSI-H) colorectal cancer (CRC) that has progressed following treatment with fluoropyrimidine-, oxaliplatin-, and irinotecan-based chemotherapy. (1)</w:t>
      </w:r>
    </w:p>
    <w:p>
      <w:pPr>
        <w:spacing w:before="60" w:after="100"/>
      </w:pPr>
      <w:r>
        <w:rPr>
          <w:rFonts w:ascii="Arial" w:cs="Arial" w:eastAsia="Arial" w:hAnsi="Arial"/>
          <w:i/>
          <w:iCs/>
          <w:sz w:val="22"/>
          <w:szCs w:val="22"/>
        </w:rPr>
        <w:t xml:space="preserve">This indication is approved under accelerated approval based on overall response rate (ORR) and duration of response (DOR). Continued approval for this indication may be contingent upon verification and description of clinical benefit in confirmatory trials.</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DOSAGE AND ADMINISTRATION</w:t>
      </w:r>
    </w:p>
    <w:p>
      <w:pPr>
        <w:pStyle w:val="ListParagraph"/>
        <w:numPr>
          <w:ilvl w:val="0"/>
          <w:numId w:val="2"/>
        </w:numPr>
        <w:spacing w:before="40" w:after="40"/>
      </w:pPr>
      <w:r>
        <w:rPr>
          <w:rFonts w:ascii="Arial" w:cs="Arial" w:eastAsia="Arial" w:hAnsi="Arial"/>
          <w:sz w:val="22"/>
          <w:szCs w:val="22"/>
        </w:rPr>
        <w:t xml:space="preserve">CERVIMAB 400 mg as an intravenous infusion over 30 minutes every 6 weeks (Q6W). (2.1)</w:t>
      </w:r>
    </w:p>
    <w:p>
      <w:pPr>
        <w:pStyle w:val="ListParagraph"/>
        <w:numPr>
          <w:ilvl w:val="0"/>
          <w:numId w:val="2"/>
        </w:numPr>
        <w:spacing w:before="40" w:after="40"/>
      </w:pPr>
      <w:r>
        <w:rPr>
          <w:rFonts w:ascii="Arial" w:cs="Arial" w:eastAsia="Arial" w:hAnsi="Arial"/>
          <w:sz w:val="22"/>
          <w:szCs w:val="22"/>
        </w:rPr>
        <w:t xml:space="preserve">Administer as a diluted IV infusion; do not administer as an intravenous push or bolus. (2.2)</w:t>
      </w:r>
    </w:p>
    <w:p>
      <w:pPr>
        <w:pStyle w:val="ListParagraph"/>
        <w:numPr>
          <w:ilvl w:val="0"/>
          <w:numId w:val="2"/>
        </w:numPr>
        <w:spacing w:before="40" w:after="40"/>
      </w:pPr>
      <w:r>
        <w:rPr>
          <w:rFonts w:ascii="Arial" w:cs="Arial" w:eastAsia="Arial" w:hAnsi="Arial"/>
          <w:sz w:val="22"/>
          <w:szCs w:val="22"/>
        </w:rPr>
        <w:t xml:space="preserve">Refer to full prescribing information for dose modifications and management of immune-mediated adverse reactions. (2.3)</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DOSAGE FORMS AND STRENGTHS</w:t>
      </w:r>
    </w:p>
    <w:p>
      <w:pPr>
        <w:spacing w:before="60" w:after="100"/>
      </w:pPr>
      <w:r>
        <w:rPr>
          <w:rFonts w:ascii="Arial" w:cs="Arial" w:eastAsia="Arial" w:hAnsi="Arial"/>
          <w:sz w:val="22"/>
          <w:szCs w:val="22"/>
        </w:rPr>
        <w:t xml:space="preserve">Injection: 200 mg/4 mL (50 mg/mL) clear to slightly opalescent, colorless to slightly yellow solution in a single-dose vial. (3)</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CONTRAINDICATIONS</w:t>
      </w:r>
    </w:p>
    <w:p>
      <w:pPr>
        <w:spacing w:before="60" w:after="100"/>
      </w:pPr>
      <w:r>
        <w:rPr>
          <w:rFonts w:ascii="Arial" w:cs="Arial" w:eastAsia="Arial" w:hAnsi="Arial"/>
          <w:sz w:val="22"/>
          <w:szCs w:val="22"/>
        </w:rPr>
        <w:t xml:space="preserve">None. (4)</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WARNINGS AND PRECAUTIONS</w:t>
      </w:r>
    </w:p>
    <w:p>
      <w:pPr>
        <w:pStyle w:val="ListParagraph"/>
        <w:numPr>
          <w:ilvl w:val="0"/>
          <w:numId w:val="2"/>
        </w:numPr>
        <w:spacing w:before="40" w:after="40"/>
      </w:pPr>
      <w:r>
        <w:rPr>
          <w:rFonts w:ascii="Arial" w:cs="Arial" w:eastAsia="Arial" w:hAnsi="Arial"/>
          <w:sz w:val="22"/>
          <w:szCs w:val="22"/>
        </w:rPr>
        <w:t xml:space="preserve">Immune-Mediated Pneumonitis (5.1), Colitis (5.2), Hepatitis (5.3), Endocrinopathies (5.4–5.7), Nephritis (5.8), Dermatologic Reactions (5.9), Myocarditis (5.10), Neurological Toxicities (5.11), Hematologic Toxicities (5.12), Other Immune-Mediated Adverse Reactions (5.13)</w:t>
      </w:r>
    </w:p>
    <w:p>
      <w:pPr>
        <w:pStyle w:val="ListParagraph"/>
        <w:numPr>
          <w:ilvl w:val="0"/>
          <w:numId w:val="2"/>
        </w:numPr>
        <w:spacing w:before="40" w:after="40"/>
      </w:pPr>
      <w:r>
        <w:rPr>
          <w:rFonts w:ascii="Arial" w:cs="Arial" w:eastAsia="Arial" w:hAnsi="Arial"/>
          <w:sz w:val="22"/>
          <w:szCs w:val="22"/>
        </w:rPr>
        <w:t xml:space="preserve">Infusion-Related Reactions (5.14)</w:t>
      </w:r>
    </w:p>
    <w:p>
      <w:pPr>
        <w:pStyle w:val="ListParagraph"/>
        <w:numPr>
          <w:ilvl w:val="0"/>
          <w:numId w:val="2"/>
        </w:numPr>
        <w:spacing w:before="40" w:after="40"/>
      </w:pPr>
      <w:r>
        <w:rPr>
          <w:rFonts w:ascii="Arial" w:cs="Arial" w:eastAsia="Arial" w:hAnsi="Arial"/>
          <w:sz w:val="22"/>
          <w:szCs w:val="22"/>
        </w:rPr>
        <w:t xml:space="preserve">Complications of Allogeneic HSCT (5.15)</w:t>
      </w:r>
    </w:p>
    <w:p>
      <w:pPr>
        <w:pStyle w:val="ListParagraph"/>
        <w:numPr>
          <w:ilvl w:val="0"/>
          <w:numId w:val="2"/>
        </w:numPr>
        <w:spacing w:before="40" w:after="40"/>
      </w:pPr>
      <w:r>
        <w:rPr>
          <w:rFonts w:ascii="Arial" w:cs="Arial" w:eastAsia="Arial" w:hAnsi="Arial"/>
          <w:sz w:val="22"/>
          <w:szCs w:val="22"/>
        </w:rPr>
        <w:t xml:space="preserve">Embryo-Fetal Toxicity: Can cause fetal harm. Advise females of reproductive potential to use effective contraception. (5.16, 8.1, 8.3)</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ADVERSE REACTIONS</w:t>
      </w:r>
    </w:p>
    <w:p>
      <w:pPr>
        <w:spacing w:before="60" w:after="100"/>
      </w:pPr>
      <w:r>
        <w:rPr>
          <w:rFonts w:ascii="Arial" w:cs="Arial" w:eastAsia="Arial" w:hAnsi="Arial"/>
          <w:sz w:val="22"/>
          <w:szCs w:val="22"/>
        </w:rPr>
        <w:t xml:space="preserve">Most common adverse reactions (≥20% of patients): fatigue, musculoskeletal pain, decreased appetite, nausea, diarrhea, rash, pyrexia, cough, and dyspnea. (6.1)</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USE IN SPECIFIC POPULATIONS</w:t>
      </w:r>
    </w:p>
    <w:p>
      <w:pPr>
        <w:pStyle w:val="ListParagraph"/>
        <w:numPr>
          <w:ilvl w:val="0"/>
          <w:numId w:val="2"/>
        </w:numPr>
        <w:spacing w:before="40" w:after="40"/>
      </w:pPr>
      <w:r>
        <w:rPr>
          <w:rFonts w:ascii="Arial" w:cs="Arial" w:eastAsia="Arial" w:hAnsi="Arial"/>
          <w:sz w:val="22"/>
          <w:szCs w:val="22"/>
        </w:rPr>
        <w:t xml:space="preserve">Lactation: Advise not to breastfeed. (8.2)</w:t>
      </w:r>
    </w:p>
    <w:p>
      <w:pPr>
        <w:pStyle w:val="ListParagraph"/>
        <w:numPr>
          <w:ilvl w:val="0"/>
          <w:numId w:val="2"/>
        </w:numPr>
        <w:spacing w:before="40" w:after="40"/>
      </w:pPr>
      <w:r>
        <w:rPr>
          <w:rFonts w:ascii="Arial" w:cs="Arial" w:eastAsia="Arial" w:hAnsi="Arial"/>
          <w:sz w:val="22"/>
          <w:szCs w:val="22"/>
        </w:rPr>
        <w:t xml:space="preserve">Females and Males of Reproductive Potential: Verify pregnancy status before initiating. (8.3)</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Full Prescribing Information — Selected Sections</w:t>
      </w:r>
    </w:p>
    <w:p>
      <w:pPr>
        <w:pStyle w:val="Heading3"/>
        <w:spacing w:before="180" w:after="60"/>
      </w:pPr>
      <w:r>
        <w:rPr>
          <w:rFonts w:ascii="Arial" w:cs="Arial" w:eastAsia="Arial" w:hAnsi="Arial"/>
          <w:b/>
          <w:bCs/>
          <w:color w:val="2C2C2C"/>
          <w:sz w:val="22"/>
          <w:szCs w:val="22"/>
        </w:rPr>
        <w:t xml:space="preserve">1. INDICATIONS AND USAGE</w:t>
      </w:r>
    </w:p>
    <w:p>
      <w:pPr>
        <w:spacing w:before="60" w:after="100"/>
      </w:pPr>
      <w:r>
        <w:rPr>
          <w:rFonts w:ascii="Arial" w:cs="Arial" w:eastAsia="Arial" w:hAnsi="Arial"/>
          <w:sz w:val="22"/>
          <w:szCs w:val="22"/>
        </w:rPr>
        <w:t xml:space="preserve">CERVIMAB is indicated for the treatment of adult patients with unresectable or metastatic dMMR or MSI-H colorectal cancer that has progressed following treatment with fluoropyrimidine-, oxaliplatin-, and irinotecan-based chemotherapy.</w:t>
      </w:r>
    </w:p>
    <w:p>
      <w:pPr>
        <w:spacing w:before="60" w:after="100"/>
      </w:pPr>
      <w:r>
        <w:rPr>
          <w:rFonts w:ascii="Arial" w:cs="Arial" w:eastAsia="Arial" w:hAnsi="Arial"/>
          <w:sz w:val="22"/>
          <w:szCs w:val="22"/>
        </w:rPr>
        <w:t xml:space="preserve">Approval is based on ORR and DOR from the RESTORE-CRC study (CERVIMAB-301). Accelerated approval was based on ORR; regular approval based on OS and PFS.</w:t>
      </w:r>
    </w:p>
    <w:p>
      <w:pPr>
        <w:pStyle w:val="Heading3"/>
        <w:spacing w:before="180" w:after="60"/>
      </w:pPr>
      <w:r>
        <w:rPr>
          <w:rFonts w:ascii="Arial" w:cs="Arial" w:eastAsia="Arial" w:hAnsi="Arial"/>
          <w:b/>
          <w:bCs/>
          <w:color w:val="2C2C2C"/>
          <w:sz w:val="22"/>
          <w:szCs w:val="22"/>
        </w:rPr>
        <w:t xml:space="preserve">2. DOSAGE AND ADMINISTRATION</w:t>
      </w:r>
    </w:p>
    <w:p>
      <w:pPr>
        <w:spacing w:before="60" w:after="100"/>
      </w:pPr>
      <w:r>
        <w:rPr>
          <w:rFonts w:ascii="Arial" w:cs="Arial" w:eastAsia="Arial" w:hAnsi="Arial"/>
          <w:sz w:val="22"/>
          <w:szCs w:val="22"/>
        </w:rPr>
        <w:t xml:space="preserve">2.1 Recommended Dosage</w:t>
      </w:r>
    </w:p>
    <w:p>
      <w:pPr>
        <w:spacing w:before="60" w:after="100"/>
      </w:pPr>
      <w:r>
        <w:rPr>
          <w:rFonts w:ascii="Arial" w:cs="Arial" w:eastAsia="Arial" w:hAnsi="Arial"/>
          <w:sz w:val="22"/>
          <w:szCs w:val="22"/>
        </w:rPr>
        <w:t xml:space="preserve">The recommended dose of CERVIMAB is 400 mg administered as an IV infusion over 30 minutes every 6 weeks (Q6W) until disease progression or unacceptable toxicity.</w:t>
      </w:r>
    </w:p>
    <w:p>
      <w:pPr>
        <w:spacing w:before="60" w:after="100"/>
      </w:pPr>
      <w:r>
        <w:rPr>
          <w:rFonts w:ascii="Arial" w:cs="Arial" w:eastAsia="Arial" w:hAnsi="Arial"/>
          <w:sz w:val="22"/>
          <w:szCs w:val="22"/>
        </w:rPr>
        <w:t xml:space="preserve">2.2 Preparation and Administration</w:t>
      </w:r>
    </w:p>
    <w:p>
      <w:pPr>
        <w:pStyle w:val="ListParagraph"/>
        <w:numPr>
          <w:ilvl w:val="0"/>
          <w:numId w:val="2"/>
        </w:numPr>
        <w:spacing w:before="40" w:after="40"/>
      </w:pPr>
      <w:r>
        <w:rPr>
          <w:rFonts w:ascii="Arial" w:cs="Arial" w:eastAsia="Arial" w:hAnsi="Arial"/>
          <w:sz w:val="22"/>
          <w:szCs w:val="22"/>
        </w:rPr>
        <w:t xml:space="preserve">Inspect visually for particulate matter and discoloration. Solution should be clear to slightly opalescent and colorless to slightly yellow. Discard if cloudy, discolored, or if visible particles are present.</w:t>
      </w:r>
    </w:p>
    <w:p>
      <w:pPr>
        <w:pStyle w:val="ListParagraph"/>
        <w:numPr>
          <w:ilvl w:val="0"/>
          <w:numId w:val="2"/>
        </w:numPr>
        <w:spacing w:before="40" w:after="40"/>
      </w:pPr>
      <w:r>
        <w:rPr>
          <w:rFonts w:ascii="Arial" w:cs="Arial" w:eastAsia="Arial" w:hAnsi="Arial"/>
          <w:sz w:val="22"/>
          <w:szCs w:val="22"/>
        </w:rPr>
        <w:t xml:space="preserve">Withdraw the required volume from vial(s) and dilute with 0.9% Sodium Chloride Injection, USP, or 5% Dextrose Injection, USP, to a final concentration between 1 mg/mL and 10 mg/mL.</w:t>
      </w:r>
    </w:p>
    <w:p>
      <w:pPr>
        <w:pStyle w:val="ListParagraph"/>
        <w:numPr>
          <w:ilvl w:val="0"/>
          <w:numId w:val="2"/>
        </w:numPr>
        <w:spacing w:before="40" w:after="40"/>
      </w:pPr>
      <w:r>
        <w:rPr>
          <w:rFonts w:ascii="Arial" w:cs="Arial" w:eastAsia="Arial" w:hAnsi="Arial"/>
          <w:sz w:val="22"/>
          <w:szCs w:val="22"/>
        </w:rPr>
        <w:t xml:space="preserve">Administer diluted solution through an IV line that contains a sterile, non-pyrogenic, low-protein-binding in-line or add-on filter (pore size 0.2–5 micrometers).</w:t>
      </w:r>
    </w:p>
    <w:p>
      <w:pPr>
        <w:pStyle w:val="ListParagraph"/>
        <w:numPr>
          <w:ilvl w:val="0"/>
          <w:numId w:val="2"/>
        </w:numPr>
        <w:spacing w:before="40" w:after="40"/>
      </w:pPr>
      <w:r>
        <w:rPr>
          <w:rFonts w:ascii="Arial" w:cs="Arial" w:eastAsia="Arial" w:hAnsi="Arial"/>
          <w:sz w:val="22"/>
          <w:szCs w:val="22"/>
        </w:rPr>
        <w:t xml:space="preserve">Store diluted solution at room temperature (room temperature not to exceed 25°C/77°F) for no more than 6 hours, including infusion time, OR under refrigeration (2°C–8°C/36°F–46°F) for no more than 24 hours from time of dilution.</w:t>
      </w:r>
    </w:p>
    <w:p>
      <w:pPr>
        <w:pStyle w:val="Heading3"/>
        <w:spacing w:before="180" w:after="60"/>
      </w:pPr>
      <w:r>
        <w:rPr>
          <w:rFonts w:ascii="Arial" w:cs="Arial" w:eastAsia="Arial" w:hAnsi="Arial"/>
          <w:b/>
          <w:bCs/>
          <w:color w:val="2C2C2C"/>
          <w:sz w:val="22"/>
          <w:szCs w:val="22"/>
        </w:rPr>
        <w:t xml:space="preserve">11. DESCRIPTION</w:t>
      </w:r>
    </w:p>
    <w:p>
      <w:pPr>
        <w:spacing w:before="60" w:after="100"/>
      </w:pPr>
      <w:r>
        <w:rPr>
          <w:rFonts w:ascii="Arial" w:cs="Arial" w:eastAsia="Arial" w:hAnsi="Arial"/>
          <w:sz w:val="22"/>
          <w:szCs w:val="22"/>
        </w:rPr>
        <w:t xml:space="preserve">Cervimab is a humanized immunoglobulin G4 (IgG4) monoclonal antibody targeting the extracellular domain of programmed cell death protein 1 (PD-1). Cervimab is produced in Chinese hamster ovary (CHO) cells. The molecular weight of cervimab is approximately 148 kDa.</w:t>
      </w:r>
    </w:p>
    <w:p>
      <w:pPr>
        <w:spacing w:before="60" w:after="100"/>
      </w:pPr>
      <w:r>
        <w:rPr>
          <w:rFonts w:ascii="Arial" w:cs="Arial" w:eastAsia="Arial" w:hAnsi="Arial"/>
          <w:sz w:val="22"/>
          <w:szCs w:val="22"/>
        </w:rPr>
        <w:t xml:space="preserve">CERVIMAB (cervimab) injection is a sterile, preservative-free, non-pyrogenic, clear to slightly opalescent, colorless to slightly yellow solution for intravenous infusion. Each single-dose vial contains 200 mg cervimab in 4 mL (50 mg/mL). Each mL contains: cervimab 50 mg; L-histidine (3.1 mg); L-histidine hydrochloride monohydrate (5.2 mg); polysorbate 80 (0.4 mg); trehalose dihydrate (70 mg); and Water for Injection, USP. The pH is 5.8.</w:t>
      </w:r>
    </w:p>
    <w:p>
      <w:pPr>
        <w:pStyle w:val="Heading3"/>
        <w:spacing w:before="180" w:after="60"/>
      </w:pPr>
      <w:r>
        <w:rPr>
          <w:rFonts w:ascii="Arial" w:cs="Arial" w:eastAsia="Arial" w:hAnsi="Arial"/>
          <w:b/>
          <w:bCs/>
          <w:color w:val="2C2C2C"/>
          <w:sz w:val="22"/>
          <w:szCs w:val="22"/>
        </w:rPr>
        <w:t xml:space="preserve">14. CLINICAL STUDIES — CERVIMAB-301 (RESTORE-CRC)</w:t>
      </w:r>
    </w:p>
    <w:p>
      <w:pPr>
        <w:spacing w:before="60" w:after="100"/>
      </w:pPr>
      <w:r>
        <w:rPr>
          <w:rFonts w:ascii="Arial" w:cs="Arial" w:eastAsia="Arial" w:hAnsi="Arial"/>
          <w:sz w:val="22"/>
          <w:szCs w:val="22"/>
        </w:rPr>
        <w:t xml:space="preserve">Study Design</w:t>
      </w:r>
    </w:p>
    <w:p>
      <w:pPr>
        <w:spacing w:before="60" w:after="100"/>
      </w:pPr>
      <w:r>
        <w:rPr>
          <w:rFonts w:ascii="Arial" w:cs="Arial" w:eastAsia="Arial" w:hAnsi="Arial"/>
          <w:sz w:val="22"/>
          <w:szCs w:val="22"/>
        </w:rPr>
        <w:t xml:space="preserve">RESTORE-CRC (CERVIMAB-301) was a global, multicenter, open-label, randomized, active-controlled Phase 3 trial in 612 adult patients with previously treated unresectable or metastatic dMMR/MSI-H CRC. Eligible patients had received prior fluoropyrimidine-, oxaliplatin-, and irinotecan-based therapy and had confirmed dMMR/MSI-H status by local IHC/PCR or central NGS testing.</w:t>
      </w:r>
    </w:p>
    <w:p>
      <w:pPr>
        <w:spacing w:before="60" w:after="100"/>
      </w:pPr>
      <w:r>
        <w:rPr>
          <w:rFonts w:ascii="Arial" w:cs="Arial" w:eastAsia="Arial" w:hAnsi="Arial"/>
          <w:sz w:val="22"/>
          <w:szCs w:val="22"/>
        </w:rPr>
        <w:t xml:space="preserve">Patients were randomized 1:1 to:</w:t>
      </w:r>
    </w:p>
    <w:p>
      <w:pPr>
        <w:pStyle w:val="ListParagraph"/>
        <w:numPr>
          <w:ilvl w:val="0"/>
          <w:numId w:val="2"/>
        </w:numPr>
        <w:spacing w:before="40" w:after="40"/>
      </w:pPr>
      <w:r>
        <w:rPr>
          <w:rFonts w:ascii="Arial" w:cs="Arial" w:eastAsia="Arial" w:hAnsi="Arial"/>
          <w:sz w:val="22"/>
          <w:szCs w:val="22"/>
        </w:rPr>
        <w:t xml:space="preserve">Arm A: CERVIMAB 400 mg IV Q6W (n=307)</w:t>
      </w:r>
    </w:p>
    <w:p>
      <w:pPr>
        <w:pStyle w:val="ListParagraph"/>
        <w:numPr>
          <w:ilvl w:val="0"/>
          <w:numId w:val="2"/>
        </w:numPr>
        <w:spacing w:before="40" w:after="40"/>
      </w:pPr>
      <w:r>
        <w:rPr>
          <w:rFonts w:ascii="Arial" w:cs="Arial" w:eastAsia="Arial" w:hAnsi="Arial"/>
          <w:sz w:val="22"/>
          <w:szCs w:val="22"/>
        </w:rPr>
        <w:t xml:space="preserve">Arm B: Investigator's Choice — Regorafenib 160 mg PO QD (days 1–21 of 28-day cycle) OR TAS-102 (trifluridine/tipiracil) 35 mg/m² PO BID days 1–5 and 8–12 of 28-day cycle (n=305)</w:t>
      </w:r>
    </w:p>
    <w:p>
      <w:pPr>
        <w:spacing w:before="60" w:after="100"/>
      </w:pPr>
      <w:r>
        <w:rPr>
          <w:rFonts w:ascii="Arial" w:cs="Arial" w:eastAsia="Arial" w:hAnsi="Arial"/>
          <w:sz w:val="22"/>
          <w:szCs w:val="22"/>
        </w:rPr>
        <w:t xml:space="preserve">Randomization was stratified by prior bevacizumab use (yes/no), ECOG PS (0 vs. 1–2), and region (North America vs. Europe vs. Asia-Pacific).</w:t>
      </w:r>
    </w:p>
    <w:p>
      <w:pPr>
        <w:spacing w:before="60" w:after="100"/>
      </w:pPr>
      <w:r>
        <w:rPr>
          <w:rFonts w:ascii="Arial" w:cs="Arial" w:eastAsia="Arial" w:hAnsi="Arial"/>
          <w:sz w:val="22"/>
          <w:szCs w:val="22"/>
        </w:rPr>
        <w:t xml:space="preserve">Primary and Key Secondary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800"/>
        <w:gridCol w:w="26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CERVIMAB (n=307)</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Control (n=305)</w:t>
            </w:r>
          </w:p>
        </w:tc>
        <w:tc>
          <w:tcPr>
            <w:tcW w:type="dxa" w:w="2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p-value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Overall Survival (OS) — mOS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20.4 months (95% CI: 17.8–23.6)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9.3 months (95% CI: 7.9–11.1)</w:t>
            </w:r>
          </w:p>
        </w:tc>
        <w:tc>
          <w:tcPr>
            <w:tcW w:type="dxa" w:w="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&lt;0.0001</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OS Hazard Ratio (HR)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0.44 (95% CI: 0.35–0.55)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Progression-Free Survival (PFS) — mPFS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6.9 months (95% CI: 5.7–8.4)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 months (95% CI: 1.9–2.8)</w:t>
            </w:r>
          </w:p>
        </w:tc>
        <w:tc>
          <w:tcPr>
            <w:tcW w:type="dxa" w:w="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&lt;0.0001</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PFS Hazard Ratio</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0.34 (95% CI: 0.27–0.43)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Objective Response Rate (ORR) — RECIST 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38.4% (95% CI: 33.0–44.0)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 (95% CI: 2.7–8.1)</w:t>
            </w:r>
          </w:p>
        </w:tc>
        <w:tc>
          <w:tcPr>
            <w:tcW w:type="dxa" w:w="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&lt;0.0001</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 Response (CR) Rate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12.1%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Duration of Response (DOR)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Reached (95% CI: 18.2–NR)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 months</w:t>
            </w:r>
          </w:p>
        </w:tc>
        <w:tc>
          <w:tcPr>
            <w:tcW w:type="dxa" w:w="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12-Month OS Rate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68.3%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37.9%</w:t>
            </w:r>
          </w:p>
        </w:tc>
        <w:tc>
          <w:tcPr>
            <w:tcW w:type="dxa" w:w="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Disease Control Rate (DCR)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52.8%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36.7%</w:t>
            </w:r>
          </w:p>
        </w:tc>
        <w:tc>
          <w:tcPr>
            <w:tcW w:type="dxa" w:w="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0.0003</w:t>
            </w:r>
          </w:p>
        </w:tc>
      </w:tr>
    </w:tbl>
    <w:p>
      <w:pPr>
        <w:spacing w:before="60" w:after="60"/>
      </w:pPr>
      <w:r>
        <w:t xml:space="preserve"/>
      </w:r>
    </w:p>
    <w:p>
      <w:pPr>
        <w:spacing w:before="60" w:after="100"/>
      </w:pPr>
      <w:r>
        <w:rPr>
          <w:rFonts w:ascii="Arial" w:cs="Arial" w:eastAsia="Arial" w:hAnsi="Arial"/>
          <w:sz w:val="22"/>
          <w:szCs w:val="22"/>
        </w:rPr>
        <w:t xml:space="preserve">All pre-specified OS and PFS endpoints met statistical significance at the interim analysis (IA-1) after a median follow-up of 18.6 months (range: 0.3–34.2 months). The IDMC recommended unblinding at IA-1 based on overwhelming efficacy. A final OS analysis was conducted at 36 months of follow-up confirming durability of benefit.</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MODULE 2 — COMMON TECHNICAL DOCUMENT SUMMARIES</w:t>
      </w:r>
    </w:p>
    <w:p>
      <w:pPr>
        <w:pStyle w:val="Heading2"/>
        <w:spacing w:before="240" w:after="80"/>
      </w:pPr>
      <w:r>
        <w:rPr>
          <w:rFonts w:ascii="Arial" w:cs="Arial" w:eastAsia="Arial" w:hAnsi="Arial"/>
          <w:b/>
          <w:bCs/>
          <w:color w:val="2E75B6"/>
          <w:sz w:val="24"/>
          <w:szCs w:val="24"/>
        </w:rPr>
        <w:t xml:space="preserve">2.5  Clinical Overview</w:t>
      </w:r>
    </w:p>
    <w:p>
      <w:pPr>
        <w:pStyle w:val="Heading3"/>
        <w:spacing w:before="180" w:after="60"/>
      </w:pPr>
      <w:r>
        <w:rPr>
          <w:rFonts w:ascii="Arial" w:cs="Arial" w:eastAsia="Arial" w:hAnsi="Arial"/>
          <w:b/>
          <w:bCs/>
          <w:color w:val="2C2C2C"/>
          <w:sz w:val="22"/>
          <w:szCs w:val="22"/>
        </w:rPr>
        <w:t xml:space="preserve">2.5.1  Product Development Rationale</w:t>
      </w:r>
    </w:p>
    <w:p>
      <w:pPr>
        <w:spacing w:before="60" w:after="100"/>
      </w:pPr>
      <w:r>
        <w:rPr>
          <w:rFonts w:ascii="Arial" w:cs="Arial" w:eastAsia="Arial" w:hAnsi="Arial"/>
          <w:sz w:val="22"/>
          <w:szCs w:val="22"/>
        </w:rPr>
        <w:t xml:space="preserve">Colorectal cancer (CRC) is the third most commonly diagnosed cancer and the second leading cause of cancer-related death globally, with approximately 1.9 million new cases and 935,000 deaths estimated in 2020 (Sung et al., CA Cancer J Clin, 2021). In the United States, approximately 106,590 new cases of colon cancer and 46,220 new cases of rectal cancer are expected in 2023.</w:t>
      </w:r>
    </w:p>
    <w:p>
      <w:pPr>
        <w:spacing w:before="60" w:after="100"/>
      </w:pPr>
      <w:r>
        <w:rPr>
          <w:rFonts w:ascii="Arial" w:cs="Arial" w:eastAsia="Arial" w:hAnsi="Arial"/>
          <w:sz w:val="22"/>
          <w:szCs w:val="22"/>
        </w:rPr>
        <w:t xml:space="preserve">Approximately 3–5% of metastatic CRC patients harbor dMMR/MSI-H tumors, a molecularly distinct subset characterized by somatic mutations in DNA MMR genes (MLH1, MSH2, MSH6, PMS2) or MLH1 promoter hypermethylation. These tumors exhibit markedly elevated tumor mutational burden (TMB-H), extensive neoantigen generation, and a tumor microenvironment rich in tumor-infiltrating lymphocytes (TILs) — features that strongly predict responsiveness to PD-1/PD-L1 checkpoint inhibition.</w:t>
      </w:r>
    </w:p>
    <w:p>
      <w:pPr>
        <w:spacing w:before="60" w:after="100"/>
      </w:pPr>
      <w:r>
        <w:rPr>
          <w:rFonts w:ascii="Arial" w:cs="Arial" w:eastAsia="Arial" w:hAnsi="Arial"/>
          <w:sz w:val="22"/>
          <w:szCs w:val="22"/>
        </w:rPr>
        <w:t xml:space="preserve">Prior to CERVIMAB, pembrolizumab (KEYTRUDA) and nivolumab (OPDIVO) received approvals in dMMR/MSI-H CRC; however, both are administered every 3–6 weeks with infusion times of 30–60 minutes and require prespecified dose modifications. CERVIMAB addresses the unmet need for a PD-1 inhibitor with a more convenient Q6W dosing schedule, a robust biomarker strategy, and an optimized pharmacokinetic (PK) profile supporting extended dosing intervals.</w:t>
      </w:r>
    </w:p>
    <w:p>
      <w:pPr>
        <w:pStyle w:val="Heading3"/>
        <w:spacing w:before="180" w:after="60"/>
      </w:pPr>
      <w:r>
        <w:rPr>
          <w:rFonts w:ascii="Arial" w:cs="Arial" w:eastAsia="Arial" w:hAnsi="Arial"/>
          <w:b/>
          <w:bCs/>
          <w:color w:val="2C2C2C"/>
          <w:sz w:val="22"/>
          <w:szCs w:val="22"/>
        </w:rPr>
        <w:t xml:space="preserve">2.5.2  Overview of Biopharmaceutics</w:t>
      </w:r>
    </w:p>
    <w:p>
      <w:pPr>
        <w:spacing w:before="60" w:after="100"/>
      </w:pPr>
      <w:r>
        <w:rPr>
          <w:rFonts w:ascii="Arial" w:cs="Arial" w:eastAsia="Arial" w:hAnsi="Arial"/>
          <w:sz w:val="22"/>
          <w:szCs w:val="22"/>
        </w:rPr>
        <w:t xml:space="preserve">Cervimab is administered as an IV infusion; no oral or subcutaneous formulation has been developed. Three Phase 1 PK studies (CERVIMAB-101, 101-Ext, 102-Renal) characterized the PK profile in healthy volunteers and in patients with mild, moderate, and severe renal impairment. Population PK (PopPK) analysis of 892 patients across Phase 1/2/3 studies confirmed dose-proportional PK at doses ≥200 mg and supported the 400 mg Q6W regimen.</w:t>
      </w:r>
    </w:p>
    <w:p>
      <w:pPr>
        <w:pStyle w:val="Heading3"/>
        <w:spacing w:before="180" w:after="60"/>
      </w:pPr>
      <w:r>
        <w:rPr>
          <w:rFonts w:ascii="Arial" w:cs="Arial" w:eastAsia="Arial" w:hAnsi="Arial"/>
          <w:b/>
          <w:bCs/>
          <w:color w:val="2C2C2C"/>
          <w:sz w:val="22"/>
          <w:szCs w:val="22"/>
        </w:rPr>
        <w:t xml:space="preserve">2.5.3  Overview of Clinical Pharmacology</w:t>
      </w:r>
    </w:p>
    <w:p>
      <w:pPr>
        <w:spacing w:before="60" w:after="100"/>
      </w:pPr>
      <w:r>
        <w:rPr>
          <w:rFonts w:ascii="Arial" w:cs="Arial" w:eastAsia="Arial" w:hAnsi="Arial"/>
          <w:sz w:val="22"/>
          <w:szCs w:val="22"/>
        </w:rPr>
        <w:t xml:space="preserve">Cervimab binds the PD-1 receptor with high affinity (KD ~0.8 nM) and selectivity, blocking interactions with both PD-L1 and PD-L2. Target occupancy modeling demonstrated &gt;98% PD-1 receptor occupancy sustained through the full 6-week dosing interval at the 400 mg Q6W dose, supporting selection of this regimen for Phase 3.</w:t>
      </w:r>
    </w:p>
    <w:p>
      <w:pPr>
        <w:spacing w:before="60" w:after="100"/>
      </w:pPr>
      <w:r>
        <w:rPr>
          <w:rFonts w:ascii="Arial" w:cs="Arial" w:eastAsia="Arial" w:hAnsi="Arial"/>
          <w:sz w:val="22"/>
          <w:szCs w:val="22"/>
        </w:rPr>
        <w:t xml:space="preserve">The exposure-response (E-R) analysis demonstrated statistically significant relationships between Cycle 1 trough cervimab concentrations (Ctrough) and ORR (logistic regression) and OS (parametric survival model). No clinically meaningful differences in efficacy or safety were observed across the first–fourth quartiles of cervimab exposure, supporting the fixed 400 mg Q6W dose without weight-based adjustment.</w:t>
      </w:r>
    </w:p>
    <w:p>
      <w:pPr>
        <w:pStyle w:val="Heading3"/>
        <w:spacing w:before="180" w:after="60"/>
      </w:pPr>
      <w:r>
        <w:rPr>
          <w:rFonts w:ascii="Arial" w:cs="Arial" w:eastAsia="Arial" w:hAnsi="Arial"/>
          <w:b/>
          <w:bCs/>
          <w:color w:val="2C2C2C"/>
          <w:sz w:val="22"/>
          <w:szCs w:val="22"/>
        </w:rPr>
        <w:t xml:space="preserve">2.5.4  Overview of Efficacy</w:t>
      </w:r>
    </w:p>
    <w:p>
      <w:pPr>
        <w:spacing w:before="60" w:after="100"/>
      </w:pPr>
      <w:r>
        <w:rPr>
          <w:rFonts w:ascii="Arial" w:cs="Arial" w:eastAsia="Arial" w:hAnsi="Arial"/>
          <w:sz w:val="22"/>
          <w:szCs w:val="22"/>
        </w:rPr>
        <w:t xml:space="preserve">The efficacy of CERVIMAB is primarily supported by the pivotal RESTORE-CRC (CERVIMAB-301) Phase 3 RCT described in Section 14 of the Prescribing Information. Supportive data are provided from the Phase 2 CERVIMAB-201 single-arm study (n=142; ORR 41.5%) which formed the basis for the FDA Breakthrough Therapy Designation request.</w:t>
      </w:r>
    </w:p>
    <w:p>
      <w:pPr>
        <w:spacing w:before="60" w:after="100"/>
      </w:pPr>
      <w:r>
        <w:rPr>
          <w:rFonts w:ascii="Arial" w:cs="Arial" w:eastAsia="Arial" w:hAnsi="Arial"/>
          <w:sz w:val="22"/>
          <w:szCs w:val="22"/>
        </w:rPr>
        <w:t xml:space="preserve">Subgroup analyses from RESTORE-CRC demonstrated consistent OS and PFS benefit across pre-specified subgroups including:</w:t>
      </w:r>
    </w:p>
    <w:p>
      <w:pPr>
        <w:pStyle w:val="ListParagraph"/>
        <w:numPr>
          <w:ilvl w:val="0"/>
          <w:numId w:val="2"/>
        </w:numPr>
        <w:spacing w:before="40" w:after="40"/>
      </w:pPr>
      <w:r>
        <w:rPr>
          <w:rFonts w:ascii="Arial" w:cs="Arial" w:eastAsia="Arial" w:hAnsi="Arial"/>
          <w:sz w:val="22"/>
          <w:szCs w:val="22"/>
        </w:rPr>
        <w:t xml:space="preserve">BRAF V600E status (mutant vs. wild-type): OS HR 0.41 vs. 0.46</w:t>
      </w:r>
    </w:p>
    <w:p>
      <w:pPr>
        <w:pStyle w:val="ListParagraph"/>
        <w:numPr>
          <w:ilvl w:val="0"/>
          <w:numId w:val="2"/>
        </w:numPr>
        <w:spacing w:before="40" w:after="40"/>
      </w:pPr>
      <w:r>
        <w:rPr>
          <w:rFonts w:ascii="Arial" w:cs="Arial" w:eastAsia="Arial" w:hAnsi="Arial"/>
          <w:sz w:val="22"/>
          <w:szCs w:val="22"/>
        </w:rPr>
        <w:t xml:space="preserve">Prior bevacizumab use (yes vs. no): OS HR 0.43 vs. 0.45</w:t>
      </w:r>
    </w:p>
    <w:p>
      <w:pPr>
        <w:pStyle w:val="ListParagraph"/>
        <w:numPr>
          <w:ilvl w:val="0"/>
          <w:numId w:val="2"/>
        </w:numPr>
        <w:spacing w:before="40" w:after="40"/>
      </w:pPr>
      <w:r>
        <w:rPr>
          <w:rFonts w:ascii="Arial" w:cs="Arial" w:eastAsia="Arial" w:hAnsi="Arial"/>
          <w:sz w:val="22"/>
          <w:szCs w:val="22"/>
        </w:rPr>
        <w:t xml:space="preserve">ECOG PS 0 vs. 1–2: OS HR 0.38 vs. 0.47</w:t>
      </w:r>
    </w:p>
    <w:p>
      <w:pPr>
        <w:pStyle w:val="ListParagraph"/>
        <w:numPr>
          <w:ilvl w:val="0"/>
          <w:numId w:val="2"/>
        </w:numPr>
        <w:spacing w:before="40" w:after="40"/>
      </w:pPr>
      <w:r>
        <w:rPr>
          <w:rFonts w:ascii="Arial" w:cs="Arial" w:eastAsia="Arial" w:hAnsi="Arial"/>
          <w:sz w:val="22"/>
          <w:szCs w:val="22"/>
        </w:rPr>
        <w:t xml:space="preserve">PD-L1 CPS ≥1 vs. &lt;1: OS HR 0.40 vs. 0.51 (no formal interaction; CPS not required for patient selection)</w:t>
      </w:r>
    </w:p>
    <w:p>
      <w:pPr>
        <w:pStyle w:val="ListParagraph"/>
        <w:numPr>
          <w:ilvl w:val="0"/>
          <w:numId w:val="2"/>
        </w:numPr>
        <w:spacing w:before="40" w:after="40"/>
      </w:pPr>
      <w:r>
        <w:rPr>
          <w:rFonts w:ascii="Arial" w:cs="Arial" w:eastAsia="Arial" w:hAnsi="Arial"/>
          <w:sz w:val="22"/>
          <w:szCs w:val="22"/>
        </w:rPr>
        <w:t xml:space="preserve">MSI-H by NGS vs. dMMR by IHC: Comparable outcomes; concordance rate 96.3%</w:t>
      </w:r>
    </w:p>
    <w:p>
      <w:pPr>
        <w:pStyle w:val="Heading3"/>
        <w:spacing w:before="180" w:after="60"/>
      </w:pPr>
      <w:r>
        <w:rPr>
          <w:rFonts w:ascii="Arial" w:cs="Arial" w:eastAsia="Arial" w:hAnsi="Arial"/>
          <w:b/>
          <w:bCs/>
          <w:color w:val="2C2C2C"/>
          <w:sz w:val="22"/>
          <w:szCs w:val="22"/>
        </w:rPr>
        <w:t xml:space="preserve">2.5.5  Overview of Safety</w:t>
      </w:r>
    </w:p>
    <w:p>
      <w:pPr>
        <w:spacing w:before="60" w:after="100"/>
      </w:pPr>
      <w:r>
        <w:rPr>
          <w:rFonts w:ascii="Arial" w:cs="Arial" w:eastAsia="Arial" w:hAnsi="Arial"/>
          <w:sz w:val="22"/>
          <w:szCs w:val="22"/>
        </w:rPr>
        <w:t xml:space="preserve">The integrated safety analysis included 1,206 patients who received at least one dose of CERVIMAB across CERVIMAB-101, 201, and 301. Median treatment duration was 8.4 months (range 0.5–36.1).</w:t>
      </w:r>
    </w:p>
    <w:p>
      <w:pPr>
        <w:spacing w:before="60" w:after="100"/>
      </w:pPr>
      <w:r>
        <w:rPr>
          <w:rFonts w:ascii="Arial" w:cs="Arial" w:eastAsia="Arial" w:hAnsi="Arial"/>
          <w:sz w:val="22"/>
          <w:szCs w:val="22"/>
        </w:rPr>
        <w:t xml:space="preserve">The safety profile of CERVIMAB is consistent with the class of PD-1 inhibitors and is characterized primarily by immune-mediated adverse reactions (imAEs). The incidence of Grade 3–4 treatment-related adverse events (TRAEs) was 22.1%, with no Grade 5 TRAEs definitively attributed to CERVIMAB.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Adverse Reaction</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All Grades (%)</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3–4 (%)</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Grade 5 (%)</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Fatigue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Diarrhea / Colitis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27.4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Rash (all types)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Nausea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22.8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Hypothyroidism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Arthralgia / Arthritis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16.7</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ALT/AST Elevation (Hepatitis)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Pneumonitis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Adrenal Insufficiency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Type 1 Diabetes Mellitus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0.9</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Myocarditis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Infusion-Related Reactions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5.7</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bl>
    <w:p>
      <w:pPr>
        <w:spacing w:before="60" w:after="100"/>
      </w:pPr>
      <w:r>
        <w:rPr>
          <w:rFonts w:ascii="Arial" w:cs="Arial" w:eastAsia="Arial" w:hAnsi="Arial"/>
          <w:i/>
          <w:iCs/>
          <w:color w:val="666666"/>
          <w:sz w:val="22"/>
          <w:szCs w:val="22"/>
        </w:rPr>
        <w:t xml:space="preserve">*One death from pneumonitis and one from myocarditis were reported; causality to CERVIMAB was assessed as possible by the investigator; independent adjudication confirmed possible relationship. Full narratives provided in Module 5.</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MODULE 3 — QUALITY (CHEMISTRY, MANUFACTURING, AND CONTROLS)</w:t>
      </w:r>
    </w:p>
    <w:p>
      <w:pPr>
        <w:pStyle w:val="Heading2"/>
        <w:spacing w:before="240" w:after="80"/>
      </w:pPr>
      <w:r>
        <w:rPr>
          <w:rFonts w:ascii="Arial" w:cs="Arial" w:eastAsia="Arial" w:hAnsi="Arial"/>
          <w:b/>
          <w:bCs/>
          <w:color w:val="2E75B6"/>
          <w:sz w:val="24"/>
          <w:szCs w:val="24"/>
        </w:rPr>
        <w:t xml:space="preserve">3.2.S  Drug Substance — Cervimab (API)</w:t>
      </w:r>
    </w:p>
    <w:p>
      <w:pPr>
        <w:pStyle w:val="Heading3"/>
        <w:spacing w:before="180" w:after="60"/>
      </w:pPr>
      <w:r>
        <w:rPr>
          <w:rFonts w:ascii="Arial" w:cs="Arial" w:eastAsia="Arial" w:hAnsi="Arial"/>
          <w:b/>
          <w:bCs/>
          <w:color w:val="2C2C2C"/>
          <w:sz w:val="22"/>
          <w:szCs w:val="22"/>
        </w:rPr>
        <w:t xml:space="preserve">3.2.S.1  General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INN (Non-Proprietary Name):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Monoclonal antibody — humanized IgG4 (κ)</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Molecular Target: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PD-1 (Programmed Cell Death Protein 1; CD279)</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Molecular Formula:</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C6466H9998N1722O2020S46 (approximate; subject to glycosylation)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Molecular Weight: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~148 kDa (protein backbone ~145 kDa + N-glycans ~3 kDa)</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Host Cell System: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Chinese Hamster Ovary (CHO-K1) cells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Expression System:</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Stable transfection; fed-batch bioreactor process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Drug Substance Manufacturer: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BioManufacturing, 50 Innovation Pkwy, Lexington, MA 02421</w:t>
            </w:r>
          </w:p>
        </w:tc>
      </w:tr>
    </w:tbl>
    <w:p>
      <w:pPr>
        <w:spacing w:before="60" w:after="60"/>
      </w:pPr>
      <w:r>
        <w:t xml:space="preserve"/>
      </w:r>
    </w:p>
    <w:p>
      <w:pPr>
        <w:pStyle w:val="Heading3"/>
        <w:spacing w:before="180" w:after="60"/>
      </w:pPr>
      <w:r>
        <w:rPr>
          <w:rFonts w:ascii="Arial" w:cs="Arial" w:eastAsia="Arial" w:hAnsi="Arial"/>
          <w:b/>
          <w:bCs/>
          <w:color w:val="2C2C2C"/>
          <w:sz w:val="22"/>
          <w:szCs w:val="22"/>
        </w:rPr>
        <w:t xml:space="preserve">3.2.S.2  Manufacture</w:t>
      </w:r>
    </w:p>
    <w:p>
      <w:pPr>
        <w:spacing w:before="60" w:after="100"/>
      </w:pPr>
      <w:r>
        <w:rPr>
          <w:rFonts w:ascii="Arial" w:cs="Arial" w:eastAsia="Arial" w:hAnsi="Arial"/>
          <w:sz w:val="22"/>
          <w:szCs w:val="22"/>
        </w:rPr>
        <w:t xml:space="preserve">The manufacturing process for cervimab drug substance consists of the following key unit operations:</w:t>
      </w:r>
    </w:p>
    <w:p>
      <w:pPr>
        <w:pStyle w:val="ListParagraph"/>
        <w:numPr>
          <w:ilvl w:val="0"/>
          <w:numId w:val="2"/>
        </w:numPr>
        <w:spacing w:before="40" w:after="40"/>
      </w:pPr>
      <w:r>
        <w:rPr>
          <w:rFonts w:ascii="Arial" w:cs="Arial" w:eastAsia="Arial" w:hAnsi="Arial"/>
          <w:sz w:val="22"/>
          <w:szCs w:val="22"/>
        </w:rPr>
        <w:t xml:space="preserve">Master Cell Bank (MCB) and Working Cell Bank (WCB) qualification — tested per ICH Q5A, Q5B, Q5D</w:t>
      </w:r>
    </w:p>
    <w:p>
      <w:pPr>
        <w:pStyle w:val="ListParagraph"/>
        <w:numPr>
          <w:ilvl w:val="0"/>
          <w:numId w:val="2"/>
        </w:numPr>
        <w:spacing w:before="40" w:after="40"/>
      </w:pPr>
      <w:r>
        <w:rPr>
          <w:rFonts w:ascii="Arial" w:cs="Arial" w:eastAsia="Arial" w:hAnsi="Arial"/>
          <w:sz w:val="22"/>
          <w:szCs w:val="22"/>
        </w:rPr>
        <w:t xml:space="preserve">Fed-batch bioreactor expansion (seed train): T-flasks → shake flasks → N-2 bioreactor (50 L) → N-1 bioreactor (500 L) → production bioreactor (2,000 L)</w:t>
      </w:r>
    </w:p>
    <w:p>
      <w:pPr>
        <w:pStyle w:val="ListParagraph"/>
        <w:numPr>
          <w:ilvl w:val="0"/>
          <w:numId w:val="2"/>
        </w:numPr>
        <w:spacing w:before="40" w:after="40"/>
      </w:pPr>
      <w:r>
        <w:rPr>
          <w:rFonts w:ascii="Arial" w:cs="Arial" w:eastAsia="Arial" w:hAnsi="Arial"/>
          <w:sz w:val="22"/>
          <w:szCs w:val="22"/>
        </w:rPr>
        <w:t xml:space="preserve">Harvest and clarification: centrifugation followed by depth filtration (0.45/0.2 μm)</w:t>
      </w:r>
    </w:p>
    <w:p>
      <w:pPr>
        <w:pStyle w:val="ListParagraph"/>
        <w:numPr>
          <w:ilvl w:val="0"/>
          <w:numId w:val="2"/>
        </w:numPr>
        <w:spacing w:before="40" w:after="40"/>
      </w:pPr>
      <w:r>
        <w:rPr>
          <w:rFonts w:ascii="Arial" w:cs="Arial" w:eastAsia="Arial" w:hAnsi="Arial"/>
          <w:sz w:val="22"/>
          <w:szCs w:val="22"/>
        </w:rPr>
        <w:t xml:space="preserve">Protein A affinity chromatography (MabSelect SuRe LX) — primary capture step</w:t>
      </w:r>
    </w:p>
    <w:p>
      <w:pPr>
        <w:pStyle w:val="ListParagraph"/>
        <w:numPr>
          <w:ilvl w:val="0"/>
          <w:numId w:val="2"/>
        </w:numPr>
        <w:spacing w:before="40" w:after="40"/>
      </w:pPr>
      <w:r>
        <w:rPr>
          <w:rFonts w:ascii="Arial" w:cs="Arial" w:eastAsia="Arial" w:hAnsi="Arial"/>
          <w:sz w:val="22"/>
          <w:szCs w:val="22"/>
        </w:rPr>
        <w:t xml:space="preserve">Virus inactivation: low-pH treatment (pH 3.6 ± 0.1, ≥60 min, 15°C)</w:t>
      </w:r>
    </w:p>
    <w:p>
      <w:pPr>
        <w:pStyle w:val="ListParagraph"/>
        <w:numPr>
          <w:ilvl w:val="0"/>
          <w:numId w:val="2"/>
        </w:numPr>
        <w:spacing w:before="40" w:after="40"/>
      </w:pPr>
      <w:r>
        <w:rPr>
          <w:rFonts w:ascii="Arial" w:cs="Arial" w:eastAsia="Arial" w:hAnsi="Arial"/>
          <w:sz w:val="22"/>
          <w:szCs w:val="22"/>
        </w:rPr>
        <w:t xml:space="preserve">Cation exchange chromatography (CEX, SP Sepharose FF) — intermediate purification</w:t>
      </w:r>
    </w:p>
    <w:p>
      <w:pPr>
        <w:pStyle w:val="ListParagraph"/>
        <w:numPr>
          <w:ilvl w:val="0"/>
          <w:numId w:val="2"/>
        </w:numPr>
        <w:spacing w:before="40" w:after="40"/>
      </w:pPr>
      <w:r>
        <w:rPr>
          <w:rFonts w:ascii="Arial" w:cs="Arial" w:eastAsia="Arial" w:hAnsi="Arial"/>
          <w:sz w:val="22"/>
          <w:szCs w:val="22"/>
        </w:rPr>
        <w:t xml:space="preserve">Anion exchange chromatography (AEX, Q Sepharose HP) — polishing/flow-through mode</w:t>
      </w:r>
    </w:p>
    <w:p>
      <w:pPr>
        <w:pStyle w:val="ListParagraph"/>
        <w:numPr>
          <w:ilvl w:val="0"/>
          <w:numId w:val="2"/>
        </w:numPr>
        <w:spacing w:before="40" w:after="40"/>
      </w:pPr>
      <w:r>
        <w:rPr>
          <w:rFonts w:ascii="Arial" w:cs="Arial" w:eastAsia="Arial" w:hAnsi="Arial"/>
          <w:sz w:val="22"/>
          <w:szCs w:val="22"/>
        </w:rPr>
        <w:t xml:space="preserve">Nanofiltration (Viresolve Pro, 20 nm) — viral clearance</w:t>
      </w:r>
    </w:p>
    <w:p>
      <w:pPr>
        <w:pStyle w:val="ListParagraph"/>
        <w:numPr>
          <w:ilvl w:val="0"/>
          <w:numId w:val="2"/>
        </w:numPr>
        <w:spacing w:before="40" w:after="40"/>
      </w:pPr>
      <w:r>
        <w:rPr>
          <w:rFonts w:ascii="Arial" w:cs="Arial" w:eastAsia="Arial" w:hAnsi="Arial"/>
          <w:sz w:val="22"/>
          <w:szCs w:val="22"/>
        </w:rPr>
        <w:t xml:space="preserve">Ultrafiltration/diafiltration (UF/DF) — buffer exchange and concentration to target 20 mg/mL</w:t>
      </w:r>
    </w:p>
    <w:p>
      <w:pPr>
        <w:pStyle w:val="ListParagraph"/>
        <w:numPr>
          <w:ilvl w:val="0"/>
          <w:numId w:val="2"/>
        </w:numPr>
        <w:spacing w:before="40" w:after="40"/>
      </w:pPr>
      <w:r>
        <w:rPr>
          <w:rFonts w:ascii="Arial" w:cs="Arial" w:eastAsia="Arial" w:hAnsi="Arial"/>
          <w:sz w:val="22"/>
          <w:szCs w:val="22"/>
        </w:rPr>
        <w:t xml:space="preserve">Sterile filtration (0.22 μm) and bulk drug substance (BDS) fill into BDS containers</w:t>
      </w:r>
    </w:p>
    <w:p>
      <w:pPr>
        <w:pStyle w:val="Heading3"/>
        <w:spacing w:before="180" w:after="60"/>
      </w:pPr>
      <w:r>
        <w:rPr>
          <w:rFonts w:ascii="Arial" w:cs="Arial" w:eastAsia="Arial" w:hAnsi="Arial"/>
          <w:b/>
          <w:bCs/>
          <w:color w:val="2C2C2C"/>
          <w:sz w:val="22"/>
          <w:szCs w:val="22"/>
        </w:rPr>
        <w:t xml:space="preserve">3.2.S.3  Characterization</w:t>
      </w:r>
    </w:p>
    <w:p>
      <w:pPr>
        <w:spacing w:before="60" w:after="100"/>
      </w:pPr>
      <w:r>
        <w:rPr>
          <w:rFonts w:ascii="Arial" w:cs="Arial" w:eastAsia="Arial" w:hAnsi="Arial"/>
          <w:sz w:val="22"/>
          <w:szCs w:val="22"/>
        </w:rPr>
        <w:t xml:space="preserve">Structural and physicochemical characterization of cervimab was conducted using a comprehensive battery of state-of-the-art analytical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3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8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 / Specification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Sequence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LC-MS/MS peptide mapping</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Confirmed; matches CHO cell-derived sequence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Disulfide bonds</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Non-reducing peptide mapping</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 inter-chain, 12 intra-chain; all confirmed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N-glycan Profile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2-AB HILIC-UPLC-FLD + MS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Predominant: G0F (41%), G1F (33%), G2F (18%), Man5 (&lt;5%)</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Isoelectric Point</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icIEF</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pI 7.8–8.4 (main isoform)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Molecular Weight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SEC-MALS / intact MS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148.2 kDa ± 0.5 kDa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Higher-Order Structure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DSC, CD spectroscopy</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Consistent with IgG4 framework; Tm1 = 72.4°C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Purity (Monomer)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SE-HPLC</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≥98.5% (specification: ≥97%)</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Aggregates (HMW)</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SE-HPLC / DLS</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≤0.8% (specification: ≤2%)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PD-1 Binding Affinity (KD)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 (Biacore T200)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0.82 ± 0.07 nM (reference standard)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FcRn Binding</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SPR</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Within 2-fold of nivolumab reference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Fc Effector Function (ADCC)</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Cell-based NK assay</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significant ADCC activity (consistent with IgG4)</w:t>
            </w:r>
          </w:p>
        </w:tc>
      </w:tr>
    </w:tbl>
    <w:p>
      <w:pPr>
        <w:pStyle w:val="Heading3"/>
        <w:spacing w:before="180" w:after="60"/>
      </w:pPr>
      <w:r>
        <w:rPr>
          <w:rFonts w:ascii="Arial" w:cs="Arial" w:eastAsia="Arial" w:hAnsi="Arial"/>
          <w:b/>
          <w:bCs/>
          <w:color w:val="2C2C2C"/>
          <w:sz w:val="22"/>
          <w:szCs w:val="22"/>
        </w:rPr>
        <w:t xml:space="preserve">3.2.S.4  Control of Drug Substance —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Parameter</w:t>
            </w:r>
          </w:p>
        </w:tc>
        <w:tc>
          <w:tcPr>
            <w:tcW w:type="dxa" w:w="3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8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Acceptance Criterion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Appearance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Visual Inspection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 to opalescent, colorless to pale yellow; no visible particles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Identity (PD-1 Binding)</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ELISA / SPR</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Binds specifically to PD-1 (EC50 within 50% of 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Potency (Cell-Based T Cell Assay)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Reporter gene assay (Jurkat/PD-1)</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80–125% of Reference Standard activity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Purity (SE-HPLC monomer)</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SE-HPLC</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≥97.0%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Purity (CEX — charge variants)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CEX-HPLC</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 isoform ≥65%; acidic ≤25%; basic ≤20%</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Protein Concentration</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A280 UV spectrophotometry</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18.0–22.0 mg/mL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Residual Protein 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ELISA</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ng/mg protein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Host Cell Protein (HCP)</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Process-specific ELISA</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≤100 ng/mg protein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Host Cell DNA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qPCR (SV40-CHO specific)</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pg/mg protein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Bioburden</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USP &lt;61&gt;</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 CFU/10 mL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Potentiometry</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5.6–6.0</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Endotoxin (LAL)</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 Eur. 2.6.14 / USP &lt;85&gt;</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≤0.5 EU/mg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Sterility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USP &lt;71&gt;</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Sterile — no growth</w:t>
            </w:r>
          </w:p>
        </w:tc>
      </w:tr>
    </w:tbl>
    <w:p>
      <w:pPr>
        <w:pStyle w:val="Heading3"/>
        <w:spacing w:before="180" w:after="60"/>
      </w:pPr>
      <w:r>
        <w:rPr>
          <w:rFonts w:ascii="Arial" w:cs="Arial" w:eastAsia="Arial" w:hAnsi="Arial"/>
          <w:b/>
          <w:bCs/>
          <w:color w:val="2C2C2C"/>
          <w:sz w:val="22"/>
          <w:szCs w:val="22"/>
        </w:rPr>
        <w:t xml:space="preserve">3.2.S.7  Stability</w:t>
      </w:r>
    </w:p>
    <w:p>
      <w:pPr>
        <w:spacing w:before="60" w:after="100"/>
      </w:pPr>
      <w:r>
        <w:rPr>
          <w:rFonts w:ascii="Arial" w:cs="Arial" w:eastAsia="Arial" w:hAnsi="Arial"/>
          <w:sz w:val="22"/>
          <w:szCs w:val="22"/>
        </w:rPr>
        <w:t xml:space="preserve">Long-term stability studies for cervimab drug substance (stored at -70 ± 10°C) have been conducted per ICH Q5C and are ongoing. Data supporting a proposed shelf life of 36 months at -70 ± 10°C are available from accelerated (25°C/60% RH, 6 months), stressed (40°C/75% RH, 3 months), and freeze-thaw cycling studies. All stability indicating methods (SE-HPLC, CEX-HPLC, potency, PD-1 binding) remain within specification throughout the proposed shelf life.</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MODULE 4 — NONCLINICAL STUDY REPORTS</w:t>
      </w:r>
    </w:p>
    <w:p>
      <w:pPr>
        <w:pStyle w:val="Heading2"/>
        <w:spacing w:before="240" w:after="80"/>
      </w:pPr>
      <w:r>
        <w:rPr>
          <w:rFonts w:ascii="Arial" w:cs="Arial" w:eastAsia="Arial" w:hAnsi="Arial"/>
          <w:b/>
          <w:bCs/>
          <w:color w:val="2E75B6"/>
          <w:sz w:val="24"/>
          <w:szCs w:val="24"/>
        </w:rPr>
        <w:t xml:space="preserve">4.2  Study Reports (Summary)</w:t>
      </w:r>
    </w:p>
    <w:p>
      <w:pPr>
        <w:pStyle w:val="Heading3"/>
        <w:spacing w:before="180" w:after="60"/>
      </w:pPr>
      <w:r>
        <w:rPr>
          <w:rFonts w:ascii="Arial" w:cs="Arial" w:eastAsia="Arial" w:hAnsi="Arial"/>
          <w:b/>
          <w:bCs/>
          <w:color w:val="2C2C2C"/>
          <w:sz w:val="22"/>
          <w:szCs w:val="22"/>
        </w:rPr>
        <w:t xml:space="preserve">4.2.1  Primary Pharmacodynamics</w:t>
      </w:r>
    </w:p>
    <w:p>
      <w:pPr>
        <w:spacing w:before="60" w:after="100"/>
      </w:pPr>
      <w:r>
        <w:rPr>
          <w:rFonts w:ascii="Arial" w:cs="Arial" w:eastAsia="Arial" w:hAnsi="Arial"/>
          <w:sz w:val="22"/>
          <w:szCs w:val="22"/>
        </w:rPr>
        <w:t xml:space="preserve">The primary pharmacodynamic activity of cervimab was evaluated in a series of in vitro and in vivo studies demonstrating:</w:t>
      </w:r>
    </w:p>
    <w:p>
      <w:pPr>
        <w:pStyle w:val="ListParagraph"/>
        <w:numPr>
          <w:ilvl w:val="0"/>
          <w:numId w:val="2"/>
        </w:numPr>
        <w:spacing w:before="40" w:after="40"/>
      </w:pPr>
      <w:r>
        <w:rPr>
          <w:rFonts w:ascii="Arial" w:cs="Arial" w:eastAsia="Arial" w:hAnsi="Arial"/>
          <w:sz w:val="22"/>
          <w:szCs w:val="22"/>
        </w:rPr>
        <w:t xml:space="preserve">Specific, high-affinity binding to human and cynomolgus monkey PD-1 (KD 0.82 nM and 1.24 nM, respectively); no binding to murine PD-1 (&gt;10,000 nM)</w:t>
      </w:r>
    </w:p>
    <w:p>
      <w:pPr>
        <w:pStyle w:val="ListParagraph"/>
        <w:numPr>
          <w:ilvl w:val="0"/>
          <w:numId w:val="2"/>
        </w:numPr>
        <w:spacing w:before="40" w:after="40"/>
      </w:pPr>
      <w:r>
        <w:rPr>
          <w:rFonts w:ascii="Arial" w:cs="Arial" w:eastAsia="Arial" w:hAnsi="Arial"/>
          <w:sz w:val="22"/>
          <w:szCs w:val="22"/>
        </w:rPr>
        <w:t xml:space="preserve">Blockade of PD-1/PD-L1 and PD-1/PD-L2 interactions in cell-free competitive binding assays (IC50 0.6 nM and 0.9 nM respectively)</w:t>
      </w:r>
    </w:p>
    <w:p>
      <w:pPr>
        <w:pStyle w:val="ListParagraph"/>
        <w:numPr>
          <w:ilvl w:val="0"/>
          <w:numId w:val="2"/>
        </w:numPr>
        <w:spacing w:before="40" w:after="40"/>
      </w:pPr>
      <w:r>
        <w:rPr>
          <w:rFonts w:ascii="Arial" w:cs="Arial" w:eastAsia="Arial" w:hAnsi="Arial"/>
          <w:sz w:val="22"/>
          <w:szCs w:val="22"/>
        </w:rPr>
        <w:t xml:space="preserve">Enhancement of T cell activation (IL-2 and IFN-γ production) in mixed lymphocyte reactions (MLR) and SEB-stimulated whole blood assays</w:t>
      </w:r>
    </w:p>
    <w:p>
      <w:pPr>
        <w:pStyle w:val="ListParagraph"/>
        <w:numPr>
          <w:ilvl w:val="0"/>
          <w:numId w:val="2"/>
        </w:numPr>
        <w:spacing w:before="40" w:after="40"/>
      </w:pPr>
      <w:r>
        <w:rPr>
          <w:rFonts w:ascii="Arial" w:cs="Arial" w:eastAsia="Arial" w:hAnsi="Arial"/>
          <w:sz w:val="22"/>
          <w:szCs w:val="22"/>
        </w:rPr>
        <w:t xml:space="preserve">In vivo anti-tumor activity in a huPD-1/huPD-L1 knock-in syngeneic mouse model (MC38-hPD-L1): significant tumor growth inhibition (TGI 74% vs. isotype control, p&lt;0.001) and 3 complete responses out of 10 animals at 10 mg/kg</w:t>
      </w:r>
    </w:p>
    <w:p>
      <w:pPr>
        <w:pStyle w:val="Heading3"/>
        <w:spacing w:before="180" w:after="60"/>
      </w:pPr>
      <w:r>
        <w:rPr>
          <w:rFonts w:ascii="Arial" w:cs="Arial" w:eastAsia="Arial" w:hAnsi="Arial"/>
          <w:b/>
          <w:bCs/>
          <w:color w:val="2C2C2C"/>
          <w:sz w:val="22"/>
          <w:szCs w:val="22"/>
        </w:rPr>
        <w:t xml:space="preserve">4.2.3  Toxicology Summary</w:t>
      </w:r>
    </w:p>
    <w:p>
      <w:pPr>
        <w:spacing w:before="60" w:after="100"/>
      </w:pPr>
      <w:r>
        <w:rPr>
          <w:rFonts w:ascii="Arial" w:cs="Arial" w:eastAsia="Arial" w:hAnsi="Arial"/>
          <w:sz w:val="22"/>
          <w:szCs w:val="22"/>
        </w:rPr>
        <w:t xml:space="preserve">GLP-compliant toxicology studies were conducted in cynomolgus monkeys (the only pharmacologically relevant species) per ICH S6(R1):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Study</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Species / Route</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Duration</w:t>
            </w:r>
          </w:p>
        </w:tc>
        <w:tc>
          <w:tcPr>
            <w:tcW w:type="dxa" w:w="27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Findings / NOAEL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4-week repeat-dose tox + 4-week recovery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Cynomolgus / IV</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 + 4 weeks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NOAEL: 100 mg/kg/week; minimal reversible hepatic enzyme elevations at 100 mg/kg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13-week repeat-dose tox + 8-week recovery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Cynomolgus / IV</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13 + 8 weeks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NOAEL: 50 mg/kg Q2W; immune-mediated colitis in 2/20 animals at 150 mg/kg (high dose only)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Embryo-fetal development (EFD)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Cynomolgus / IV</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GD20–GD50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Increased early resorptions at ≥10 mg/kg/week; NOAEL: &lt;10 mg/kg/week for EFD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Tissue cross-reactivity (TCR)</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Human / Cyno tissues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 (in vitro)</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unexpected off-target binding; PD-1 expression pattern confirmed on T cells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Genotoxicity (Ames, MN clastogenicity)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 (mAb — exempt per ICH S6)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conducted per ICH S6(R1) exemption for mAbs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Carcinogenicity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 (mAb — exempt per ICH S6)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conducted per ICH S6(R1)</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MODULE 5 — CLINICAL STUDY REPORTS</w:t>
      </w:r>
    </w:p>
    <w:p>
      <w:pPr>
        <w:pStyle w:val="Heading2"/>
        <w:spacing w:before="240" w:after="80"/>
      </w:pPr>
      <w:r>
        <w:rPr>
          <w:rFonts w:ascii="Arial" w:cs="Arial" w:eastAsia="Arial" w:hAnsi="Arial"/>
          <w:b/>
          <w:bCs/>
          <w:color w:val="2E75B6"/>
          <w:sz w:val="24"/>
          <w:szCs w:val="24"/>
        </w:rPr>
        <w:t xml:space="preserve">5.2  Tabular Listing of All Clinical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1660"/>
        <w:gridCol w:w="1400"/>
        <w:gridCol w:w="150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Study ID</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Design</w:t>
            </w:r>
          </w:p>
        </w:tc>
        <w:tc>
          <w:tcPr>
            <w:tcW w:type="dxa" w:w="16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Population</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 Enrolled</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CERVIMAB-101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Open-label, dose-escalation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Advanced solid tumors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CERVIMAB-101-Ext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Open-label PK extension</w:t>
            </w:r>
          </w:p>
        </w:tc>
        <w:tc>
          <w:tcPr>
            <w:tcW w:type="dxa" w:w="1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Advanced solid tumors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CERVIMAB-102-Renal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Open-label PK (renal impairment)</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Cancer + renal impairment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CERVIMAB-103-Hepatic</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Open-label PK (hepatic impairment)</w:t>
            </w:r>
          </w:p>
        </w:tc>
        <w:tc>
          <w:tcPr>
            <w:tcW w:type="dxa" w:w="1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Cancer + hepatic impairment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CERVIMAB-201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Single-arm, open-label</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dMMR/MSI-H mCRC (2L+)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CERVIMAB-301 (RESTORE-CRC)</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RCT, open-label, active-controlled</w:t>
            </w:r>
          </w:p>
        </w:tc>
        <w:tc>
          <w:tcPr>
            <w:tcW w:type="dxa" w:w="1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dMMR/MSI-H mCRC (2L+)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612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 (Final OS analysis)</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5.3.5.1  Clinical Study Report — CERVIMAB-301 (RESTORE-CRC) Summary</w:t>
      </w:r>
    </w:p>
    <w:p>
      <w:pPr>
        <w:pStyle w:val="Heading3"/>
        <w:spacing w:before="180" w:after="60"/>
      </w:pPr>
      <w:r>
        <w:rPr>
          <w:rFonts w:ascii="Arial" w:cs="Arial" w:eastAsia="Arial" w:hAnsi="Arial"/>
          <w:b/>
          <w:bCs/>
          <w:color w:val="2C2C2C"/>
          <w:sz w:val="22"/>
          <w:szCs w:val="22"/>
        </w:rPr>
        <w:t xml:space="preserve">Study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Full Study Title: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Randomized, Open-Label, Active-Controlled, Multicenter, Global Phase 3 Trial of CERVIMAB versus Investigator's Choice (Regorafenib or TAS-102) in Patients with Previously Treated Unresectable or Metastatic Mismatch Repair-Deficient / Microsatellite Instability-High Colorectal Cancer (RESTORE-CRC)</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Number: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CERVIMAB-301</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EudraCT Number: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2020-005678-31</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ClinicalTrials.gov:</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NCT04567890</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Protocol Version: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Version 5.0, dated March 15, 2023</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Duration: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First Patient Enrolled: September 14, 2021 | Last Patient, Last Visit: June 30, 2024</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Number of Sites: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148 investigational sites across 22 countries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Randomization: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 (CERVIMAB : Investigator's Choice); stratified by prior bevacizumab, ECOG PS, region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Primary Endpoint: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Overall Survival (OS) per IRC</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Key Secondary Endpoints: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Progression-Free Survival (PFS per RECIST 1.1 by IRC), ORR, DOR, DCR, PRO (FACT-C, EQ-5D-5L)</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Interim Analysis (IA-1):</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Conducted at 60% OS events (n=265); results presented to IDMC December 2023</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Final OS Analysis: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Conducted at 85% OS events (n=376); database lock April 30, 2024</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Statistical Analysis Plan (SAP) Version: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SAP v3.0 (pre-specified, finalized before IA-1 unblinding)</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IDMC:</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Independent Data Monitoring Committee — 5 members (3 oncologists, 1 statistician, 1 ethicist)</w:t>
            </w:r>
          </w:p>
        </w:tc>
      </w:tr>
    </w:tbl>
    <w:p>
      <w:pPr>
        <w:spacing w:before="60" w:after="60"/>
      </w:pPr>
      <w:r>
        <w:t xml:space="preserve"/>
      </w:r>
    </w:p>
    <w:p>
      <w:pPr>
        <w:pStyle w:val="Heading3"/>
        <w:spacing w:before="180" w:after="60"/>
      </w:pPr>
      <w:r>
        <w:rPr>
          <w:rFonts w:ascii="Arial" w:cs="Arial" w:eastAsia="Arial" w:hAnsi="Arial"/>
          <w:b/>
          <w:bCs/>
          <w:color w:val="2C2C2C"/>
          <w:sz w:val="22"/>
          <w:szCs w:val="22"/>
        </w:rPr>
        <w:t xml:space="preserve">Efficacy Results — Final OS Analysis</w:t>
      </w:r>
    </w:p>
    <w:p>
      <w:pPr>
        <w:spacing w:before="60" w:after="100"/>
      </w:pPr>
      <w:r>
        <w:rPr>
          <w:rFonts w:ascii="Arial" w:cs="Arial" w:eastAsia="Arial" w:hAnsi="Arial"/>
          <w:b/>
          <w:bCs/>
          <w:sz w:val="22"/>
          <w:szCs w:val="22"/>
        </w:rPr>
        <w:t xml:space="preserve">Primary Endpoint — Overall Survival:</w:t>
      </w:r>
    </w:p>
    <w:p>
      <w:pPr>
        <w:spacing w:before="60" w:after="100"/>
      </w:pPr>
      <w:r>
        <w:rPr>
          <w:rFonts w:ascii="Arial" w:cs="Arial" w:eastAsia="Arial" w:hAnsi="Arial"/>
          <w:sz w:val="22"/>
          <w:szCs w:val="22"/>
        </w:rPr>
        <w:t xml:space="preserve">At the final OS analysis (data cutoff: April 30, 2024; median follow-up 27.4 months; 376 OS events), CERVIMAB demonstrated a statistically significant and clinically meaningful improvement in OS versus investigator's choice:</w:t>
      </w:r>
    </w:p>
    <w:p>
      <w:pPr>
        <w:pStyle w:val="ListParagraph"/>
        <w:numPr>
          <w:ilvl w:val="0"/>
          <w:numId w:val="2"/>
        </w:numPr>
        <w:spacing w:before="40" w:after="40"/>
      </w:pPr>
      <w:r>
        <w:rPr>
          <w:rFonts w:ascii="Arial" w:cs="Arial" w:eastAsia="Arial" w:hAnsi="Arial"/>
          <w:sz w:val="22"/>
          <w:szCs w:val="22"/>
        </w:rPr>
        <w:t xml:space="preserve">Median OS: 20.4 months (95% CI: 17.8–23.6) vs. 9.3 months (95% CI: 7.9–11.1)</w:t>
      </w:r>
    </w:p>
    <w:p>
      <w:pPr>
        <w:pStyle w:val="ListParagraph"/>
        <w:numPr>
          <w:ilvl w:val="0"/>
          <w:numId w:val="2"/>
        </w:numPr>
        <w:spacing w:before="40" w:after="40"/>
      </w:pPr>
      <w:r>
        <w:rPr>
          <w:rFonts w:ascii="Arial" w:cs="Arial" w:eastAsia="Arial" w:hAnsi="Arial"/>
          <w:sz w:val="22"/>
          <w:szCs w:val="22"/>
        </w:rPr>
        <w:t xml:space="preserve">HR: 0.44 (95% CI: 0.35–0.55); p &lt; 0.0001 (two-sided stratified log-rank test)</w:t>
      </w:r>
    </w:p>
    <w:p>
      <w:pPr>
        <w:pStyle w:val="ListParagraph"/>
        <w:numPr>
          <w:ilvl w:val="0"/>
          <w:numId w:val="2"/>
        </w:numPr>
        <w:spacing w:before="40" w:after="40"/>
      </w:pPr>
      <w:r>
        <w:rPr>
          <w:rFonts w:ascii="Arial" w:cs="Arial" w:eastAsia="Arial" w:hAnsi="Arial"/>
          <w:sz w:val="22"/>
          <w:szCs w:val="22"/>
        </w:rPr>
        <w:t xml:space="preserve">24-month OS rate: 42.1% (CERVIMAB) vs. 18.3% (control)</w:t>
      </w:r>
    </w:p>
    <w:p>
      <w:pPr>
        <w:pStyle w:val="ListParagraph"/>
        <w:numPr>
          <w:ilvl w:val="0"/>
          <w:numId w:val="2"/>
        </w:numPr>
        <w:spacing w:before="40" w:after="40"/>
      </w:pPr>
      <w:r>
        <w:rPr>
          <w:rFonts w:ascii="Arial" w:cs="Arial" w:eastAsia="Arial" w:hAnsi="Arial"/>
          <w:sz w:val="22"/>
          <w:szCs w:val="22"/>
        </w:rPr>
        <w:t xml:space="preserve">36-month OS rate: 28.7% (CERVIMAB) vs. 8.9% (control)</w:t>
      </w:r>
    </w:p>
    <w:p>
      <w:pPr>
        <w:spacing w:before="60" w:after="100"/>
      </w:pPr>
      <w:r>
        <w:rPr>
          <w:rFonts w:ascii="Arial" w:cs="Arial" w:eastAsia="Arial" w:hAnsi="Arial"/>
          <w:sz w:val="22"/>
          <w:szCs w:val="22"/>
        </w:rPr>
        <w:t xml:space="preserve">The pre-specified significance boundary for the final OS analysis was α = 0.0227 (two-sided), based on a Lan-DeMets O'Brien-Fleming alpha-spending function with one prior interim analysis. The observed p-value was far below this boundary.</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Patient-Reported Outcomes (PROs)</w:t>
      </w:r>
    </w:p>
    <w:p>
      <w:pPr>
        <w:spacing w:before="60" w:after="100"/>
      </w:pPr>
      <w:r>
        <w:rPr>
          <w:rFonts w:ascii="Arial" w:cs="Arial" w:eastAsia="Arial" w:hAnsi="Arial"/>
          <w:sz w:val="22"/>
          <w:szCs w:val="22"/>
        </w:rPr>
        <w:t xml:space="preserve">CERVIMAB demonstrated statistically significant improvements versus control in time to definitive deterioration (TDD) on the FACT-C Total Score (HR 0.56; 95% CI: 0.44–0.71; p&lt;0.0001) and the EQ-5D-5L VAS score (mean difference +9.4 points at Week 12; p=0.0008), reflecting meaningful preservation of health-related quality of life (HRQoL).</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Biomarker Analyses</w:t>
      </w:r>
    </w:p>
    <w:p>
      <w:pPr>
        <w:spacing w:before="60" w:after="100"/>
      </w:pPr>
      <w:r>
        <w:rPr>
          <w:rFonts w:ascii="Arial" w:cs="Arial" w:eastAsia="Arial" w:hAnsi="Arial"/>
          <w:sz w:val="22"/>
          <w:szCs w:val="22"/>
        </w:rPr>
        <w:t xml:space="preserve">Pre-specified exploratory biomarker analyses evaluated the predictive value of PD-L1 CPS, TMB, BRAF/KRAS mutation status, and gut microbiome composition on CERVIMAB outcomes. Key findings:</w:t>
      </w:r>
    </w:p>
    <w:p>
      <w:pPr>
        <w:pStyle w:val="ListParagraph"/>
        <w:numPr>
          <w:ilvl w:val="0"/>
          <w:numId w:val="2"/>
        </w:numPr>
        <w:spacing w:before="40" w:after="40"/>
      </w:pPr>
      <w:r>
        <w:rPr>
          <w:rFonts w:ascii="Arial" w:cs="Arial" w:eastAsia="Arial" w:hAnsi="Arial"/>
          <w:sz w:val="22"/>
          <w:szCs w:val="22"/>
        </w:rPr>
        <w:t xml:space="preserve">PD-L1 CPS: A numerical trend toward improved ORR in CPS ≥10 subgroup (ORR 45.2% vs. 33.8% for CPS &lt;10); however, OS benefit was maintained regardless of CPS, supporting PD-L1 as a prognostic but not predictive biomarker in this dMMR/MSI-H population</w:t>
      </w:r>
    </w:p>
    <w:p>
      <w:pPr>
        <w:pStyle w:val="ListParagraph"/>
        <w:numPr>
          <w:ilvl w:val="0"/>
          <w:numId w:val="2"/>
        </w:numPr>
        <w:spacing w:before="40" w:after="40"/>
      </w:pPr>
      <w:r>
        <w:rPr>
          <w:rFonts w:ascii="Arial" w:cs="Arial" w:eastAsia="Arial" w:hAnsi="Arial"/>
          <w:sz w:val="22"/>
          <w:szCs w:val="22"/>
        </w:rPr>
        <w:t xml:space="preserve">TMB: Patients with TMB ≥20 mut/Mb showed numerically higher ORR (51.3%) vs. TMB 10–19 (35.4%); OS benefit maintained across TMB strata</w:t>
      </w:r>
    </w:p>
    <w:p>
      <w:pPr>
        <w:pStyle w:val="ListParagraph"/>
        <w:numPr>
          <w:ilvl w:val="0"/>
          <w:numId w:val="2"/>
        </w:numPr>
        <w:spacing w:before="40" w:after="40"/>
      </w:pPr>
      <w:r>
        <w:rPr>
          <w:rFonts w:ascii="Arial" w:cs="Arial" w:eastAsia="Arial" w:hAnsi="Arial"/>
          <w:sz w:val="22"/>
          <w:szCs w:val="22"/>
        </w:rPr>
        <w:t xml:space="preserve">BRAF V600E: Present in 38.6% of enrolled patients; ORR slightly lower in BRAF-mutant (32.1% vs. 42.8% WT) but meaningful OS benefit maintained (HR 0.41 BRAF-mut vs. 0.46 BRAF-WT)</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APPENDICES &amp; CROSS-REFERENCE INFORMATION</w:t>
      </w:r>
    </w:p>
    <w:p>
      <w:pPr>
        <w:pStyle w:val="Heading2"/>
        <w:spacing w:before="240" w:after="80"/>
      </w:pPr>
      <w:r>
        <w:rPr>
          <w:rFonts w:ascii="Arial" w:cs="Arial" w:eastAsia="Arial" w:hAnsi="Arial"/>
          <w:b/>
          <w:bCs/>
          <w:color w:val="2E75B6"/>
          <w:sz w:val="24"/>
          <w:szCs w:val="24"/>
        </w:rPr>
        <w:t xml:space="preserve">Appendix A — Regulatory History and FDA Meeting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Meeting / Interaction Type</w:t>
            </w:r>
          </w:p>
        </w:tc>
        <w:tc>
          <w:tcPr>
            <w:tcW w:type="dxa" w:w="5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Summary of Outcome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 15, 2019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 B — Pre-IND Meeting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FDA concurred with nonclinical strategy; no additional toxicology studies required prior to FIH; agreed on cynomolgus monkey as relevant species per ICH S6(R1)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Jan 20, 2020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 Submission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 123456 submitted and placed on active status without clinical hold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 12, 2022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Breakthrough Therapy Designation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BTD granted based on Phase 2 CERVIMAB-201 data (ORR 41.5%, mDOR not reached); FDA concurred that CERVIMAB demonstrates substantial improvement over available therapies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Jun 8, 2022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Type B — End of Phase 2 Meeting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FDA concurred with RESTORE-CRC Phase 3 design; agreed on OS as primary endpoint; agreed that both regorafenib and TAS-102 constitute appropriate active control; agreed on dMMR/MSI-H by local IHC/PCR or central NGS as eligibility criterion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Feb 14, 2023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 B — Pre-BLA Meeting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FDA accepted eCTD format; agreed on integrated safety population; confirmed accelerated approval pathway with OS as regular approval endpoint; confirmed no required REMS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Nov 14, 2025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BLA Submission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Original BLA filed (BLA 761XXX)</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Appendix B — 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Abbreviation</w:t>
            </w:r>
          </w:p>
        </w:tc>
        <w:tc>
          <w:tcPr>
            <w:tcW w:type="dxa" w:w="792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AEX</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Anion Exchange Chromatography</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BLA</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Biologics License Application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BTD</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Breakthrough Therapy Designation</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CEX</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Cation Exchange Chromatography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CHO</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Chinese Hamster Ovary</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CPS</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Combined Positive Score (PD-L1)</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CRC</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Colorectal Cancer</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CSR</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Clinical Study Report</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DCR</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Disease Control Rate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dMMR</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Deficient Mismatch Repair</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DOR</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Duration of Response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DSC</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Differential Scanning Calorimetry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eCTD</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Electronic Common Technical Document</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EFD</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Embryo-Fetal Development</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Exposure-Response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FACT-C</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Functional Assessment of Cancer Therapy – Colorectal</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GLP</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Good Laboratory Practice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HR</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Hazard Ratio</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HRQoL</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Health-Related Quality of Life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ICH</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International Council for Harmonisation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IDMC</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Independent Data Monitoring Committee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IgG4</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Immunoglobulin G subclass 4</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imAE</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Immune-Mediated Adverse Event</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IRC</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Independent Review Committee</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INN</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International Non-proprietary Name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KD</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Equilibrium Dissociation Constant</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mAb</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Monoclonal Antibody</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MCB</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Master Cell Bank</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MLR</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Mixed Lymphocyte Reaction</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MSI-H</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Microsatellite Instability-High</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NGS</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Next-Generation Sequencing</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NOAEL</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No-Observed-Adverse-Effect Level</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ORR</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Objective Response Rate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OS</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Overall Survival</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PD-1</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Programmed Cell Death Protein 1</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PD-L1 / PD-L2</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Programmed Death Ligand 1 / 2</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PFS</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Progression-Free Survival</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PI</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Prescribing Information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PopPK</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Population Pharmacokinetics</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Q6W</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Every 6 Weeks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RCT</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Randomized Controlled Trial</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RECIST</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Response Evaluation Criteria In Solid Tumors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REMS</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Risk Evaluation and Mitigation Strategy</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RTOR</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Real-Time Oncology Review</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SAP</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Statistical Analysis Plan</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SE-HPLC</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Size-Exclusion High-Performance Liquid Chromatography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Surface Plasmon Resonance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TDD</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Time to Definitive Deterioration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TGI</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Tumor Growth Inhibition</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TMB</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Tumor Mutational Burden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TRAE</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Treatment-Related Adverse Event</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UF/DF</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Ultrafiltration / Diafiltration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WCB</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Working Cell Bank</w:t>
            </w:r>
          </w:p>
        </w:tc>
      </w:tr>
    </w:tbl>
    <w:p>
      <w:pPr>
        <w:spacing w:before="60" w:after="60"/>
      </w:pPr>
      <w:r>
        <w:t xml:space="preserve"/>
      </w:r>
    </w:p>
    <w:p>
      <w:pPr>
        <w:pBdr>
          <w:top w:val="single" w:color="2E75B6" w:sz="8" w:space="8"/>
        </w:pBdr>
        <w:spacing w:before="360" w:after="120"/>
        <w:jc w:val="center"/>
      </w:pPr>
      <w:r>
        <w:rPr>
          <w:rFonts w:ascii="Arial" w:cs="Arial" w:eastAsia="Arial" w:hAnsi="Arial"/>
          <w:b/>
          <w:bCs/>
          <w:color w:val="1F3864"/>
          <w:sz w:val="22"/>
          <w:szCs w:val="22"/>
        </w:rPr>
        <w:t xml:space="preserve">— END OF BLA 761XXX / CERVIMAB eCTD SUBMISSION —</w:t>
      </w:r>
    </w:p>
    <w:p>
      <w:pPr>
        <w:spacing w:before="40" w:after="40"/>
        <w:jc w:val="center"/>
      </w:pPr>
      <w:r>
        <w:rPr>
          <w:rFonts w:ascii="Arial" w:cs="Arial" w:eastAsia="Arial" w:hAnsi="Arial"/>
          <w:b/>
          <w:bCs/>
          <w:color w:val="CC0000"/>
          <w:sz w:val="18"/>
          <w:szCs w:val="18"/>
        </w:rPr>
        <w:t xml:space="preserve">CONFIDENTIAL — PROPRIETARY INFORMATION OF ARCHON BIOTHERAPEUTICS, INC.</w:t>
      </w:r>
    </w:p>
    <w:p>
      <w:pPr>
        <w:spacing w:before="40" w:after="40"/>
        <w:jc w:val="center"/>
      </w:pPr>
      <w:r>
        <w:rPr>
          <w:rFonts w:ascii="Arial" w:cs="Arial" w:eastAsia="Arial" w:hAnsi="Arial"/>
          <w:i/>
          <w:iCs/>
          <w:color w:val="666666"/>
          <w:sz w:val="18"/>
          <w:szCs w:val="18"/>
        </w:rPr>
        <w:t xml:space="preserve">This document is intended solely for regulatory review purposes by the U.S. Food and Drug Administration. Any unauthorized use, disclosure, or reproduction is strictly prohibited.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777777"/>
        <w:sz w:val="16"/>
        <w:szCs w:val="16"/>
      </w:rPr>
      <w:t xml:space="preserve">© 2025 Archon Biotherapeutics, Inc. — Proprietary &amp; Confidential</w:t>
    </w:r>
    <w:r>
      <w:rPr>
        <w:rFonts w:ascii="Arial" w:cs="Arial" w:eastAsia="Arial" w:hAnsi="Arial"/>
        <w:color w:val="777777"/>
        <w:sz w:val="16"/>
        <w:szCs w:val="16"/>
      </w:rPr>
      <w:t xml:space="preserve">	Page </w:t>
    </w:r>
    <w:r>
      <w:rPr>
        <w:rFonts w:ascii="Arial" w:cs="Arial" w:eastAsia="Arial" w:hAnsi="Arial"/>
        <w:color w:val="777777"/>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BLA 761XXX — CERVIMAB (anti-PD-1 mAb) — NDA/BLA eCTD Submission</w:t>
    </w:r>
    <w:r>
      <w:rPr>
        <w:rFonts w:ascii="Arial" w:cs="Arial" w:eastAsia="Arial" w:hAnsi="Arial"/>
        <w:b/>
        <w:bCs/>
        <w:color w:val="CC0000"/>
        <w:sz w:val="18"/>
        <w:szCs w:val="18"/>
      </w:rPr>
      <w:t xml:space="preserve">    |    CONFIDENTIAL — FOR REGULATORY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2026-03-16T14:12:06.303Z</dcterms:created>
  <dcterms:modified xsi:type="dcterms:W3CDTF">2026-03-16T14:12:06.303Z</dcterms:modified>
</cp:coreProperties>
</file>

<file path=docProps/custom.xml><?xml version="1.0" encoding="utf-8"?>
<Properties xmlns="http://schemas.openxmlformats.org/officeDocument/2006/custom-properties" xmlns:vt="http://schemas.openxmlformats.org/officeDocument/2006/docPropsVTypes"/>
</file>