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p>
    <w:p>
      <w:pPr>
        <w:spacing w:before="0" w:after="80"/>
      </w:pPr>
    </w:p>
    <w:p>
      <w:pPr>
        <w:spacing w:before="0" w:after="80"/>
      </w:pPr>
    </w:p>
    <w:p>
      <w:pPr>
        <w:spacing w:before="0" w:after="80"/>
      </w:pPr>
    </w:p>
    <w:p>
      <w:pPr>
        <w:pBdr>
          <w:bottom w:val="single" w:color="2E75B6" w:sz="12"/>
        </w:pBdr>
        <w:spacing w:before="0" w:after="240"/>
        <w:jc w:val="center"/>
      </w:pPr>
      <w:r>
        <w:rPr>
          <w:rFonts w:ascii="Arial" w:cs="Arial" w:eastAsia="Arial" w:hAnsi="Arial"/>
          <w:b/>
          <w:bCs/>
          <w:color w:val="2E75B6"/>
          <w:sz w:val="18"/>
          <w:szCs w:val="18"/>
        </w:rPr>
        <w:t xml:space="preserve">CONFIDENTIAL — FOR REGULATORY PURPOSES ONLY</w:t>
      </w:r>
    </w:p>
    <w:p>
      <w:pPr>
        <w:spacing w:before="0" w:after="80"/>
      </w:pPr>
    </w:p>
    <w:p>
      <w:pPr>
        <w:spacing w:before="0" w:after="80"/>
      </w:pPr>
    </w:p>
    <w:p>
      <w:pPr>
        <w:jc w:val="center"/>
      </w:pPr>
      <w:r>
        <w:rPr>
          <w:rFonts w:ascii="Arial" w:cs="Arial" w:eastAsia="Arial" w:hAnsi="Arial"/>
          <w:b/>
          <w:bCs/>
          <w:color w:val="444444"/>
          <w:sz w:val="22"/>
          <w:szCs w:val="22"/>
        </w:rPr>
        <w:t xml:space="preserve">Nexagen Biotherapeutics, Inc.</w:t>
      </w:r>
    </w:p>
    <w:p>
      <w:pPr>
        <w:spacing w:before="0" w:after="80"/>
      </w:pPr>
    </w:p>
    <w:p>
      <w:pPr>
        <w:spacing w:before="80" w:after="200"/>
        <w:jc w:val="center"/>
      </w:pPr>
      <w:r>
        <w:rPr>
          <w:rFonts w:ascii="Arial" w:cs="Arial" w:eastAsia="Arial" w:hAnsi="Arial"/>
          <w:b/>
          <w:bCs/>
          <w:color w:val="1F4E79"/>
          <w:sz w:val="40"/>
          <w:szCs w:val="40"/>
        </w:rPr>
        <w:t xml:space="preserve">CERVIMAB (cerviximab-dryx)</w:t>
      </w:r>
    </w:p>
    <w:p>
      <w:pPr>
        <w:spacing w:before="0" w:after="320"/>
        <w:jc w:val="center"/>
      </w:pPr>
      <w:r>
        <w:rPr>
          <w:rFonts w:ascii="Arial" w:cs="Arial" w:eastAsia="Arial" w:hAnsi="Arial"/>
          <w:color w:val="2E75B6"/>
          <w:sz w:val="26"/>
          <w:szCs w:val="26"/>
        </w:rPr>
        <w:t xml:space="preserve">PD-1 Inhibitor for dMMR/MSI-H Metastatic Colorectal Cancer</w:t>
      </w:r>
    </w:p>
    <w:p>
      <w:pPr>
        <w:spacing w:before="0" w:after="80"/>
      </w:pPr>
    </w:p>
    <w:p>
      <w:pPr>
        <w:jc w:val="center"/>
      </w:pPr>
      <w:r>
        <w:rPr>
          <w:rFonts w:ascii="Arial" w:cs="Arial" w:eastAsia="Arial" w:hAnsi="Arial"/>
          <w:b/>
          <w:bCs/>
          <w:color w:val="555555"/>
          <w:sz w:val="22"/>
          <w:szCs w:val="22"/>
        </w:rPr>
        <w:t xml:space="preserve">COMPLETE RESPONSE TO FDA INFORMATION REQUESTS
In Response to Complete Response Letter (CRL) — NDA 761XXX</w:t>
      </w:r>
    </w:p>
    <w:p>
      <w:pPr>
        <w:spacing w:before="0" w:after="80"/>
      </w:pPr>
    </w:p>
    <w:p>
      <w:pPr>
        <w:spacing w:before="0" w:after="80"/>
      </w:pPr>
    </w:p>
    <w:p>
      <w:pPr>
        <w:spacing w:before="0" w:after="80"/>
      </w:pPr>
    </w:p>
    <w:p>
      <w:pPr>
        <w:jc w:val="center"/>
      </w:pPr>
      <w:r>
        <w:rPr>
          <w:rFonts w:ascii="Arial" w:cs="Arial" w:eastAsia="Arial" w:hAnsi="Arial"/>
          <w:sz w:val="20"/>
          <w:szCs w:val="20"/>
        </w:rPr>
        <w:t xml:space="preserve">Version: 1.0 — Final</w:t>
      </w:r>
    </w:p>
    <w:p>
      <w:pPr>
        <w:jc w:val="center"/>
      </w:pPr>
      <w:r>
        <w:rPr>
          <w:rFonts w:ascii="Arial" w:cs="Arial" w:eastAsia="Arial" w:hAnsi="Arial"/>
          <w:sz w:val="20"/>
          <w:szCs w:val="20"/>
        </w:rPr>
        <w:t xml:space="preserve">Date: March 16, 2026</w:t>
      </w:r>
    </w:p>
    <w:p>
      <w:pPr>
        <w:spacing w:before="0" w:after="80"/>
      </w:pPr>
    </w:p>
    <w:p>
      <w:pPr>
        <w:spacing w:before="0" w:after="80"/>
      </w:pPr>
    </w:p>
    <w:p>
      <w:pPr>
        <w:jc w:val="center"/>
      </w:pPr>
      <w:r>
        <w:rPr>
          <w:rFonts w:ascii="Arial" w:cs="Arial" w:eastAsia="Arial" w:hAnsi="Arial"/>
          <w:color w:val="555555"/>
          <w:sz w:val="19"/>
          <w:szCs w:val="19"/>
        </w:rPr>
        <w:t xml:space="preserve">IND Number: IND 123456  |  NDA Number: NDA 761XXX</w:t>
      </w:r>
    </w:p>
    <w:p>
      <w:pPr>
        <w:pBdr>
          <w:top w:val="single" w:color="2E75B6" w:sz="12"/>
        </w:pBdr>
        <w:spacing w:before="200" w:after="0"/>
        <w:jc w:val="center"/>
      </w:pPr>
      <w:r>
        <w:rPr>
          <w:sz w:val="20"/>
          <w:szCs w:val="20"/>
        </w:rPr>
        <w:t xml:space="preserve"/>
      </w:r>
    </w:p>
    <w:p>
      <w:r>
        <w:br w:type="page"/>
      </w:r>
    </w:p>
    <w:p>
      <w:pPr>
        <w:pStyle w:val="Heading1"/>
        <w:spacing w:before="320" w:after="120"/>
      </w:pPr>
      <w:r>
        <w:rPr>
          <w:rFonts w:ascii="Arial" w:cs="Arial" w:eastAsia="Arial" w:hAnsi="Arial"/>
          <w:b/>
          <w:bCs/>
          <w:color w:val="1F4E79"/>
          <w:sz w:val="36"/>
          <w:szCs w:val="36"/>
        </w:rPr>
        <w:t xml:space="preserve">1. EXECUTIVE SUMMARY</w:t>
      </w:r>
    </w:p>
    <w:p>
      <w:pPr>
        <w:spacing w:before="80" w:after="120" w:line="276"/>
        <w:jc w:val="both"/>
      </w:pPr>
      <w:r>
        <w:rPr>
          <w:rFonts w:ascii="Arial" w:cs="Arial" w:eastAsia="Arial" w:hAnsi="Arial"/>
          <w:b w:val="false"/>
          <w:bCs w:val="false"/>
          <w:i w:val="false"/>
          <w:iCs w:val="false"/>
          <w:color w:val="000000"/>
          <w:sz w:val="20"/>
          <w:szCs w:val="20"/>
        </w:rPr>
        <w:t xml:space="preserve">Nexagen Biotherapeutics, Inc. (Sponsor) submits this Complete Response (CR) to the Complete Response Letter (CRL) issued by the U.S. Food and Drug Administration (FDA) on September 3, 2025, for NDA 761XXX, seeking approval of CERVIMAB (cerviximab-dryx) 200 mg/4 mL (50 mg/mL) injection, for intravenous use, for the treatment of adult patients with unresectable or metastatic dMMR/MSI-H colorectal cancer (CRC) that has progressed following prior treatment with a fluoropyrimidine, oxaliplatin, and irinotecan.</w:t>
      </w:r>
    </w:p>
    <w:p>
      <w:pPr>
        <w:spacing w:before="80" w:after="120" w:line="276"/>
        <w:jc w:val="both"/>
      </w:pPr>
      <w:r>
        <w:rPr>
          <w:rFonts w:ascii="Arial" w:cs="Arial" w:eastAsia="Arial" w:hAnsi="Arial"/>
          <w:b w:val="false"/>
          <w:bCs w:val="false"/>
          <w:i w:val="false"/>
          <w:iCs w:val="false"/>
          <w:color w:val="000000"/>
          <w:sz w:val="20"/>
          <w:szCs w:val="20"/>
        </w:rPr>
        <w:t xml:space="preserve">This Complete Response directly addresses each of the four deficiencies identified in the CRL. In summary:</w:t>
      </w:r>
    </w:p>
    <w:p>
      <w:pPr>
        <w:pStyle w:val="ListParagraph"/>
        <w:numPr>
          <w:ilvl w:val="0"/>
          <w:numId w:val="2"/>
        </w:numPr>
        <w:spacing w:before="60" w:after="60"/>
      </w:pPr>
      <w:r>
        <w:rPr>
          <w:rFonts w:ascii="Arial" w:cs="Arial" w:eastAsia="Arial" w:hAnsi="Arial"/>
          <w:sz w:val="20"/>
          <w:szCs w:val="20"/>
        </w:rPr>
        <w:t xml:space="preserve">Deficiency 1 (Overall Survival [OS] Maturity): Updated OS data from Study CERV-301 are provided, with a data cutoff of January 15, 2026, demonstrating statistically significant and clinically meaningful improvement in OS (HR 0.62; 95% CI 0.51–0.75; p&lt;0.0001).</w:t>
      </w:r>
    </w:p>
    <w:p>
      <w:pPr>
        <w:pStyle w:val="ListParagraph"/>
        <w:numPr>
          <w:ilvl w:val="0"/>
          <w:numId w:val="2"/>
        </w:numPr>
        <w:spacing w:before="60" w:after="60"/>
      </w:pPr>
      <w:r>
        <w:rPr>
          <w:rFonts w:ascii="Arial" w:cs="Arial" w:eastAsia="Arial" w:hAnsi="Arial"/>
          <w:sz w:val="20"/>
          <w:szCs w:val="20"/>
        </w:rPr>
        <w:t xml:space="preserve">Deficiency 2 (Chemistry, Manufacturing, and Controls [CMC] Concerns): A revised commercial drug substance manufacturing process with updated validation data is provided, resolving impurity profile concerns at the [REDACTED] facility.</w:t>
      </w:r>
    </w:p>
    <w:p>
      <w:pPr>
        <w:pStyle w:val="ListParagraph"/>
        <w:numPr>
          <w:ilvl w:val="0"/>
          <w:numId w:val="2"/>
        </w:numPr>
        <w:spacing w:before="60" w:after="60"/>
      </w:pPr>
      <w:r>
        <w:rPr>
          <w:rFonts w:ascii="Arial" w:cs="Arial" w:eastAsia="Arial" w:hAnsi="Arial"/>
          <w:sz w:val="20"/>
          <w:szCs w:val="20"/>
        </w:rPr>
        <w:t xml:space="preserve">Deficiency 3 (Prescribing Information Revisions): Revised draft labeling (Prescribing Information and Medication Guide) is submitted, incorporating FDA's proposed language changes.</w:t>
      </w:r>
    </w:p>
    <w:p>
      <w:pPr>
        <w:pStyle w:val="ListParagraph"/>
        <w:numPr>
          <w:ilvl w:val="0"/>
          <w:numId w:val="2"/>
        </w:numPr>
        <w:spacing w:before="60" w:after="60"/>
      </w:pPr>
      <w:r>
        <w:rPr>
          <w:rFonts w:ascii="Arial" w:cs="Arial" w:eastAsia="Arial" w:hAnsi="Arial"/>
          <w:sz w:val="20"/>
          <w:szCs w:val="20"/>
        </w:rPr>
        <w:t xml:space="preserve">Deficiency 4 (Risk Evaluation and Mitigation Strategy [REMS]): A revised REMS proposal is submitted, including updated REMS materials, communication plan, and implementation timeline.</w:t>
      </w:r>
    </w:p>
    <w:p>
      <w:pPr>
        <w:spacing w:before="80" w:after="120" w:line="276"/>
        <w:jc w:val="both"/>
      </w:pPr>
      <w:r>
        <w:rPr>
          <w:rFonts w:ascii="Arial" w:cs="Arial" w:eastAsia="Arial" w:hAnsi="Arial"/>
          <w:b w:val="false"/>
          <w:bCs w:val="false"/>
          <w:i w:val="false"/>
          <w:iCs w:val="false"/>
          <w:color w:val="000000"/>
          <w:sz w:val="20"/>
          <w:szCs w:val="20"/>
        </w:rPr>
        <w:t xml:space="preserve">The Sponsor believes this Complete Response fully addresses all outstanding deficiencies and respectfully requests that FDA approve NDA 761XXX on the basis of the totality of the evidence.</w:t>
      </w:r>
    </w:p>
    <w:p>
      <w:pPr>
        <w:pBdr>
          <w:bottom w:val="single" w:color="2E75B6" w:sz="6"/>
        </w:pBdr>
        <w:spacing w:before="160" w:after="160"/>
      </w:pPr>
    </w:p>
    <w:p>
      <w:pPr>
        <w:pStyle w:val="Heading1"/>
        <w:spacing w:before="320" w:after="120"/>
      </w:pPr>
      <w:r>
        <w:rPr>
          <w:rFonts w:ascii="Arial" w:cs="Arial" w:eastAsia="Arial" w:hAnsi="Arial"/>
          <w:b/>
          <w:bCs/>
          <w:color w:val="1F4E79"/>
          <w:sz w:val="36"/>
          <w:szCs w:val="36"/>
        </w:rPr>
        <w:t xml:space="preserve">2. REGULATORY HISTORY AND CRL DEFICIENCIES</w:t>
      </w:r>
    </w:p>
    <w:p>
      <w:pPr>
        <w:pStyle w:val="Heading2"/>
        <w:spacing w:before="320" w:after="120"/>
      </w:pPr>
      <w:r>
        <w:rPr>
          <w:rFonts w:ascii="Arial" w:cs="Arial" w:eastAsia="Arial" w:hAnsi="Arial"/>
          <w:b/>
          <w:bCs/>
          <w:color w:val="1F4E79"/>
          <w:sz w:val="28"/>
          <w:szCs w:val="28"/>
        </w:rPr>
        <w:t xml:space="preserve">2.1 Regulatory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Date</w:t>
            </w:r>
          </w:p>
        </w:tc>
        <w:tc>
          <w:tcPr>
            <w:tcW w:type="dxa" w:w="18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Submission Type</w:t>
            </w:r>
          </w:p>
        </w:tc>
        <w:tc>
          <w:tcPr>
            <w:tcW w:type="dxa" w:w="51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June 14, 2022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IND 123456</w:t>
            </w:r>
          </w:p>
        </w:tc>
        <w:tc>
          <w:tcPr>
            <w:tcW w:type="dxa" w:w="5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IND activation for cerviximab-dryx</w:t>
            </w:r>
          </w:p>
        </w:tc>
      </w:tr>
      <w:tr>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November 7, 2023</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NDA 761XXX</w:t>
            </w:r>
          </w:p>
        </w:tc>
        <w:tc>
          <w:tcPr>
            <w:tcW w:type="dxa" w:w="5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Original NDA submission (rolling)</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February 1, 2024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Filing Communication</w:t>
            </w:r>
          </w:p>
        </w:tc>
        <w:tc>
          <w:tcPr>
            <w:tcW w:type="dxa" w:w="5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NDA filed; PDUFA date August 1, 2024</w:t>
            </w:r>
          </w:p>
        </w:tc>
      </w:tr>
      <w:tr>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July 15, 2024</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IR (Cycle 1)</w:t>
            </w:r>
          </w:p>
        </w:tc>
        <w:tc>
          <w:tcPr>
            <w:tcW w:type="dxa" w:w="5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Information Request — CMC manufacturing process</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August 1, 2024</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PDUFA Extension</w:t>
            </w:r>
          </w:p>
        </w:tc>
        <w:tc>
          <w:tcPr>
            <w:tcW w:type="dxa" w:w="5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3-month PDUFA extension; new PDUFA: November 1, 2024</w:t>
            </w:r>
          </w:p>
        </w:tc>
      </w:tr>
      <w:tr>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November 1, 2024</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Advisory Committee</w:t>
            </w:r>
          </w:p>
        </w:tc>
        <w:tc>
          <w:tcPr>
            <w:tcW w:type="dxa" w:w="5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ODAC meeting; 11-2 vote in favor of approval</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September 3, 2025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CRL</w:t>
            </w:r>
          </w:p>
        </w:tc>
        <w:tc>
          <w:tcPr>
            <w:tcW w:type="dxa" w:w="5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CRL issued citing 4 deficiencies</w:t>
            </w:r>
          </w:p>
        </w:tc>
      </w:tr>
      <w:tr>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March 16, 2026</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Complete Response</w:t>
            </w:r>
          </w:p>
        </w:tc>
        <w:tc>
          <w:tcPr>
            <w:tcW w:type="dxa" w:w="5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This submission</w:t>
            </w:r>
          </w:p>
        </w:tc>
      </w:tr>
    </w:tbl>
    <w:p>
      <w:pPr>
        <w:spacing w:before="0" w:after="80"/>
      </w:pPr>
    </w:p>
    <w:p>
      <w:pPr>
        <w:pStyle w:val="Heading2"/>
        <w:spacing w:before="320" w:after="120"/>
      </w:pPr>
      <w:r>
        <w:rPr>
          <w:rFonts w:ascii="Arial" w:cs="Arial" w:eastAsia="Arial" w:hAnsi="Arial"/>
          <w:b/>
          <w:bCs/>
          <w:color w:val="1F4E79"/>
          <w:sz w:val="28"/>
          <w:szCs w:val="28"/>
        </w:rPr>
        <w:t xml:space="preserve">2.2 Summary of CRL Deficiencies</w:t>
      </w:r>
    </w:p>
    <w:p>
      <w:pPr>
        <w:spacing w:before="80" w:after="120" w:line="276"/>
        <w:jc w:val="both"/>
      </w:pPr>
      <w:r>
        <w:rPr>
          <w:rFonts w:ascii="Arial" w:cs="Arial" w:eastAsia="Arial" w:hAnsi="Arial"/>
          <w:b w:val="false"/>
          <w:bCs w:val="false"/>
          <w:i w:val="false"/>
          <w:iCs w:val="false"/>
          <w:color w:val="000000"/>
          <w:sz w:val="20"/>
          <w:szCs w:val="20"/>
        </w:rPr>
        <w:t xml:space="preserve">The CRL identified the following four deficiencies, each of which is addressed in full in this Complete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Deficiency #</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Topic</w:t>
            </w:r>
          </w:p>
        </w:tc>
        <w:tc>
          <w:tcPr>
            <w:tcW w:type="dxa" w:w="51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Summary of FDA Concern</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OS Maturity</w:t>
            </w:r>
          </w:p>
        </w:tc>
        <w:tc>
          <w:tcPr>
            <w:tcW w:type="dxa" w:w="5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PFS as primary endpoint insufficient without OS data; OS data immature at NDA submission (35% events; pre-specified threshold 60%)</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2</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CMC / Manufacturing</w:t>
            </w:r>
          </w:p>
        </w:tc>
        <w:tc>
          <w:tcPr>
            <w:tcW w:type="dxa" w:w="5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Unresolved impurity specification at Drug Substance Step 4 for process-related impurity [REDACTED]; manufacturing process validation pending</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3</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Prescribing Information</w:t>
            </w:r>
          </w:p>
        </w:tc>
        <w:tc>
          <w:tcPr>
            <w:tcW w:type="dxa" w:w="5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Section 5.1 (Immune-Mediated Pneumonitis), Section 6.1 (Clinical Trials Experience), and Section 14 (Clinical Studies) require revision per Agency style and clinical data guidance</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4</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w:t>
            </w:r>
          </w:p>
        </w:tc>
        <w:tc>
          <w:tcPr>
            <w:tcW w:type="dxa" w:w="5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Initial REMS proposal lacked adequate assessment tools, healthcare provider communication plan, and implementation timeline</w:t>
            </w:r>
          </w:p>
        </w:tc>
      </w:tr>
    </w:tbl>
    <w:p>
      <w:pPr>
        <w:spacing w:before="0" w:after="80"/>
      </w:pPr>
    </w:p>
    <w:p>
      <w:r>
        <w:br w:type="page"/>
      </w:r>
    </w:p>
    <w:p>
      <w:pPr>
        <w:pStyle w:val="Heading1"/>
        <w:spacing w:before="320" w:after="120"/>
      </w:pPr>
      <w:r>
        <w:rPr>
          <w:rFonts w:ascii="Arial" w:cs="Arial" w:eastAsia="Arial" w:hAnsi="Arial"/>
          <w:b/>
          <w:bCs/>
          <w:color w:val="1F4E79"/>
          <w:sz w:val="36"/>
          <w:szCs w:val="36"/>
        </w:rPr>
        <w:t xml:space="preserve">3. DEFICIENCY 1: OVERALL SURVIVAL DATA — STUDY CERV-301</w:t>
      </w:r>
    </w:p>
    <w:p>
      <w:pPr>
        <w:pStyle w:val="Heading2"/>
        <w:spacing w:before="320" w:after="120"/>
      </w:pPr>
      <w:r>
        <w:rPr>
          <w:rFonts w:ascii="Arial" w:cs="Arial" w:eastAsia="Arial" w:hAnsi="Arial"/>
          <w:b/>
          <w:bCs/>
          <w:color w:val="1F4E79"/>
          <w:sz w:val="28"/>
          <w:szCs w:val="28"/>
        </w:rPr>
        <w:t xml:space="preserve">3.1 Background</w:t>
      </w:r>
    </w:p>
    <w:p>
      <w:pPr>
        <w:spacing w:before="80" w:after="120" w:line="276"/>
        <w:jc w:val="both"/>
      </w:pPr>
      <w:r>
        <w:rPr>
          <w:rFonts w:ascii="Arial" w:cs="Arial" w:eastAsia="Arial" w:hAnsi="Arial"/>
          <w:b w:val="false"/>
          <w:bCs w:val="false"/>
          <w:i w:val="false"/>
          <w:iCs w:val="false"/>
          <w:color w:val="000000"/>
          <w:sz w:val="20"/>
          <w:szCs w:val="20"/>
        </w:rPr>
        <w:t xml:space="preserve">At the time of NDA submission (data cutoff: March 31, 2023), the primary endpoint of progression-free survival (PFS) per BICR demonstrated a statistically significant and clinically meaningful result (HR 0.43; 95% CI 0.35–0.53; p&lt;0.0001; median PFS 16.5 months vs. 5.4 months). Overall survival data were immature, with 32% events (115/360 required), below the pre-specified interim analysis threshold of 60%. FDA requested updated, mature OS data before approval could be granted.</w:t>
      </w:r>
    </w:p>
    <w:p>
      <w:pPr>
        <w:pStyle w:val="Heading2"/>
        <w:spacing w:before="320" w:after="120"/>
      </w:pPr>
      <w:r>
        <w:rPr>
          <w:rFonts w:ascii="Arial" w:cs="Arial" w:eastAsia="Arial" w:hAnsi="Arial"/>
          <w:b/>
          <w:bCs/>
          <w:color w:val="1F4E79"/>
          <w:sz w:val="28"/>
          <w:szCs w:val="28"/>
        </w:rPr>
        <w:t xml:space="preserve">3.2 Updated Overall Survival Analysis</w:t>
      </w:r>
    </w:p>
    <w:p>
      <w:pPr>
        <w:spacing w:before="80" w:after="120" w:line="276"/>
        <w:jc w:val="both"/>
      </w:pPr>
      <w:r>
        <w:rPr>
          <w:rFonts w:ascii="Arial" w:cs="Arial" w:eastAsia="Arial" w:hAnsi="Arial"/>
          <w:b w:val="false"/>
          <w:bCs w:val="false"/>
          <w:i w:val="false"/>
          <w:iCs w:val="false"/>
          <w:color w:val="000000"/>
          <w:sz w:val="20"/>
          <w:szCs w:val="20"/>
        </w:rPr>
        <w:t xml:space="preserve">An updated OS analysis was conducted with a data cutoff of January 15, 2026. At this data cutoff, 63% of pre-specified OS events had been observed (229/360 deaths). The Kaplan-Meier analysis of OS in the intent-to-treat (ITT) population demonstrated the following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Parameter</w:t>
            </w:r>
          </w:p>
        </w:tc>
        <w:tc>
          <w:tcPr>
            <w:tcW w:type="dxa" w:w="30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CERVIMAB (N=180)</w:t>
            </w:r>
          </w:p>
        </w:tc>
        <w:tc>
          <w:tcPr>
            <w:tcW w:type="dxa" w:w="30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Investigator's Choice Chemo (N=180)</w:t>
            </w:r>
          </w:p>
        </w:tc>
      </w:tr>
      <w:tr>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Events, n (%)</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106 (58.9%)</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123 (68.3%)</w:t>
            </w:r>
          </w:p>
        </w:tc>
      </w:tr>
      <w:tr>
        <w:tc>
          <w:tcPr>
            <w:tcW w:type="dxa" w:w="3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Median OS (months)</w:t>
            </w:r>
          </w:p>
        </w:tc>
        <w:tc>
          <w:tcPr>
            <w:tcW w:type="dxa" w:w="30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24.8 (95% CI: 21.3–28.4)</w:t>
            </w:r>
          </w:p>
        </w:tc>
        <w:tc>
          <w:tcPr>
            <w:tcW w:type="dxa" w:w="30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13.7 (95% CI: 11.1–16.2)</w:t>
            </w:r>
          </w:p>
        </w:tc>
      </w:tr>
      <w:tr>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Hazard Ratio (95% CI)</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0.62 (0.51–0.75)</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Reference</w:t>
            </w:r>
          </w:p>
        </w:tc>
      </w:tr>
      <w:tr>
        <w:tc>
          <w:tcPr>
            <w:tcW w:type="dxa" w:w="3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P-value (log-rank)</w:t>
            </w:r>
          </w:p>
        </w:tc>
        <w:tc>
          <w:tcPr>
            <w:tcW w:type="dxa" w:w="30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&lt;0.0001</w:t>
            </w:r>
          </w:p>
        </w:tc>
        <w:tc>
          <w:tcPr>
            <w:tcW w:type="dxa" w:w="30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r>
      <w:tr>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12-month OS rate</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75.4% (95% CI: 68.3–81.2%)</w:t>
            </w:r>
          </w:p>
        </w:tc>
        <w:tc>
          <w:tcPr>
            <w:tcW w:type="dxa" w:w="30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54.1% (95% CI: 46.7–61.0%)</w:t>
            </w:r>
          </w:p>
        </w:tc>
      </w:tr>
      <w:tr>
        <w:tc>
          <w:tcPr>
            <w:tcW w:type="dxa" w:w="3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24-month OS rate</w:t>
            </w:r>
          </w:p>
        </w:tc>
        <w:tc>
          <w:tcPr>
            <w:tcW w:type="dxa" w:w="30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51.2% (95% CI: 43.7–58.3%)</w:t>
            </w:r>
          </w:p>
        </w:tc>
        <w:tc>
          <w:tcPr>
            <w:tcW w:type="dxa" w:w="30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27.8% (95% CI: 21.4–34.6%)</w:t>
            </w:r>
          </w:p>
        </w:tc>
      </w:tr>
    </w:tbl>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The OS results are consistent with, and confirmatory of, the PFS results. The observed HR of 0.62 represents a clinically meaningful 38% reduction in the risk of death. Subgroup analyses were consistent with the ITT results across all pre-specified subgroups including age, ECOG PS, prior lines of therapy, tumor sidedness, and MSI/MMR testing modality.</w:t>
      </w:r>
    </w:p>
    <w:p>
      <w:pPr>
        <w:pStyle w:val="Heading2"/>
        <w:spacing w:before="320" w:after="120"/>
      </w:pPr>
      <w:r>
        <w:rPr>
          <w:rFonts w:ascii="Arial" w:cs="Arial" w:eastAsia="Arial" w:hAnsi="Arial"/>
          <w:b/>
          <w:bCs/>
          <w:color w:val="1F4E79"/>
          <w:sz w:val="28"/>
          <w:szCs w:val="28"/>
        </w:rPr>
        <w:t xml:space="preserve">3.3 Updated Safety Data</w:t>
      </w:r>
    </w:p>
    <w:p>
      <w:pPr>
        <w:spacing w:before="80" w:after="120" w:line="276"/>
        <w:jc w:val="both"/>
      </w:pPr>
      <w:r>
        <w:rPr>
          <w:rFonts w:ascii="Arial" w:cs="Arial" w:eastAsia="Arial" w:hAnsi="Arial"/>
          <w:b w:val="false"/>
          <w:bCs w:val="false"/>
          <w:i w:val="false"/>
          <w:iCs w:val="false"/>
          <w:color w:val="000000"/>
          <w:sz w:val="20"/>
          <w:szCs w:val="20"/>
        </w:rPr>
        <w:t xml:space="preserve">The updated safety analysis (N=360; median follow-up 28.4 months) did not identify any new safety signals compared to those reported in the original NDA. The incidence of treatment-related adverse events of special interest (immune-mediated AEs) remained consistent with the known PD-1 inhibitor class profile. Grade 3-4 immune-mediated AEs occurred in 18.3% of CERVIMAB-treated patients vs. 3.3% of chemotherapy patients, consistent with the product class. No new fatal immune-mediated events were identified in the updated dataset.</w:t>
      </w:r>
    </w:p>
    <w:p>
      <w:pPr>
        <w:pStyle w:val="Heading2"/>
        <w:spacing w:before="320" w:after="120"/>
      </w:pPr>
      <w:r>
        <w:rPr>
          <w:rFonts w:ascii="Arial" w:cs="Arial" w:eastAsia="Arial" w:hAnsi="Arial"/>
          <w:b/>
          <w:bCs/>
          <w:color w:val="1F4E79"/>
          <w:sz w:val="28"/>
          <w:szCs w:val="28"/>
        </w:rPr>
        <w:t xml:space="preserve">3.4 Conclusion — Deficiency 1</w:t>
      </w:r>
    </w:p>
    <w:p>
      <w:pPr>
        <w:spacing w:before="80" w:after="120" w:line="276"/>
        <w:jc w:val="both"/>
      </w:pPr>
      <w:r>
        <w:rPr>
          <w:rFonts w:ascii="Arial" w:cs="Arial" w:eastAsia="Arial" w:hAnsi="Arial"/>
          <w:b w:val="false"/>
          <w:bCs w:val="false"/>
          <w:i w:val="false"/>
          <w:iCs w:val="false"/>
          <w:color w:val="000000"/>
          <w:sz w:val="20"/>
          <w:szCs w:val="20"/>
        </w:rPr>
        <w:t xml:space="preserve">The updated OS analysis with a data cutoff of January 15, 2026, demonstrates a statistically significant and clinically meaningful improvement in OS (HR 0.62; p&lt;0.0001; median OS benefit 11.1 months). The Sponsor believes this addresses FDA's concern regarding OS data maturity. All relevant updated clinical study report sections, statistical analysis datasets, and patient narratives are provided in Module 5.3.5.1 of this submission.</w:t>
      </w:r>
    </w:p>
    <w:p>
      <w:r>
        <w:br w:type="page"/>
      </w:r>
    </w:p>
    <w:p>
      <w:pPr>
        <w:pStyle w:val="Heading1"/>
        <w:spacing w:before="320" w:after="120"/>
      </w:pPr>
      <w:r>
        <w:rPr>
          <w:rFonts w:ascii="Arial" w:cs="Arial" w:eastAsia="Arial" w:hAnsi="Arial"/>
          <w:b/>
          <w:bCs/>
          <w:color w:val="1F4E79"/>
          <w:sz w:val="36"/>
          <w:szCs w:val="36"/>
        </w:rPr>
        <w:t xml:space="preserve">4. DEFICIENCY 2: CHEMISTRY, MANUFACTURING, AND CONTROLS (CMC)</w:t>
      </w:r>
    </w:p>
    <w:p>
      <w:pPr>
        <w:pStyle w:val="Heading2"/>
        <w:spacing w:before="320" w:after="120"/>
      </w:pPr>
      <w:r>
        <w:rPr>
          <w:rFonts w:ascii="Arial" w:cs="Arial" w:eastAsia="Arial" w:hAnsi="Arial"/>
          <w:b/>
          <w:bCs/>
          <w:color w:val="1F4E79"/>
          <w:sz w:val="28"/>
          <w:szCs w:val="28"/>
        </w:rPr>
        <w:t xml:space="preserve">4.1 Summary of FDA's CMC Concern</w:t>
      </w:r>
    </w:p>
    <w:p>
      <w:pPr>
        <w:spacing w:before="80" w:after="120" w:line="276"/>
        <w:jc w:val="both"/>
      </w:pPr>
      <w:r>
        <w:rPr>
          <w:rFonts w:ascii="Arial" w:cs="Arial" w:eastAsia="Arial" w:hAnsi="Arial"/>
          <w:b w:val="false"/>
          <w:bCs w:val="false"/>
          <w:i w:val="false"/>
          <w:iCs w:val="false"/>
          <w:color w:val="000000"/>
          <w:sz w:val="20"/>
          <w:szCs w:val="20"/>
        </w:rPr>
        <w:t xml:space="preserve">The CRL identified that the impurity profile for process-related impurity [REDACTED] at Drug Substance manufacturing Step 4 at the [REDACTED] facility exceeded the proposed specification limit in 2 of 6 validation batches (Batches DS-2024-003 and DS-2024-005). FDA requested process improvement, revalidation, and updated specification justification.</w:t>
      </w:r>
    </w:p>
    <w:p>
      <w:pPr>
        <w:pStyle w:val="Heading2"/>
        <w:spacing w:before="320" w:after="120"/>
      </w:pPr>
      <w:r>
        <w:rPr>
          <w:rFonts w:ascii="Arial" w:cs="Arial" w:eastAsia="Arial" w:hAnsi="Arial"/>
          <w:b/>
          <w:bCs/>
          <w:color w:val="1F4E79"/>
          <w:sz w:val="28"/>
          <w:szCs w:val="28"/>
        </w:rPr>
        <w:t xml:space="preserve">4.2 Root Cause Investigation</w:t>
      </w:r>
    </w:p>
    <w:p>
      <w:pPr>
        <w:spacing w:before="80" w:after="120" w:line="276"/>
        <w:jc w:val="both"/>
      </w:pPr>
      <w:r>
        <w:rPr>
          <w:rFonts w:ascii="Arial" w:cs="Arial" w:eastAsia="Arial" w:hAnsi="Arial"/>
          <w:b w:val="false"/>
          <w:bCs w:val="false"/>
          <w:i w:val="false"/>
          <w:iCs w:val="false"/>
          <w:color w:val="000000"/>
          <w:sz w:val="20"/>
          <w:szCs w:val="20"/>
        </w:rPr>
        <w:t xml:space="preserve">A thorough root cause analysis was conducted by [REDACTED] in collaboration with Nexagen's CMC team. The investigation identified the root cause as variability in the [REDACTED] step reaction temperature control, which led to increased formation of the impurity under non-nominal conditions. The investigation included:</w:t>
      </w:r>
    </w:p>
    <w:p>
      <w:pPr>
        <w:pStyle w:val="ListParagraph"/>
        <w:numPr>
          <w:ilvl w:val="0"/>
          <w:numId w:val="2"/>
        </w:numPr>
        <w:spacing w:before="60" w:after="60"/>
      </w:pPr>
      <w:r>
        <w:rPr>
          <w:rFonts w:ascii="Arial" w:cs="Arial" w:eastAsia="Arial" w:hAnsi="Arial"/>
          <w:sz w:val="20"/>
          <w:szCs w:val="20"/>
        </w:rPr>
        <w:t xml:space="preserve">Full batch record review of all Phase 3 clinical and commercial-scale batches</w:t>
      </w:r>
    </w:p>
    <w:p>
      <w:pPr>
        <w:pStyle w:val="ListParagraph"/>
        <w:numPr>
          <w:ilvl w:val="0"/>
          <w:numId w:val="2"/>
        </w:numPr>
        <w:spacing w:before="60" w:after="60"/>
      </w:pPr>
      <w:r>
        <w:rPr>
          <w:rFonts w:ascii="Arial" w:cs="Arial" w:eastAsia="Arial" w:hAnsi="Arial"/>
          <w:sz w:val="20"/>
          <w:szCs w:val="20"/>
        </w:rPr>
        <w:t xml:space="preserve">Comprehensive analytical method re-qualification (HPLC-MS/UV, ICH Q2(R1) compliant)</w:t>
      </w:r>
    </w:p>
    <w:p>
      <w:pPr>
        <w:pStyle w:val="ListParagraph"/>
        <w:numPr>
          <w:ilvl w:val="0"/>
          <w:numId w:val="2"/>
        </w:numPr>
        <w:spacing w:before="60" w:after="60"/>
      </w:pPr>
      <w:r>
        <w:rPr>
          <w:rFonts w:ascii="Arial" w:cs="Arial" w:eastAsia="Arial" w:hAnsi="Arial"/>
          <w:sz w:val="20"/>
          <w:szCs w:val="20"/>
        </w:rPr>
        <w:t xml:space="preserve">Process parameter risk assessment (FMEA) per ICH Q9</w:t>
      </w:r>
    </w:p>
    <w:p>
      <w:pPr>
        <w:pStyle w:val="ListParagraph"/>
        <w:numPr>
          <w:ilvl w:val="0"/>
          <w:numId w:val="2"/>
        </w:numPr>
        <w:spacing w:before="60" w:after="60"/>
      </w:pPr>
      <w:r>
        <w:rPr>
          <w:rFonts w:ascii="Arial" w:cs="Arial" w:eastAsia="Arial" w:hAnsi="Arial"/>
          <w:sz w:val="20"/>
          <w:szCs w:val="20"/>
        </w:rPr>
        <w:t xml:space="preserve">Design of Experiments (DoE) to identify critical process parameters (CPPs) governing impurity formation</w:t>
      </w:r>
    </w:p>
    <w:p>
      <w:pPr>
        <w:pStyle w:val="Heading2"/>
        <w:spacing w:before="320" w:after="120"/>
      </w:pPr>
      <w:r>
        <w:rPr>
          <w:rFonts w:ascii="Arial" w:cs="Arial" w:eastAsia="Arial" w:hAnsi="Arial"/>
          <w:b/>
          <w:bCs/>
          <w:color w:val="1F4E79"/>
          <w:sz w:val="28"/>
          <w:szCs w:val="28"/>
        </w:rPr>
        <w:t xml:space="preserve">4.3 Process Improvements and Revalidation</w:t>
      </w:r>
    </w:p>
    <w:p>
      <w:pPr>
        <w:spacing w:before="80" w:after="120" w:line="276"/>
        <w:jc w:val="both"/>
      </w:pPr>
      <w:r>
        <w:rPr>
          <w:rFonts w:ascii="Arial" w:cs="Arial" w:eastAsia="Arial" w:hAnsi="Arial"/>
          <w:b w:val="false"/>
          <w:bCs w:val="false"/>
          <w:i w:val="false"/>
          <w:iCs w:val="false"/>
          <w:color w:val="000000"/>
          <w:sz w:val="20"/>
          <w:szCs w:val="20"/>
        </w:rPr>
        <w:t xml:space="preserve">Based on the root cause investigation findings, the following process improvements were implemented:</w:t>
      </w:r>
    </w:p>
    <w:p>
      <w:pPr>
        <w:pStyle w:val="ListParagraph"/>
        <w:numPr>
          <w:ilvl w:val="0"/>
          <w:numId w:val="3"/>
        </w:numPr>
        <w:spacing w:before="60" w:after="60"/>
      </w:pPr>
      <w:r>
        <w:rPr>
          <w:rFonts w:ascii="Arial" w:cs="Arial" w:eastAsia="Arial" w:hAnsi="Arial"/>
          <w:sz w:val="20"/>
          <w:szCs w:val="20"/>
        </w:rPr>
        <w:t xml:space="preserve">Temperature control system upgrade: Replacement of [REDACTED] step temperature control system with [REDACTED], with tighter control limits (±0.5°C vs. prior ±2.0°C)</w:t>
      </w:r>
    </w:p>
    <w:p>
      <w:pPr>
        <w:pStyle w:val="ListParagraph"/>
        <w:numPr>
          <w:ilvl w:val="0"/>
          <w:numId w:val="3"/>
        </w:numPr>
        <w:spacing w:before="60" w:after="60"/>
      </w:pPr>
      <w:r>
        <w:rPr>
          <w:rFonts w:ascii="Arial" w:cs="Arial" w:eastAsia="Arial" w:hAnsi="Arial"/>
          <w:sz w:val="20"/>
          <w:szCs w:val="20"/>
        </w:rPr>
        <w:t xml:space="preserve">Revised process parameter specification: [REDACTED] step temperature set point narrowed from [REDACTED]°C to [REDACTED]°C range</w:t>
      </w:r>
    </w:p>
    <w:p>
      <w:pPr>
        <w:pStyle w:val="ListParagraph"/>
        <w:numPr>
          <w:ilvl w:val="0"/>
          <w:numId w:val="3"/>
        </w:numPr>
        <w:spacing w:before="60" w:after="60"/>
      </w:pPr>
      <w:r>
        <w:rPr>
          <w:rFonts w:ascii="Arial" w:cs="Arial" w:eastAsia="Arial" w:hAnsi="Arial"/>
          <w:sz w:val="20"/>
          <w:szCs w:val="20"/>
        </w:rPr>
        <w:t xml:space="preserve">Enhanced in-process control: Addition of in-process testing at [REDACTED] step with hold specification of NMT [REDACTED]%</w:t>
      </w:r>
    </w:p>
    <w:p>
      <w:pPr>
        <w:spacing w:before="80" w:after="120" w:line="276"/>
        <w:jc w:val="both"/>
      </w:pPr>
      <w:r>
        <w:rPr>
          <w:rFonts w:ascii="Arial" w:cs="Arial" w:eastAsia="Arial" w:hAnsi="Arial"/>
          <w:b w:val="false"/>
          <w:bCs w:val="false"/>
          <w:i w:val="false"/>
          <w:iCs w:val="false"/>
          <w:color w:val="000000"/>
          <w:sz w:val="20"/>
          <w:szCs w:val="20"/>
        </w:rPr>
        <w:t xml:space="preserve">Three consecutive process validation batches (DS-2026-001, DS-2026-002, DS-2026-003) at commercial scale were completed. All three batches met the revised impurity specification of NMT [REDACTED]%, demonstrating process reproducibility and control. Full process validation data are provided in Module 3.2.S.2.5.</w:t>
      </w:r>
    </w:p>
    <w:p>
      <w:pPr>
        <w:pStyle w:val="Heading2"/>
        <w:spacing w:before="320" w:after="120"/>
      </w:pPr>
      <w:r>
        <w:rPr>
          <w:rFonts w:ascii="Arial" w:cs="Arial" w:eastAsia="Arial" w:hAnsi="Arial"/>
          <w:b/>
          <w:bCs/>
          <w:color w:val="1F4E79"/>
          <w:sz w:val="28"/>
          <w:szCs w:val="28"/>
        </w:rPr>
        <w:t xml:space="preserve">4.4 Revised Drug Substance Specification</w:t>
      </w:r>
    </w:p>
    <w:p>
      <w:pPr>
        <w:spacing w:before="80" w:after="120" w:line="276"/>
        <w:jc w:val="both"/>
      </w:pPr>
      <w:r>
        <w:rPr>
          <w:rFonts w:ascii="Arial" w:cs="Arial" w:eastAsia="Arial" w:hAnsi="Arial"/>
          <w:b w:val="false"/>
          <w:bCs w:val="false"/>
          <w:i w:val="false"/>
          <w:iCs w:val="false"/>
          <w:color w:val="000000"/>
          <w:sz w:val="20"/>
          <w:szCs w:val="20"/>
        </w:rPr>
        <w:t xml:space="preserve">The drug substance specification for [REDACTED] has been revised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rPr>
          <w:tblHeader/>
        </w:trPr>
        <w:tc>
          <w:tcPr>
            <w:tcW w:type="dxa" w:w="28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Test</w:t>
            </w:r>
          </w:p>
        </w:tc>
        <w:tc>
          <w:tcPr>
            <w:tcW w:type="dxa" w:w="22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Method</w:t>
            </w:r>
          </w:p>
        </w:tc>
        <w:tc>
          <w:tcPr>
            <w:tcW w:type="dxa" w:w="21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Original Specification</w:t>
            </w:r>
          </w:p>
        </w:tc>
        <w:tc>
          <w:tcPr>
            <w:tcW w:type="dxa" w:w="22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Revised Specification</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[REDACTED] Impurity</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HPLC-UV</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NMT 0.15%</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NMT 0.10%</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Total Related Substances</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HPLC-UV</w:t>
            </w:r>
          </w:p>
        </w:tc>
        <w:tc>
          <w:tcPr>
            <w:tcW w:type="dxa" w:w="21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NMT 1.0%</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NMT 0.8%</w:t>
            </w:r>
          </w:p>
        </w:tc>
      </w:tr>
    </w:tbl>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The revised specification is supported by ICH Q6B principles, qualified by the ICH Q3A toxicological evaluation (safety qualification threshold established), and is consistent with the updated process validation data. Full specification justification is provided in Module 3.2.S.4.5.</w:t>
      </w:r>
    </w:p>
    <w:p>
      <w:pPr>
        <w:pStyle w:val="Heading2"/>
        <w:spacing w:before="320" w:after="120"/>
      </w:pPr>
      <w:r>
        <w:rPr>
          <w:rFonts w:ascii="Arial" w:cs="Arial" w:eastAsia="Arial" w:hAnsi="Arial"/>
          <w:b/>
          <w:bCs/>
          <w:color w:val="1F4E79"/>
          <w:sz w:val="28"/>
          <w:szCs w:val="28"/>
        </w:rPr>
        <w:t xml:space="preserve">4.5 Conclusion — Deficiency 2</w:t>
      </w:r>
    </w:p>
    <w:p>
      <w:pPr>
        <w:spacing w:before="80" w:after="120" w:line="276"/>
        <w:jc w:val="both"/>
      </w:pPr>
      <w:r>
        <w:rPr>
          <w:rFonts w:ascii="Arial" w:cs="Arial" w:eastAsia="Arial" w:hAnsi="Arial"/>
          <w:b w:val="false"/>
          <w:bCs w:val="false"/>
          <w:i w:val="false"/>
          <w:iCs w:val="false"/>
          <w:color w:val="000000"/>
          <w:sz w:val="20"/>
          <w:szCs w:val="20"/>
        </w:rPr>
        <w:t xml:space="preserve">The root cause of the CMC deficiency has been identified and corrected through process improvements and enhanced controls. Three consecutive commercial-scale validation batches demonstrate process consistency and compliance with the revised specification. The Sponsor believes this submission fully resolves the CMC deficiency.</w:t>
      </w:r>
    </w:p>
    <w:p>
      <w:r>
        <w:br w:type="page"/>
      </w:r>
    </w:p>
    <w:p>
      <w:pPr>
        <w:pStyle w:val="Heading1"/>
        <w:spacing w:before="320" w:after="120"/>
      </w:pPr>
      <w:r>
        <w:rPr>
          <w:rFonts w:ascii="Arial" w:cs="Arial" w:eastAsia="Arial" w:hAnsi="Arial"/>
          <w:b/>
          <w:bCs/>
          <w:color w:val="1F4E79"/>
          <w:sz w:val="36"/>
          <w:szCs w:val="36"/>
        </w:rPr>
        <w:t xml:space="preserve">5. DEFICIENCY 3: PRESCRIBING INFORMATION REVISIONS</w:t>
      </w:r>
    </w:p>
    <w:p>
      <w:pPr>
        <w:pStyle w:val="Heading2"/>
        <w:spacing w:before="320" w:after="120"/>
      </w:pPr>
      <w:r>
        <w:rPr>
          <w:rFonts w:ascii="Arial" w:cs="Arial" w:eastAsia="Arial" w:hAnsi="Arial"/>
          <w:b/>
          <w:bCs/>
          <w:color w:val="1F4E79"/>
          <w:sz w:val="28"/>
          <w:szCs w:val="28"/>
        </w:rPr>
        <w:t xml:space="preserve">5.1 Overview of PI Changes</w:t>
      </w:r>
    </w:p>
    <w:p>
      <w:pPr>
        <w:spacing w:before="80" w:after="120" w:line="276"/>
        <w:jc w:val="both"/>
      </w:pPr>
      <w:r>
        <w:rPr>
          <w:rFonts w:ascii="Arial" w:cs="Arial" w:eastAsia="Arial" w:hAnsi="Arial"/>
          <w:b w:val="false"/>
          <w:bCs w:val="false"/>
          <w:i w:val="false"/>
          <w:iCs w:val="false"/>
          <w:color w:val="000000"/>
          <w:sz w:val="20"/>
          <w:szCs w:val="20"/>
        </w:rPr>
        <w:t xml:space="preserve">The Sponsor submits a revised draft Prescribing Information (PI) in response to FDA's annotations and requests in the CRL. Principal revisions are summarized below. The complete redlined and clean PI are provided as Labeling Appendix 1A and 1B,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700"/>
        <w:gridCol w:w="2760"/>
      </w:tblGrid>
      <w:tr>
        <w:trPr>
          <w:tblHeader/>
        </w:trPr>
        <w:tc>
          <w:tcPr>
            <w:tcW w:type="dxa" w:w="14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PI Section</w:t>
            </w:r>
          </w:p>
        </w:tc>
        <w:tc>
          <w:tcPr>
            <w:tcW w:type="dxa" w:w="25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FDA Annotation / Request</w:t>
            </w:r>
          </w:p>
        </w:tc>
        <w:tc>
          <w:tcPr>
            <w:tcW w:type="dxa" w:w="27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Sponsor Response</w:t>
            </w:r>
          </w:p>
        </w:tc>
        <w:tc>
          <w:tcPr>
            <w:tcW w:type="dxa" w:w="27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Status</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5.1</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 incidence of Grade 3-4 pneumonitis to reflect pooled analysis data; add management algorithm reference</w:t>
            </w:r>
          </w:p>
        </w:tc>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Revised incidence text to 2.8% (pooled N=498); added footnote referencing Appendix management table</w:t>
            </w:r>
          </w:p>
        </w:tc>
        <w:tc>
          <w:tcPr>
            <w:tcW w:type="dxa" w:w="2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Accepted</w:t>
            </w:r>
          </w:p>
        </w:tc>
      </w:tr>
      <w:tr>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6.1</w:t>
            </w:r>
          </w:p>
        </w:tc>
        <w:tc>
          <w:tcPr>
            <w:tcW w:type="dxa" w:w="25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Add updated OS data from CERV-301; revise PFS table to include BICR and investigator-assessed PFS</w:t>
            </w:r>
          </w:p>
        </w:tc>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Updated Table 6 (OS) and Table 7 (PFS) with January 2026 data cutoff</w:t>
            </w:r>
          </w:p>
        </w:tc>
        <w:tc>
          <w:tcPr>
            <w:tcW w:type="dxa" w:w="2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Accepted</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8.1</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Clarify embryo-fetal toxicity risk language per USP-DI format</w:t>
            </w:r>
          </w:p>
        </w:tc>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Revised per FDA's proposed language; added female/male reproductive risk subsections</w:t>
            </w:r>
          </w:p>
        </w:tc>
        <w:tc>
          <w:tcPr>
            <w:tcW w:type="dxa" w:w="2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Accepted</w:t>
            </w:r>
          </w:p>
        </w:tc>
      </w:tr>
      <w:tr>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14</w:t>
            </w:r>
          </w:p>
        </w:tc>
        <w:tc>
          <w:tcPr>
            <w:tcW w:type="dxa" w:w="25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Add OS K-M figure; revise subgroup forest plot per FDA style guide</w:t>
            </w:r>
          </w:p>
        </w:tc>
        <w:tc>
          <w:tcPr>
            <w:tcW w:type="dxa" w:w="27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Added Figure 14.2 (OS KM curve); updated Figure 14.3 (subgroup forest plot)</w:t>
            </w:r>
          </w:p>
        </w:tc>
        <w:tc>
          <w:tcPr>
            <w:tcW w:type="dxa" w:w="2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Accepted</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17</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Add patient counseling information for REMS-related monitoring</w:t>
            </w:r>
          </w:p>
        </w:tc>
        <w:tc>
          <w:tcPr>
            <w:tcW w:type="dxa" w:w="27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Added Section 17.5 per REMS communication requirements</w:t>
            </w:r>
          </w:p>
        </w:tc>
        <w:tc>
          <w:tcPr>
            <w:tcW w:type="dxa" w:w="2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Accepted</w:t>
            </w:r>
          </w:p>
        </w:tc>
      </w:tr>
    </w:tbl>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The Sponsor has accepted all FDA-proposed PI revisions. One minor editorial clarification was proposed by the Sponsor in Section 2.3 (Dose Modifications), relating to clarification of the grading scheme reference (NCI CTCAE v5.0 vs. v4.0). This clarification is flagged in the redlined document for FDA's review and is not considered substantive.</w:t>
      </w:r>
    </w:p>
    <w:p>
      <w:pPr>
        <w:pStyle w:val="Heading2"/>
        <w:spacing w:before="320" w:after="120"/>
      </w:pPr>
      <w:r>
        <w:rPr>
          <w:rFonts w:ascii="Arial" w:cs="Arial" w:eastAsia="Arial" w:hAnsi="Arial"/>
          <w:b/>
          <w:bCs/>
          <w:color w:val="1F4E79"/>
          <w:sz w:val="28"/>
          <w:szCs w:val="28"/>
        </w:rPr>
        <w:t xml:space="preserve">5.2 Medication Guide Revisions</w:t>
      </w:r>
    </w:p>
    <w:p>
      <w:pPr>
        <w:spacing w:before="80" w:after="120" w:line="276"/>
        <w:jc w:val="both"/>
      </w:pPr>
      <w:r>
        <w:rPr>
          <w:rFonts w:ascii="Arial" w:cs="Arial" w:eastAsia="Arial" w:hAnsi="Arial"/>
          <w:b w:val="false"/>
          <w:bCs w:val="false"/>
          <w:i w:val="false"/>
          <w:iCs w:val="false"/>
          <w:color w:val="000000"/>
          <w:sz w:val="20"/>
          <w:szCs w:val="20"/>
        </w:rPr>
        <w:t xml:space="preserve">The Medication Guide has been revised consistent with the PI revisions to Section 5 (Warnings and Precautions) and Section 17 (Patient Counseling Information). Key updates include reinforced language on the importance of reporting symptoms of immune-mediated AEs immediately, and updated REMS monitoring requirements. The revised Medication Guide is provided as Labeling Appendix 2.</w:t>
      </w:r>
    </w:p>
    <w:p>
      <w:r>
        <w:br w:type="page"/>
      </w:r>
    </w:p>
    <w:p>
      <w:pPr>
        <w:pStyle w:val="Heading1"/>
        <w:spacing w:before="320" w:after="120"/>
      </w:pPr>
      <w:r>
        <w:rPr>
          <w:rFonts w:ascii="Arial" w:cs="Arial" w:eastAsia="Arial" w:hAnsi="Arial"/>
          <w:b/>
          <w:bCs/>
          <w:color w:val="1F4E79"/>
          <w:sz w:val="36"/>
          <w:szCs w:val="36"/>
        </w:rPr>
        <w:t xml:space="preserve">6. DEFICIENCY 4: REMS PROPOSAL</w:t>
      </w:r>
    </w:p>
    <w:p>
      <w:pPr>
        <w:spacing w:before="80" w:after="120" w:line="276"/>
        <w:jc w:val="both"/>
      </w:pPr>
      <w:r>
        <w:rPr>
          <w:rFonts w:ascii="Arial" w:cs="Arial" w:eastAsia="Arial" w:hAnsi="Arial"/>
          <w:b w:val="false"/>
          <w:bCs w:val="false"/>
          <w:i w:val="false"/>
          <w:iCs w:val="false"/>
          <w:color w:val="000000"/>
          <w:sz w:val="20"/>
          <w:szCs w:val="20"/>
        </w:rPr>
        <w:t xml:space="preserve">A fully revised REMS proposal is provided as a separate document within this CR submission (Module 1.11). Key revisions in response to FDA's CRL comments are summarized below:</w:t>
      </w:r>
    </w:p>
    <w:p>
      <w:pPr>
        <w:pStyle w:val="ListParagraph"/>
        <w:numPr>
          <w:ilvl w:val="0"/>
          <w:numId w:val="2"/>
        </w:numPr>
        <w:spacing w:before="60" w:after="60"/>
      </w:pPr>
      <w:r>
        <w:rPr>
          <w:rFonts w:ascii="Arial" w:cs="Arial" w:eastAsia="Arial" w:hAnsi="Arial"/>
          <w:sz w:val="20"/>
          <w:szCs w:val="20"/>
        </w:rPr>
        <w:t xml:space="preserve">Updated REMS assessment framework with validated tools aligned to proposed REMS goals</w:t>
      </w:r>
    </w:p>
    <w:p>
      <w:pPr>
        <w:pStyle w:val="ListParagraph"/>
        <w:numPr>
          <w:ilvl w:val="0"/>
          <w:numId w:val="2"/>
        </w:numPr>
        <w:spacing w:before="60" w:after="60"/>
      </w:pPr>
      <w:r>
        <w:rPr>
          <w:rFonts w:ascii="Arial" w:cs="Arial" w:eastAsia="Arial" w:hAnsi="Arial"/>
          <w:sz w:val="20"/>
          <w:szCs w:val="20"/>
        </w:rPr>
        <w:t xml:space="preserve">Comprehensive Healthcare Provider (HCP) communication plan with initial and ongoing communication cadence</w:t>
      </w:r>
    </w:p>
    <w:p>
      <w:pPr>
        <w:pStyle w:val="ListParagraph"/>
        <w:numPr>
          <w:ilvl w:val="0"/>
          <w:numId w:val="2"/>
        </w:numPr>
        <w:spacing w:before="60" w:after="60"/>
      </w:pPr>
      <w:r>
        <w:rPr>
          <w:rFonts w:ascii="Arial" w:cs="Arial" w:eastAsia="Arial" w:hAnsi="Arial"/>
          <w:sz w:val="20"/>
          <w:szCs w:val="20"/>
        </w:rPr>
        <w:t xml:space="preserve">Revised implementation timeline with phased launch plan and go-live contingencies</w:t>
      </w:r>
    </w:p>
    <w:p>
      <w:pPr>
        <w:pStyle w:val="ListParagraph"/>
        <w:numPr>
          <w:ilvl w:val="0"/>
          <w:numId w:val="2"/>
        </w:numPr>
        <w:spacing w:before="60" w:after="60"/>
      </w:pPr>
      <w:r>
        <w:rPr>
          <w:rFonts w:ascii="Arial" w:cs="Arial" w:eastAsia="Arial" w:hAnsi="Arial"/>
          <w:sz w:val="20"/>
          <w:szCs w:val="20"/>
        </w:rPr>
        <w:t xml:space="preserve">Updated REMS materials (HCP Enrollment Form, Patient Wallet Card, Patient Enrollment Form, HCP Training Module)</w:t>
      </w:r>
    </w:p>
    <w:p>
      <w:pPr>
        <w:spacing w:before="80" w:after="120" w:line="276"/>
        <w:jc w:val="both"/>
      </w:pPr>
      <w:r>
        <w:rPr>
          <w:rFonts w:ascii="Arial" w:cs="Arial" w:eastAsia="Arial" w:hAnsi="Arial"/>
          <w:b w:val="false"/>
          <w:bCs w:val="false"/>
          <w:i w:val="false"/>
          <w:iCs w:val="false"/>
          <w:color w:val="000000"/>
          <w:sz w:val="20"/>
          <w:szCs w:val="20"/>
        </w:rPr>
        <w:t xml:space="preserve">Full details are provided in the standalone REMS Proposal document (Document 4 of this submission package).</w:t>
      </w:r>
    </w:p>
    <w:p>
      <w:r>
        <w:br w:type="page"/>
      </w:r>
    </w:p>
    <w:p>
      <w:pPr>
        <w:pStyle w:val="Heading1"/>
        <w:spacing w:before="320" w:after="120"/>
      </w:pPr>
      <w:r>
        <w:rPr>
          <w:rFonts w:ascii="Arial" w:cs="Arial" w:eastAsia="Arial" w:hAnsi="Arial"/>
          <w:b/>
          <w:bCs/>
          <w:color w:val="1F4E79"/>
          <w:sz w:val="36"/>
          <w:szCs w:val="36"/>
        </w:rPr>
        <w:t xml:space="preserve">7. UPDATED BENEFIT-RISK ASSESSMENT</w:t>
      </w:r>
    </w:p>
    <w:p>
      <w:pPr>
        <w:spacing w:before="80" w:after="120" w:line="276"/>
        <w:jc w:val="both"/>
      </w:pPr>
      <w:r>
        <w:rPr>
          <w:rFonts w:ascii="Arial" w:cs="Arial" w:eastAsia="Arial" w:hAnsi="Arial"/>
          <w:b w:val="false"/>
          <w:bCs w:val="false"/>
          <w:i w:val="false"/>
          <w:iCs w:val="false"/>
          <w:color w:val="000000"/>
          <w:sz w:val="20"/>
          <w:szCs w:val="20"/>
        </w:rPr>
        <w:t xml:space="preserve">With the addition of mature OS data (HR 0.62; median OS 24.8 vs. 13.7 months; p&lt;0.0001), the benefit-risk profile of CERVIMAB for the treatment of dMMR/MSI-H mCRC has been further strengthened. The OS benefit is consistent across pre-specified subgroups and is supported by the durability of PFS responses (median PFS 16.5 months).</w:t>
      </w:r>
    </w:p>
    <w:p>
      <w:pPr>
        <w:spacing w:before="80" w:after="120" w:line="276"/>
        <w:jc w:val="both"/>
      </w:pPr>
      <w:r>
        <w:rPr>
          <w:rFonts w:ascii="Arial" w:cs="Arial" w:eastAsia="Arial" w:hAnsi="Arial"/>
          <w:b w:val="false"/>
          <w:bCs w:val="false"/>
          <w:i w:val="false"/>
          <w:iCs w:val="false"/>
          <w:color w:val="000000"/>
          <w:sz w:val="20"/>
          <w:szCs w:val="20"/>
        </w:rPr>
        <w:t xml:space="preserve">The safety profile remains consistent with the known PD-1 inhibitor class, with well-characterized and manageable immune-mediated adverse events. The proposed REMS further mitigates serious risks through structured HCP education and patient monitoring frameworks.</w:t>
      </w:r>
    </w:p>
    <w:p>
      <w:pPr>
        <w:spacing w:before="80" w:after="120" w:line="276"/>
        <w:jc w:val="both"/>
      </w:pPr>
      <w:r>
        <w:rPr>
          <w:rFonts w:ascii="Arial" w:cs="Arial" w:eastAsia="Arial" w:hAnsi="Arial"/>
          <w:b w:val="false"/>
          <w:bCs w:val="false"/>
          <w:i w:val="false"/>
          <w:iCs w:val="false"/>
          <w:color w:val="000000"/>
          <w:sz w:val="20"/>
          <w:szCs w:val="20"/>
        </w:rPr>
        <w:t xml:space="preserve">dMMR/MSI-H mCRC represents a molecularly-defined subpopulation with high unmet medical need, characterized by limited long-term benefit from cytotoxic chemotherapy. CERVIMAB represents a clinically meaningful advance for this patient population, with a favorable benefit-risk profile that supports approval.</w:t>
      </w:r>
    </w:p>
    <w:p>
      <w:pPr>
        <w:pStyle w:val="Heading1"/>
        <w:spacing w:before="320" w:after="120"/>
      </w:pPr>
      <w:r>
        <w:rPr>
          <w:rFonts w:ascii="Arial" w:cs="Arial" w:eastAsia="Arial" w:hAnsi="Arial"/>
          <w:b/>
          <w:bCs/>
          <w:color w:val="1F4E79"/>
          <w:sz w:val="36"/>
          <w:szCs w:val="36"/>
        </w:rPr>
        <w:t xml:space="preserve">8. PROPOSED LABELING AND REMS</w:t>
      </w:r>
    </w:p>
    <w:p>
      <w:pPr>
        <w:spacing w:before="80" w:after="120" w:line="276"/>
        <w:jc w:val="both"/>
      </w:pPr>
      <w:r>
        <w:rPr>
          <w:rFonts w:ascii="Arial" w:cs="Arial" w:eastAsia="Arial" w:hAnsi="Arial"/>
          <w:b w:val="false"/>
          <w:bCs w:val="false"/>
          <w:i w:val="false"/>
          <w:iCs w:val="false"/>
          <w:color w:val="000000"/>
          <w:sz w:val="20"/>
          <w:szCs w:val="20"/>
        </w:rPr>
        <w:t xml:space="preserve">The following labeling and REMS materials are submitted as part of this Complete Response:</w:t>
      </w:r>
    </w:p>
    <w:p>
      <w:pPr>
        <w:pStyle w:val="ListParagraph"/>
        <w:numPr>
          <w:ilvl w:val="0"/>
          <w:numId w:val="2"/>
        </w:numPr>
        <w:spacing w:before="60" w:after="60"/>
      </w:pPr>
      <w:r>
        <w:rPr>
          <w:rFonts w:ascii="Arial" w:cs="Arial" w:eastAsia="Arial" w:hAnsi="Arial"/>
          <w:sz w:val="20"/>
          <w:szCs w:val="20"/>
        </w:rPr>
        <w:t xml:space="preserve">Appendix 1A: Revised PI — Redlined version (track changes from CRL version)</w:t>
      </w:r>
    </w:p>
    <w:p>
      <w:pPr>
        <w:pStyle w:val="ListParagraph"/>
        <w:numPr>
          <w:ilvl w:val="0"/>
          <w:numId w:val="2"/>
        </w:numPr>
        <w:spacing w:before="60" w:after="60"/>
      </w:pPr>
      <w:r>
        <w:rPr>
          <w:rFonts w:ascii="Arial" w:cs="Arial" w:eastAsia="Arial" w:hAnsi="Arial"/>
          <w:sz w:val="20"/>
          <w:szCs w:val="20"/>
        </w:rPr>
        <w:t xml:space="preserve">Appendix 1B: Revised PI — Clean version</w:t>
      </w:r>
    </w:p>
    <w:p>
      <w:pPr>
        <w:pStyle w:val="ListParagraph"/>
        <w:numPr>
          <w:ilvl w:val="0"/>
          <w:numId w:val="2"/>
        </w:numPr>
        <w:spacing w:before="60" w:after="60"/>
      </w:pPr>
      <w:r>
        <w:rPr>
          <w:rFonts w:ascii="Arial" w:cs="Arial" w:eastAsia="Arial" w:hAnsi="Arial"/>
          <w:sz w:val="20"/>
          <w:szCs w:val="20"/>
        </w:rPr>
        <w:t xml:space="preserve">Appendix 2: Revised Medication Guide</w:t>
      </w:r>
    </w:p>
    <w:p>
      <w:pPr>
        <w:pStyle w:val="ListParagraph"/>
        <w:numPr>
          <w:ilvl w:val="0"/>
          <w:numId w:val="2"/>
        </w:numPr>
        <w:spacing w:before="60" w:after="60"/>
      </w:pPr>
      <w:r>
        <w:rPr>
          <w:rFonts w:ascii="Arial" w:cs="Arial" w:eastAsia="Arial" w:hAnsi="Arial"/>
          <w:sz w:val="20"/>
          <w:szCs w:val="20"/>
        </w:rPr>
        <w:t xml:space="preserve">Appendix 3: Container label and carton labeling</w:t>
      </w:r>
    </w:p>
    <w:p>
      <w:pPr>
        <w:pStyle w:val="ListParagraph"/>
        <w:numPr>
          <w:ilvl w:val="0"/>
          <w:numId w:val="2"/>
        </w:numPr>
        <w:spacing w:before="60" w:after="60"/>
      </w:pPr>
      <w:r>
        <w:rPr>
          <w:rFonts w:ascii="Arial" w:cs="Arial" w:eastAsia="Arial" w:hAnsi="Arial"/>
          <w:sz w:val="20"/>
          <w:szCs w:val="20"/>
        </w:rPr>
        <w:t xml:space="preserve">Appendix 4: Revised REMS Proposal (separate document)</w:t>
      </w:r>
    </w:p>
    <w:p>
      <w:pPr>
        <w:pStyle w:val="Heading1"/>
        <w:spacing w:before="320" w:after="120"/>
      </w:pPr>
      <w:r>
        <w:rPr>
          <w:rFonts w:ascii="Arial" w:cs="Arial" w:eastAsia="Arial" w:hAnsi="Arial"/>
          <w:b/>
          <w:bCs/>
          <w:color w:val="1F4E79"/>
          <w:sz w:val="36"/>
          <w:szCs w:val="36"/>
        </w:rPr>
        <w:t xml:space="preserve">9. CERTIFICATIONS AND COMMITMENTS</w:t>
      </w:r>
    </w:p>
    <w:p>
      <w:pPr>
        <w:spacing w:before="80" w:after="120" w:line="276"/>
        <w:jc w:val="both"/>
      </w:pPr>
      <w:r>
        <w:rPr>
          <w:rFonts w:ascii="Arial" w:cs="Arial" w:eastAsia="Arial" w:hAnsi="Arial"/>
          <w:b w:val="false"/>
          <w:bCs w:val="false"/>
          <w:i w:val="false"/>
          <w:iCs w:val="false"/>
          <w:color w:val="000000"/>
          <w:sz w:val="20"/>
          <w:szCs w:val="20"/>
        </w:rPr>
        <w:t xml:space="preserve">The Sponsor certifies that:</w:t>
      </w:r>
    </w:p>
    <w:p>
      <w:pPr>
        <w:pStyle w:val="ListParagraph"/>
        <w:numPr>
          <w:ilvl w:val="0"/>
          <w:numId w:val="3"/>
        </w:numPr>
        <w:spacing w:before="60" w:after="60"/>
      </w:pPr>
      <w:r>
        <w:rPr>
          <w:rFonts w:ascii="Arial" w:cs="Arial" w:eastAsia="Arial" w:hAnsi="Arial"/>
          <w:sz w:val="20"/>
          <w:szCs w:val="20"/>
        </w:rPr>
        <w:t xml:space="preserve">All data submitted herein are accurate and complete to the best of the Sponsor's knowledge.</w:t>
      </w:r>
    </w:p>
    <w:p>
      <w:pPr>
        <w:pStyle w:val="ListParagraph"/>
        <w:numPr>
          <w:ilvl w:val="0"/>
          <w:numId w:val="3"/>
        </w:numPr>
        <w:spacing w:before="60" w:after="60"/>
      </w:pPr>
      <w:r>
        <w:rPr>
          <w:rFonts w:ascii="Arial" w:cs="Arial" w:eastAsia="Arial" w:hAnsi="Arial"/>
          <w:sz w:val="20"/>
          <w:szCs w:val="20"/>
        </w:rPr>
        <w:t xml:space="preserve">No clinical, non-clinical, or CMC information relevant to the safety or efficacy of CERVIMAB has been omitted from this submission.</w:t>
      </w:r>
    </w:p>
    <w:p>
      <w:pPr>
        <w:pStyle w:val="ListParagraph"/>
        <w:numPr>
          <w:ilvl w:val="0"/>
          <w:numId w:val="3"/>
        </w:numPr>
        <w:spacing w:before="60" w:after="60"/>
      </w:pPr>
      <w:r>
        <w:rPr>
          <w:rFonts w:ascii="Arial" w:cs="Arial" w:eastAsia="Arial" w:hAnsi="Arial"/>
          <w:sz w:val="20"/>
          <w:szCs w:val="20"/>
        </w:rPr>
        <w:t xml:space="preserve">The proposed labeling represents the Sponsor's best understanding of the appropriate benefit-risk communication for CERVIMAB.</w:t>
      </w:r>
    </w:p>
    <w:p>
      <w:pPr>
        <w:pStyle w:val="ListParagraph"/>
        <w:numPr>
          <w:ilvl w:val="0"/>
          <w:numId w:val="3"/>
        </w:numPr>
        <w:spacing w:before="60" w:after="60"/>
      </w:pPr>
      <w:r>
        <w:rPr>
          <w:rFonts w:ascii="Arial" w:cs="Arial" w:eastAsia="Arial" w:hAnsi="Arial"/>
          <w:sz w:val="20"/>
          <w:szCs w:val="20"/>
        </w:rPr>
        <w:t xml:space="preserve">The Sponsor is committed to conducting Post-Marketing Study CERV-401 (Expanded Access Program analysis) and CERV-501 (Real-World Evidence study) as previously agreed with FDA.</w:t>
      </w:r>
    </w:p>
    <w:p>
      <w:pPr>
        <w:spacing w:before="0" w:after="80"/>
      </w:pPr>
    </w:p>
    <w:p>
      <w:pPr>
        <w:spacing w:before="0" w:after="80"/>
      </w:pPr>
    </w:p>
    <w:p>
      <w:pPr>
        <w:pBdr>
          <w:bottom w:val="single" w:color="2E75B6" w:sz="6"/>
        </w:pBdr>
        <w:spacing w:before="160" w:after="160"/>
      </w:pPr>
    </w:p>
    <w:p>
      <w:pPr>
        <w:spacing w:before="80" w:after="120" w:line="276"/>
        <w:jc w:val="both"/>
      </w:pPr>
      <w:r>
        <w:rPr>
          <w:rFonts w:ascii="Arial" w:cs="Arial" w:eastAsia="Arial" w:hAnsi="Arial"/>
          <w:b/>
          <w:bCs/>
          <w:i w:val="false"/>
          <w:iCs w:val="false"/>
          <w:color w:val="000000"/>
          <w:sz w:val="20"/>
          <w:szCs w:val="20"/>
        </w:rPr>
        <w:t xml:space="preserve">Respectfully submitted,</w:t>
      </w:r>
    </w:p>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Dr. [Name], MD, PhD</w:t>
      </w:r>
    </w:p>
    <w:p>
      <w:pPr>
        <w:spacing w:before="80" w:after="120" w:line="276"/>
        <w:jc w:val="both"/>
      </w:pPr>
      <w:r>
        <w:rPr>
          <w:rFonts w:ascii="Arial" w:cs="Arial" w:eastAsia="Arial" w:hAnsi="Arial"/>
          <w:b w:val="false"/>
          <w:bCs w:val="false"/>
          <w:i w:val="false"/>
          <w:iCs w:val="false"/>
          <w:color w:val="000000"/>
          <w:sz w:val="20"/>
          <w:szCs w:val="20"/>
        </w:rPr>
        <w:t xml:space="preserve">Senior Vice President, Regulatory Affairs</w:t>
      </w:r>
    </w:p>
    <w:p>
      <w:pPr>
        <w:spacing w:before="80" w:after="120" w:line="276"/>
        <w:jc w:val="both"/>
      </w:pPr>
      <w:r>
        <w:rPr>
          <w:rFonts w:ascii="Arial" w:cs="Arial" w:eastAsia="Arial" w:hAnsi="Arial"/>
          <w:b w:val="false"/>
          <w:bCs w:val="false"/>
          <w:i w:val="false"/>
          <w:iCs w:val="false"/>
          <w:color w:val="000000"/>
          <w:sz w:val="20"/>
          <w:szCs w:val="20"/>
        </w:rPr>
        <w:t xml:space="preserve">Nexagen Biotherapeutics, Inc.</w:t>
      </w:r>
    </w:p>
    <w:p>
      <w:pPr>
        <w:spacing w:before="80" w:after="120" w:line="276"/>
        <w:jc w:val="both"/>
      </w:pPr>
      <w:r>
        <w:rPr>
          <w:rFonts w:ascii="Arial" w:cs="Arial" w:eastAsia="Arial" w:hAnsi="Arial"/>
          <w:b w:val="false"/>
          <w:bCs w:val="false"/>
          <w:i w:val="false"/>
          <w:iCs w:val="false"/>
          <w:color w:val="000000"/>
          <w:sz w:val="20"/>
          <w:szCs w:val="20"/>
        </w:rPr>
        <w:t xml:space="preserve">Submission Date: March 16,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60" w:after="0"/>
    </w:pPr>
    <w:r>
      <w:rPr>
        <w:rFonts w:ascii="Arial" w:cs="Arial" w:eastAsia="Arial" w:hAnsi="Arial"/>
        <w:color w:val="999999"/>
        <w:sz w:val="16"/>
        <w:szCs w:val="16"/>
      </w:rPr>
      <w:t xml:space="preserve">CONFIDENTIAL — FOR REGULATORY PURPOSES ONLY</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spacing w:before="0" w:after="60"/>
    </w:pPr>
    <w:r>
      <w:rPr>
        <w:rFonts w:ascii="Arial" w:cs="Arial" w:eastAsia="Arial" w:hAnsi="Arial"/>
        <w:color w:val="2E75B6"/>
        <w:sz w:val="17"/>
        <w:szCs w:val="17"/>
      </w:rPr>
      <w:t xml:space="preserve">CERVIMAB (anti-PD-1) | dMMR/MSI-H mCRC</w:t>
    </w:r>
    <w:r>
      <w:rPr>
        <w:rFonts w:ascii="Arial" w:cs="Arial" w:eastAsia="Arial" w:hAnsi="Arial"/>
        <w:color w:val="777777"/>
        <w:sz w:val="17"/>
        <w:szCs w:val="17"/>
      </w:rPr>
      <w:t xml:space="preserve">	Complete Response — CRL Deficiencies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 w:type="paragraph" w:styleId="Heading4">
    <w:name w:val="Heading 4"/>
    <w:basedOn w:val="Normal"/>
    <w:next w:val="Normal"/>
    <w:qFormat/>
    <w:pPr>
      <w:spacing w:before="140" w:after="6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2026-03-16T14:13:56.439Z</dcterms:created>
  <dcterms:modified xsi:type="dcterms:W3CDTF">2026-03-16T14:13:56.440Z</dcterms:modified>
</cp:coreProperties>
</file>

<file path=docProps/custom.xml><?xml version="1.0" encoding="utf-8"?>
<Properties xmlns="http://schemas.openxmlformats.org/officeDocument/2006/custom-properties" xmlns:vt="http://schemas.openxmlformats.org/officeDocument/2006/docPropsVTypes"/>
</file>