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555555"/>
          <w:sz w:val="28"/>
          <w:szCs w:val="28"/>
        </w:rPr>
        <w:t xml:space="preserve">EUROPEAN MEDICINES AGENCY (EMA)</w:t>
      </w:r>
    </w:p>
    <w:p>
      <w:pPr>
        <w:spacing w:before="40" w:after="40"/>
        <w:jc w:val="center"/>
      </w:pPr>
      <w:r>
        <w:rPr>
          <w:rFonts w:ascii="Arial" w:cs="Arial" w:eastAsia="Arial" w:hAnsi="Arial"/>
          <w:b/>
          <w:bCs/>
          <w:color w:val="555555"/>
          <w:sz w:val="22"/>
          <w:szCs w:val="22"/>
        </w:rPr>
        <w:t xml:space="preserve">COMMITTEE FOR MEDICINAL PRODUCTS FOR HUMAN USE (CHMP)</w:t>
      </w:r>
    </w:p>
    <w:p>
      <w:pPr>
        <w:pBdr>
          <w:bottom w:val="single" w:color="003087" w:sz="8" w:space="8"/>
        </w:pBdr>
        <w:spacing w:before="120" w:after="120"/>
        <w:jc w:val="center"/>
      </w:pPr>
      <w:r>
        <w:rPr>
          <w:rFonts w:ascii="Arial" w:cs="Arial" w:eastAsia="Arial" w:hAnsi="Arial"/>
          <w:b/>
          <w:bCs/>
          <w:color w:val="00205B"/>
          <w:sz w:val="40"/>
          <w:szCs w:val="40"/>
        </w:rPr>
        <w:t xml:space="preserve">MARKETING AUTHORISATION APPLICATION</w:t>
      </w:r>
    </w:p>
    <w:p>
      <w:pPr>
        <w:spacing w:before="60" w:after="60"/>
      </w:pPr>
      <w:r>
        <w:t xml:space="preserve"/>
      </w:r>
    </w:p>
    <w:p>
      <w:pPr>
        <w:spacing w:before="120" w:after="40"/>
        <w:jc w:val="center"/>
      </w:pPr>
      <w:r>
        <w:rPr>
          <w:rFonts w:ascii="Arial" w:cs="Arial" w:eastAsia="Arial" w:hAnsi="Arial"/>
          <w:b/>
          <w:bCs/>
          <w:color w:val="00205B"/>
          <w:sz w:val="56"/>
          <w:szCs w:val="56"/>
        </w:rPr>
        <w:t xml:space="preserve">CERVIMAB</w:t>
      </w:r>
    </w:p>
    <w:p>
      <w:pPr>
        <w:spacing w:before="0" w:after="40"/>
        <w:jc w:val="center"/>
      </w:pPr>
      <w:r>
        <w:rPr>
          <w:rFonts w:ascii="Arial" w:cs="Arial" w:eastAsia="Arial" w:hAnsi="Arial"/>
          <w:i/>
          <w:iCs/>
          <w:color w:val="444444"/>
          <w:sz w:val="26"/>
          <w:szCs w:val="26"/>
        </w:rPr>
        <w:t xml:space="preserve">(cervimab)</w:t>
      </w:r>
    </w:p>
    <w:p>
      <w:pPr>
        <w:spacing w:before="0" w:after="280"/>
        <w:jc w:val="center"/>
      </w:pPr>
      <w:r>
        <w:rPr>
          <w:rFonts w:ascii="Arial" w:cs="Arial" w:eastAsia="Arial" w:hAnsi="Arial"/>
          <w:color w:val="333333"/>
          <w:sz w:val="24"/>
          <w:szCs w:val="24"/>
        </w:rPr>
        <w:t xml:space="preserve">200 mg/4 mL Concentrate for Solution for Infusion</w:t>
      </w:r>
    </w:p>
    <w:p>
      <w:pPr>
        <w:spacing w:before="80" w:after="280"/>
        <w:jc w:val="center"/>
      </w:pPr>
      <w:r>
        <w:rPr>
          <w:rFonts w:ascii="Arial" w:cs="Arial" w:eastAsia="Arial" w:hAnsi="Arial"/>
          <w:i/>
          <w:iCs/>
          <w:color w:val="666666"/>
          <w:sz w:val="20"/>
          <w:szCs w:val="20"/>
        </w:rPr>
        <w:t xml:space="preserve">INN: cervimab  |  ATC Code: L01FF07 (proposed)  |  Pharmacotherapeutic Group: Antineoplastic agents — monoclonal antibodies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Marketing Authorisation Application — Centralised Procedure (Article 3(1) of Regulation (EC) No 726/2004)</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Applicant:</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Biotherapeutics, Inc. (EU Representative: Archon Biotherapeutics Ireland Ltd.)</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EU Representative Address: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One Earlsfort Centre, Earlsfort Terrace, Dublin 2, D02 CK83, Ireland</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Proposed Indication: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Treatment of adult patients with unresectable or metastatic dMMR/MSI-H colorectal cancer that has progressed following prior therapy with fluoropyrimidine-, oxaliplatin-, and irinotecan-based chemotherapy</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EMA Procedure Number:</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EMEA/H/C/006XXX/0000</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November 14, 2025</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Regulatory Pathway:</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Article 3(1) Annex — Regulation (EC) No 726/2004; Oncology — Mandatory centralised procedure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Accelerated Assessment:</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Requested (Article 14(9) of Regulation (EC) 726/2004) — 150-day review clock</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Orphan Designation: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PRIME Designation: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PRIME designation granted by EMA on April 5, 2022 (EMA/PRIME/XXXX/2022)</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Rapporteur (proposed):</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TBD by CHMP</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Co-Rapporteur (proposed):</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TBD by CHMP</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Contact Person (Regulatory):</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 Sarah L. Chen, VP Regulatory Affairs | regulatory@archonbio.com</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DUNS Number:</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12-345-6789</w:t>
            </w:r>
          </w:p>
        </w:tc>
      </w:tr>
    </w:tbl>
    <w:p>
      <w:r>
        <w:br w:type="page"/>
      </w:r>
    </w:p>
    <w:p>
      <w:pPr>
        <w:pStyle w:val="Heading1"/>
        <w:pBdr>
          <w:bottom w:val="single" w:color="003087" w:sz="6" w:space="4"/>
        </w:pBdr>
        <w:spacing w:before="360" w:after="120"/>
      </w:pPr>
      <w:r>
        <w:rPr>
          <w:rFonts w:ascii="Arial" w:cs="Arial" w:eastAsia="Arial" w:hAnsi="Arial"/>
          <w:b/>
          <w:bCs/>
          <w:color w:val="00205B"/>
          <w:sz w:val="28"/>
          <w:szCs w:val="28"/>
        </w:rPr>
        <w:t xml:space="preserve">MODULE 1 — ADMINISTRATIVE INFORMATION (EU-SPECIFIC)</w:t>
      </w:r>
    </w:p>
    <w:p>
      <w:pPr>
        <w:pStyle w:val="Heading2"/>
        <w:spacing w:before="240" w:after="80"/>
      </w:pPr>
      <w:r>
        <w:rPr>
          <w:rFonts w:ascii="Arial" w:cs="Arial" w:eastAsia="Arial" w:hAnsi="Arial"/>
          <w:b/>
          <w:bCs/>
          <w:color w:val="003087"/>
          <w:sz w:val="24"/>
          <w:szCs w:val="24"/>
        </w:rPr>
        <w:t xml:space="preserve">1.0  EMA Application Form (EMEA/H/C Application Form)</w:t>
      </w:r>
    </w:p>
    <w:p>
      <w:pPr>
        <w:spacing w:before="60" w:after="100"/>
      </w:pPr>
      <w:r>
        <w:rPr>
          <w:rFonts w:ascii="Arial" w:cs="Arial" w:eastAsia="Arial" w:hAnsi="Arial"/>
          <w:sz w:val="22"/>
          <w:szCs w:val="22"/>
        </w:rPr>
        <w:t xml:space="preserve">The completed EMEA/H/C Application Form (current version) is submitted in Module 1.0. Key administrative information is summarized below. All fields have been completed per EMA's 'Guidance on the information and documents to be submitted by applicants for CHMP scientific opinions' (EMA/CHMP/BWP/534898/2008 Rev.6).</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Product Name (Proposed):</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Active Substance:</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 (INN pending — application to WHO INN Programme submitted)</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Pharmaceutical Form:</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Concentrate for solution for infusion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Strength:</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 mg/4 mL (50 mg/mL)</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Route of Administration: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Intravenous infusion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Dosage Regimen: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400 mg IV Q6W</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Intended Population: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Adults (≥18 years)</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Product Classification: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Prescription only medicine (POM)</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ATD Code (proposed):</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L01FF07</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Biosimilar Claim:</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 original biological application</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Type of Application: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Complete independent application — Art. 8(3) of Directive 2001/83/EC</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Prior Authorisation (EU):</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None — first marketing authorisation for this biological medicine in the EU</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Global Regulatory Status: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BLA submitted to US FDA (BLA 761XXX, Nov 14 2025); PMDA submitted (J-NDA, Nov 2025); Health Canada submitted (Nov 2025)</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Paediatric Investigation Plan (PIP):</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PIP Decision P/0XXX/2023 — studies waived for &lt;2 years; deferred for 2–17 years (EMA/PDCO agreement)</w:t>
            </w:r>
          </w:p>
        </w:tc>
      </w:tr>
    </w:tbl>
    <w:p>
      <w:pPr>
        <w:spacing w:before="60" w:after="60"/>
      </w:pPr>
      <w:r>
        <w:t xml:space="preserve"/>
      </w:r>
    </w:p>
    <w:p>
      <w:pPr>
        <w:pStyle w:val="Heading2"/>
        <w:spacing w:before="240" w:after="80"/>
      </w:pPr>
      <w:r>
        <w:rPr>
          <w:rFonts w:ascii="Arial" w:cs="Arial" w:eastAsia="Arial" w:hAnsi="Arial"/>
          <w:b/>
          <w:bCs/>
          <w:color w:val="003087"/>
          <w:sz w:val="24"/>
          <w:szCs w:val="24"/>
        </w:rPr>
        <w:t xml:space="preserve">1.1  Application Letter</w:t>
      </w:r>
    </w:p>
    <w:p>
      <w:pPr>
        <w:spacing w:before="60" w:after="100"/>
      </w:pPr>
      <w:r>
        <w:rPr>
          <w:rFonts w:ascii="Arial" w:cs="Arial" w:eastAsia="Arial" w:hAnsi="Arial"/>
          <w:sz w:val="22"/>
          <w:szCs w:val="22"/>
        </w:rPr>
        <w:t xml:space="preserve">November 14, 2025</w:t>
      </w:r>
    </w:p>
    <w:p>
      <w:pPr>
        <w:spacing w:before="60" w:after="60"/>
      </w:pPr>
      <w:r>
        <w:t xml:space="preserve"/>
      </w:r>
    </w:p>
    <w:p>
      <w:pPr>
        <w:spacing w:before="60" w:after="100"/>
      </w:pPr>
      <w:r>
        <w:rPr>
          <w:rFonts w:ascii="Arial" w:cs="Arial" w:eastAsia="Arial" w:hAnsi="Arial"/>
          <w:sz w:val="22"/>
          <w:szCs w:val="22"/>
        </w:rPr>
        <w:t xml:space="preserve">European Medicines Agency
Committee for Medicinal Products for Human Use (CHMP)
30 Churchill Place
Canary Wharf
London E14 5EU
United Kingdom</w:t>
      </w:r>
    </w:p>
    <w:p>
      <w:pPr>
        <w:spacing w:before="60" w:after="60"/>
      </w:pPr>
      <w:r>
        <w:t xml:space="preserve"/>
      </w:r>
    </w:p>
    <w:p>
      <w:pPr>
        <w:spacing w:before="60" w:after="100"/>
      </w:pPr>
      <w:r>
        <w:rPr>
          <w:rFonts w:ascii="Arial" w:cs="Arial" w:eastAsia="Arial" w:hAnsi="Arial"/>
          <w:b/>
          <w:bCs/>
          <w:sz w:val="22"/>
          <w:szCs w:val="22"/>
        </w:rPr>
        <w:t xml:space="preserve">Re: Marketing Authorisation Application for CERVIMAB (cervimab) — EMA Procedure Number EMEA/H/C/006XXX</w:t>
      </w:r>
    </w:p>
    <w:p>
      <w:pPr>
        <w:spacing w:before="60" w:after="60"/>
      </w:pPr>
      <w:r>
        <w:t xml:space="preserve"/>
      </w:r>
    </w:p>
    <w:p>
      <w:pPr>
        <w:spacing w:before="60" w:after="100"/>
      </w:pPr>
      <w:r>
        <w:rPr>
          <w:rFonts w:ascii="Arial" w:cs="Arial" w:eastAsia="Arial" w:hAnsi="Arial"/>
          <w:sz w:val="22"/>
          <w:szCs w:val="22"/>
        </w:rPr>
        <w:t xml:space="preserve">Dear Members of the CHMP,</w:t>
      </w:r>
    </w:p>
    <w:p>
      <w:pPr>
        <w:spacing w:before="60" w:after="60"/>
      </w:pPr>
      <w:r>
        <w:t xml:space="preserve"/>
      </w:r>
    </w:p>
    <w:p>
      <w:pPr>
        <w:spacing w:before="60" w:after="100"/>
      </w:pPr>
      <w:r>
        <w:rPr>
          <w:rFonts w:ascii="Arial" w:cs="Arial" w:eastAsia="Arial" w:hAnsi="Arial"/>
          <w:sz w:val="22"/>
          <w:szCs w:val="22"/>
        </w:rPr>
        <w:t xml:space="preserve">Archon Biotherapeutics, Inc., acting through its EU representative Archon Biotherapeutics Ireland Ltd., hereby submits this Marketing Authorisation Application (MAA) via the centralised procedure for CERVIMAB (cervimab), a humanised anti-PD-1 IgG4 monoclonal antibody, pursuant to Article 3(1) of Regulation (EC) No 726/2004 of the European Parliament and of the Council.</w:t>
      </w:r>
    </w:p>
    <w:p>
      <w:pPr>
        <w:spacing w:before="60" w:after="100"/>
      </w:pPr>
      <w:r>
        <w:rPr>
          <w:rFonts w:ascii="Arial" w:cs="Arial" w:eastAsia="Arial" w:hAnsi="Arial"/>
          <w:sz w:val="22"/>
          <w:szCs w:val="22"/>
        </w:rPr>
        <w:t xml:space="preserve">This application is submitted in eCTD format via the EMA's electronic submission gateway in accordance with EMA's 'Electronic Application Form for Human Medicines — User Guide' (EMA/583016/2018) and Regulation (EC) No 726/2004.</w:t>
      </w:r>
    </w:p>
    <w:p>
      <w:pPr>
        <w:spacing w:before="60" w:after="100"/>
      </w:pPr>
      <w:r>
        <w:rPr>
          <w:rFonts w:ascii="Arial" w:cs="Arial" w:eastAsia="Arial" w:hAnsi="Arial"/>
          <w:sz w:val="22"/>
          <w:szCs w:val="22"/>
        </w:rPr>
        <w:t xml:space="preserve">The Applicant respectfully requests:</w:t>
      </w:r>
    </w:p>
    <w:p>
      <w:pPr>
        <w:pStyle w:val="ListParagraph"/>
        <w:numPr>
          <w:ilvl w:val="0"/>
          <w:numId w:val="2"/>
        </w:numPr>
        <w:spacing w:before="40" w:after="40"/>
      </w:pPr>
      <w:r>
        <w:rPr>
          <w:rFonts w:ascii="Arial" w:cs="Arial" w:eastAsia="Arial" w:hAnsi="Arial"/>
          <w:sz w:val="22"/>
          <w:szCs w:val="22"/>
        </w:rPr>
        <w:t xml:space="preserve">Accelerated assessment under Article 14(9) of Regulation (EC) No 726/2004 on the grounds that CERVIMAB is of major public health interest owing to its therapeutic innovation for patients with dMMR/MSI-H metastatic colorectal cancer, a disease with limited treatment options and high unmet medical need</w:t>
      </w:r>
    </w:p>
    <w:p>
      <w:pPr>
        <w:pStyle w:val="ListParagraph"/>
        <w:numPr>
          <w:ilvl w:val="0"/>
          <w:numId w:val="2"/>
        </w:numPr>
        <w:spacing w:before="40" w:after="40"/>
      </w:pPr>
      <w:r>
        <w:rPr>
          <w:rFonts w:ascii="Arial" w:cs="Arial" w:eastAsia="Arial" w:hAnsi="Arial"/>
          <w:sz w:val="22"/>
          <w:szCs w:val="22"/>
        </w:rPr>
        <w:t xml:space="preserve">Product-specific guidance under PRIME on the basis of the pre-submission PRIME interactions held with the EMA (PRIME Entry Meeting, July 2022)</w:t>
      </w:r>
    </w:p>
    <w:p>
      <w:pPr>
        <w:pStyle w:val="ListParagraph"/>
        <w:numPr>
          <w:ilvl w:val="0"/>
          <w:numId w:val="2"/>
        </w:numPr>
        <w:spacing w:before="40" w:after="40"/>
      </w:pPr>
      <w:r>
        <w:rPr>
          <w:rFonts w:ascii="Arial" w:cs="Arial" w:eastAsia="Arial" w:hAnsi="Arial"/>
          <w:sz w:val="22"/>
          <w:szCs w:val="22"/>
        </w:rPr>
        <w:t xml:space="preserve">Consideration of the Applicant's proposed Annex II and Risk Management Plan (RMP) submitted herein</w:t>
      </w:r>
    </w:p>
    <w:p>
      <w:pPr>
        <w:spacing w:before="60" w:after="60"/>
      </w:pPr>
      <w:r>
        <w:t xml:space="preserve"/>
      </w:r>
    </w:p>
    <w:p>
      <w:pPr>
        <w:spacing w:before="60" w:after="100"/>
      </w:pPr>
      <w:r>
        <w:rPr>
          <w:rFonts w:ascii="Arial" w:cs="Arial" w:eastAsia="Arial" w:hAnsi="Arial"/>
          <w:sz w:val="22"/>
          <w:szCs w:val="22"/>
        </w:rPr>
        <w:t xml:space="preserve">The Applicant confirms that the submission complies with all EU requirements and that the information in this application is complete and accurate to the best of its knowledge.</w:t>
      </w:r>
    </w:p>
    <w:p>
      <w:pPr>
        <w:spacing w:before="60" w:after="60"/>
      </w:pPr>
      <w:r>
        <w:t xml:space="preserve"/>
      </w:r>
    </w:p>
    <w:p>
      <w:pPr>
        <w:spacing w:before="60" w:after="100"/>
      </w:pPr>
      <w:r>
        <w:rPr>
          <w:rFonts w:ascii="Arial" w:cs="Arial" w:eastAsia="Arial" w:hAnsi="Arial"/>
          <w:sz w:val="22"/>
          <w:szCs w:val="22"/>
        </w:rPr>
        <w:t xml:space="preserve">Respectfully submitted,</w:t>
      </w:r>
    </w:p>
    <w:p>
      <w:pPr>
        <w:spacing w:before="60" w:after="60"/>
      </w:pPr>
      <w:r>
        <w:t xml:space="preserve"/>
      </w:r>
    </w:p>
    <w:p>
      <w:pPr>
        <w:spacing w:before="60" w:after="100"/>
      </w:pPr>
      <w:r>
        <w:rPr>
          <w:rFonts w:ascii="Arial" w:cs="Arial" w:eastAsia="Arial" w:hAnsi="Arial"/>
          <w:sz w:val="22"/>
          <w:szCs w:val="22"/>
        </w:rPr>
        <w:t xml:space="preserve">Dr. Sarah L. Chen, PhD
Vice President, Regulatory Affairs
Archon Biotherapeutics, Inc. (on behalf of Archon Biotherapeutics Ireland Ltd.)</w:t>
      </w:r>
    </w:p>
    <w:p>
      <w:r>
        <w:br w:type="page"/>
      </w:r>
    </w:p>
    <w:p>
      <w:pPr>
        <w:pStyle w:val="Heading2"/>
        <w:spacing w:before="240" w:after="80"/>
      </w:pPr>
      <w:r>
        <w:rPr>
          <w:rFonts w:ascii="Arial" w:cs="Arial" w:eastAsia="Arial" w:hAnsi="Arial"/>
          <w:b/>
          <w:bCs/>
          <w:color w:val="003087"/>
          <w:sz w:val="24"/>
          <w:szCs w:val="24"/>
        </w:rPr>
        <w:t xml:space="preserve">1.3  Product Information</w:t>
      </w:r>
    </w:p>
    <w:p>
      <w:pPr>
        <w:pStyle w:val="Heading3"/>
        <w:spacing w:before="180" w:after="60"/>
      </w:pPr>
      <w:r>
        <w:rPr>
          <w:rFonts w:ascii="Arial" w:cs="Arial" w:eastAsia="Arial" w:hAnsi="Arial"/>
          <w:b/>
          <w:bCs/>
          <w:color w:val="2C2C2C"/>
          <w:sz w:val="22"/>
          <w:szCs w:val="22"/>
        </w:rPr>
        <w:t xml:space="preserve">1.3.1  Summary of Product Characteristics (SmPC) — Draft</w:t>
      </w:r>
    </w:p>
    <w:p>
      <w:pPr>
        <w:spacing w:before="60" w:after="100"/>
      </w:pPr>
      <w:r>
        <w:rPr>
          <w:rFonts w:ascii="Arial" w:cs="Arial" w:eastAsia="Arial" w:hAnsi="Arial"/>
          <w:b/>
          <w:bCs/>
          <w:sz w:val="22"/>
          <w:szCs w:val="22"/>
        </w:rPr>
        <w:t xml:space="preserve">1. NAME OF THE MEDICINAL PRODUCT</w:t>
      </w:r>
    </w:p>
    <w:p>
      <w:pPr>
        <w:spacing w:before="60" w:after="100"/>
      </w:pPr>
      <w:r>
        <w:rPr>
          <w:rFonts w:ascii="Arial" w:cs="Arial" w:eastAsia="Arial" w:hAnsi="Arial"/>
          <w:sz w:val="22"/>
          <w:szCs w:val="22"/>
        </w:rPr>
        <w:t xml:space="preserve">CERVIMAB 200 mg/4 mL concentrate for solution for infusion</w:t>
      </w:r>
    </w:p>
    <w:p>
      <w:pPr>
        <w:spacing w:before="60" w:after="60"/>
      </w:pPr>
      <w:r>
        <w:t xml:space="preserve"/>
      </w:r>
    </w:p>
    <w:p>
      <w:pPr>
        <w:spacing w:before="60" w:after="100"/>
      </w:pPr>
      <w:r>
        <w:rPr>
          <w:rFonts w:ascii="Arial" w:cs="Arial" w:eastAsia="Arial" w:hAnsi="Arial"/>
          <w:b/>
          <w:bCs/>
          <w:sz w:val="22"/>
          <w:szCs w:val="22"/>
        </w:rPr>
        <w:t xml:space="preserve">2. QUALITATIVE AND QUANTITATIVE COMPOSITION</w:t>
      </w:r>
    </w:p>
    <w:p>
      <w:pPr>
        <w:spacing w:before="60" w:after="100"/>
      </w:pPr>
      <w:r>
        <w:rPr>
          <w:rFonts w:ascii="Arial" w:cs="Arial" w:eastAsia="Arial" w:hAnsi="Arial"/>
          <w:sz w:val="22"/>
          <w:szCs w:val="22"/>
        </w:rPr>
        <w:t xml:space="preserve">Each vial contains 200 mg cervimab in 4 mL (50 mg/mL concentrate).</w:t>
      </w:r>
    </w:p>
    <w:p>
      <w:pPr>
        <w:spacing w:before="60" w:after="100"/>
      </w:pPr>
      <w:r>
        <w:rPr>
          <w:rFonts w:ascii="Arial" w:cs="Arial" w:eastAsia="Arial" w:hAnsi="Arial"/>
          <w:sz w:val="22"/>
          <w:szCs w:val="22"/>
        </w:rPr>
        <w:t xml:space="preserve">After dilution, the final cervimab concentration is between 1 mg/mL and 10 mg/mL.</w:t>
      </w:r>
    </w:p>
    <w:p>
      <w:pPr>
        <w:spacing w:before="60" w:after="100"/>
      </w:pPr>
      <w:r>
        <w:rPr>
          <w:rFonts w:ascii="Arial" w:cs="Arial" w:eastAsia="Arial" w:hAnsi="Arial"/>
          <w:sz w:val="22"/>
          <w:szCs w:val="22"/>
        </w:rPr>
        <w:t xml:space="preserve">Cervimab is produced by recombinant DNA technology using Chinese hamster ovary (CHO) cells.</w:t>
      </w:r>
    </w:p>
    <w:p>
      <w:pPr>
        <w:spacing w:before="60" w:after="100"/>
      </w:pPr>
      <w:r>
        <w:rPr>
          <w:rFonts w:ascii="Arial" w:cs="Arial" w:eastAsia="Arial" w:hAnsi="Arial"/>
          <w:sz w:val="22"/>
          <w:szCs w:val="22"/>
        </w:rPr>
        <w:t xml:space="preserve">Excipients with known effect: Each vial contains approximately 70 mg trehalose and 0.4 mg polysorbate 80.</w:t>
      </w:r>
    </w:p>
    <w:p>
      <w:pPr>
        <w:spacing w:before="60" w:after="100"/>
      </w:pPr>
      <w:r>
        <w:rPr>
          <w:rFonts w:ascii="Arial" w:cs="Arial" w:eastAsia="Arial" w:hAnsi="Arial"/>
          <w:sz w:val="22"/>
          <w:szCs w:val="22"/>
        </w:rPr>
        <w:t xml:space="preserve">For the full list of excipients, see section 6.1.</w:t>
      </w:r>
    </w:p>
    <w:p>
      <w:pPr>
        <w:spacing w:before="60" w:after="60"/>
      </w:pPr>
      <w:r>
        <w:t xml:space="preserve"/>
      </w:r>
    </w:p>
    <w:p>
      <w:pPr>
        <w:spacing w:before="60" w:after="100"/>
      </w:pPr>
      <w:r>
        <w:rPr>
          <w:rFonts w:ascii="Arial" w:cs="Arial" w:eastAsia="Arial" w:hAnsi="Arial"/>
          <w:b/>
          <w:bCs/>
          <w:sz w:val="22"/>
          <w:szCs w:val="22"/>
        </w:rPr>
        <w:t xml:space="preserve">3. PHARMACEUTICAL FORM</w:t>
      </w:r>
    </w:p>
    <w:p>
      <w:pPr>
        <w:spacing w:before="60" w:after="100"/>
      </w:pPr>
      <w:r>
        <w:rPr>
          <w:rFonts w:ascii="Arial" w:cs="Arial" w:eastAsia="Arial" w:hAnsi="Arial"/>
          <w:sz w:val="22"/>
          <w:szCs w:val="22"/>
        </w:rPr>
        <w:t xml:space="preserve">Concentrate for solution for infusion. Clear to slightly opalescent, colourless to slightly yellow solution.</w:t>
      </w:r>
    </w:p>
    <w:p>
      <w:pPr>
        <w:spacing w:before="60" w:after="60"/>
      </w:pPr>
      <w:r>
        <w:t xml:space="preserve"/>
      </w:r>
    </w:p>
    <w:p>
      <w:pPr>
        <w:spacing w:before="60" w:after="100"/>
      </w:pPr>
      <w:r>
        <w:rPr>
          <w:rFonts w:ascii="Arial" w:cs="Arial" w:eastAsia="Arial" w:hAnsi="Arial"/>
          <w:b/>
          <w:bCs/>
          <w:sz w:val="22"/>
          <w:szCs w:val="22"/>
        </w:rPr>
        <w:t xml:space="preserve">4. CLINICAL PARTICULARS</w:t>
      </w:r>
    </w:p>
    <w:p>
      <w:pPr>
        <w:spacing w:before="60" w:after="100"/>
      </w:pPr>
      <w:r>
        <w:rPr>
          <w:rFonts w:ascii="Arial" w:cs="Arial" w:eastAsia="Arial" w:hAnsi="Arial"/>
          <w:sz w:val="22"/>
          <w:szCs w:val="22"/>
        </w:rPr>
        <w:t xml:space="preserve">4.1 Therapeutic Indications</w:t>
      </w:r>
    </w:p>
    <w:p>
      <w:pPr>
        <w:spacing w:before="60" w:after="100"/>
      </w:pPr>
      <w:r>
        <w:rPr>
          <w:rFonts w:ascii="Arial" w:cs="Arial" w:eastAsia="Arial" w:hAnsi="Arial"/>
          <w:sz w:val="22"/>
          <w:szCs w:val="22"/>
        </w:rPr>
        <w:t xml:space="preserve">CERVIMAB as monotherapy is indicated for the treatment of adult patients with unresectable or metastatic mismatch repair deficient (dMMR) or microsatellite instability-high (MSI-H) colorectal cancer (CRC) that has progressed following treatment with fluoropyrimidine-, oxaliplatin-, and irinotecan-based chemotherapy.</w:t>
      </w:r>
    </w:p>
    <w:p>
      <w:pPr>
        <w:spacing w:before="60" w:after="100"/>
      </w:pPr>
      <w:r>
        <w:rPr>
          <w:rFonts w:ascii="Arial" w:cs="Arial" w:eastAsia="Arial" w:hAnsi="Arial"/>
          <w:sz w:val="22"/>
          <w:szCs w:val="22"/>
        </w:rPr>
        <w:t xml:space="preserve">Selection of patients for treatment with CERVIMAB should be based on tumour dMMR or MSI-H status confirmed by a validated test (see section 5.1).</w:t>
      </w:r>
    </w:p>
    <w:p>
      <w:pPr>
        <w:spacing w:before="60" w:after="60"/>
      </w:pPr>
      <w:r>
        <w:t xml:space="preserve"/>
      </w:r>
    </w:p>
    <w:p>
      <w:pPr>
        <w:spacing w:before="60" w:after="100"/>
      </w:pPr>
      <w:r>
        <w:rPr>
          <w:rFonts w:ascii="Arial" w:cs="Arial" w:eastAsia="Arial" w:hAnsi="Arial"/>
          <w:sz w:val="22"/>
          <w:szCs w:val="22"/>
        </w:rPr>
        <w:t xml:space="preserve">4.2 Posology and Method of Administration</w:t>
      </w:r>
    </w:p>
    <w:p>
      <w:pPr>
        <w:spacing w:before="60" w:after="100"/>
      </w:pPr>
      <w:r>
        <w:rPr>
          <w:rFonts w:ascii="Arial" w:cs="Arial" w:eastAsia="Arial" w:hAnsi="Arial"/>
          <w:sz w:val="22"/>
          <w:szCs w:val="22"/>
        </w:rPr>
        <w:t xml:space="preserve">Treatment with CERVIMAB should be initiated and supervised by a physician experienced in the treatment of cancer.</w:t>
      </w:r>
    </w:p>
    <w:p>
      <w:pPr>
        <w:spacing w:before="60" w:after="100"/>
      </w:pPr>
      <w:r>
        <w:rPr>
          <w:rFonts w:ascii="Arial" w:cs="Arial" w:eastAsia="Arial" w:hAnsi="Arial"/>
          <w:sz w:val="22"/>
          <w:szCs w:val="22"/>
        </w:rPr>
        <w:t xml:space="preserve">Posology</w:t>
      </w:r>
    </w:p>
    <w:p>
      <w:pPr>
        <w:spacing w:before="60" w:after="100"/>
      </w:pPr>
      <w:r>
        <w:rPr>
          <w:rFonts w:ascii="Arial" w:cs="Arial" w:eastAsia="Arial" w:hAnsi="Arial"/>
          <w:sz w:val="22"/>
          <w:szCs w:val="22"/>
        </w:rPr>
        <w:t xml:space="preserve">The recommended dose of CERVIMAB is 400 mg administered as an intravenous infusion over 30 minutes every 6 weeks (Q6W) until disease progression or unacceptable toxicity.</w:t>
      </w:r>
    </w:p>
    <w:p>
      <w:pPr>
        <w:spacing w:before="60" w:after="100"/>
      </w:pPr>
      <w:r>
        <w:rPr>
          <w:rFonts w:ascii="Arial" w:cs="Arial" w:eastAsia="Arial" w:hAnsi="Arial"/>
          <w:sz w:val="22"/>
          <w:szCs w:val="22"/>
        </w:rPr>
        <w:t xml:space="preserve">Dose modifications for adverse reactions: No dose reduction is recommended. Management of immune-related adverse reactions may require dose interruption, withholding, or permanent discontinuation. Refer to Table 1 in the full SmPC for immune-related adverse reaction management guidelines.</w:t>
      </w:r>
    </w:p>
    <w:p>
      <w:pPr>
        <w:spacing w:before="60" w:after="100"/>
      </w:pPr>
      <w:r>
        <w:rPr>
          <w:rFonts w:ascii="Arial" w:cs="Arial" w:eastAsia="Arial" w:hAnsi="Arial"/>
          <w:sz w:val="22"/>
          <w:szCs w:val="22"/>
        </w:rPr>
        <w:t xml:space="preserve">Special populations:</w:t>
      </w:r>
    </w:p>
    <w:p>
      <w:pPr>
        <w:pStyle w:val="ListParagraph"/>
        <w:numPr>
          <w:ilvl w:val="0"/>
          <w:numId w:val="2"/>
        </w:numPr>
        <w:spacing w:before="40" w:after="40"/>
      </w:pPr>
      <w:r>
        <w:rPr>
          <w:rFonts w:ascii="Arial" w:cs="Arial" w:eastAsia="Arial" w:hAnsi="Arial"/>
          <w:sz w:val="22"/>
          <w:szCs w:val="22"/>
        </w:rPr>
        <w:t xml:space="preserve">Elderly patients (≥65 years): No dose adjustment is required. See section 5.2.</w:t>
      </w:r>
    </w:p>
    <w:p>
      <w:pPr>
        <w:pStyle w:val="ListParagraph"/>
        <w:numPr>
          <w:ilvl w:val="0"/>
          <w:numId w:val="2"/>
        </w:numPr>
        <w:spacing w:before="40" w:after="40"/>
      </w:pPr>
      <w:r>
        <w:rPr>
          <w:rFonts w:ascii="Arial" w:cs="Arial" w:eastAsia="Arial" w:hAnsi="Arial"/>
          <w:sz w:val="22"/>
          <w:szCs w:val="22"/>
        </w:rPr>
        <w:t xml:space="preserve">Renal impairment: No dose adjustment is required in patients with mild to severe renal impairment. See section 5.2.</w:t>
      </w:r>
    </w:p>
    <w:p>
      <w:pPr>
        <w:pStyle w:val="ListParagraph"/>
        <w:numPr>
          <w:ilvl w:val="0"/>
          <w:numId w:val="2"/>
        </w:numPr>
        <w:spacing w:before="40" w:after="40"/>
      </w:pPr>
      <w:r>
        <w:rPr>
          <w:rFonts w:ascii="Arial" w:cs="Arial" w:eastAsia="Arial" w:hAnsi="Arial"/>
          <w:sz w:val="22"/>
          <w:szCs w:val="22"/>
        </w:rPr>
        <w:t xml:space="preserve">Hepatic impairment: No dose adjustment is required in patients with mild hepatic impairment. Limited data in moderate hepatic impairment. Not recommended in severe hepatic impairment. See section 5.2.</w:t>
      </w:r>
    </w:p>
    <w:p>
      <w:pPr>
        <w:pStyle w:val="ListParagraph"/>
        <w:numPr>
          <w:ilvl w:val="0"/>
          <w:numId w:val="2"/>
        </w:numPr>
        <w:spacing w:before="40" w:after="40"/>
      </w:pPr>
      <w:r>
        <w:rPr>
          <w:rFonts w:ascii="Arial" w:cs="Arial" w:eastAsia="Arial" w:hAnsi="Arial"/>
          <w:sz w:val="22"/>
          <w:szCs w:val="22"/>
        </w:rPr>
        <w:t xml:space="preserve">Paediatric population: The safety and efficacy of CERVIMAB in children below 18 years have not been established. No data are available (see section 4.8).</w:t>
      </w:r>
    </w:p>
    <w:p>
      <w:pPr>
        <w:spacing w:before="60" w:after="60"/>
      </w:pPr>
      <w:r>
        <w:t xml:space="preserve"/>
      </w:r>
    </w:p>
    <w:p>
      <w:pPr>
        <w:spacing w:before="60" w:after="100"/>
      </w:pPr>
      <w:r>
        <w:rPr>
          <w:rFonts w:ascii="Arial" w:cs="Arial" w:eastAsia="Arial" w:hAnsi="Arial"/>
          <w:sz w:val="22"/>
          <w:szCs w:val="22"/>
        </w:rPr>
        <w:t xml:space="preserve">4.3 Contraindications</w:t>
      </w:r>
    </w:p>
    <w:p>
      <w:pPr>
        <w:spacing w:before="60" w:after="100"/>
      </w:pPr>
      <w:r>
        <w:rPr>
          <w:rFonts w:ascii="Arial" w:cs="Arial" w:eastAsia="Arial" w:hAnsi="Arial"/>
          <w:sz w:val="22"/>
          <w:szCs w:val="22"/>
        </w:rPr>
        <w:t xml:space="preserve">Hypersensitivity to the active substance or to any of the excipients listed in section 6.1.</w:t>
      </w:r>
    </w:p>
    <w:p>
      <w:pPr>
        <w:spacing w:before="60" w:after="60"/>
      </w:pPr>
      <w:r>
        <w:t xml:space="preserve"/>
      </w:r>
    </w:p>
    <w:p>
      <w:pPr>
        <w:spacing w:before="60" w:after="100"/>
      </w:pPr>
      <w:r>
        <w:rPr>
          <w:rFonts w:ascii="Arial" w:cs="Arial" w:eastAsia="Arial" w:hAnsi="Arial"/>
          <w:sz w:val="22"/>
          <w:szCs w:val="22"/>
        </w:rPr>
        <w:t xml:space="preserve">4.4 Special Warnings and Precautions for Use</w:t>
      </w:r>
    </w:p>
    <w:p>
      <w:pPr>
        <w:spacing w:before="60" w:after="100"/>
      </w:pPr>
      <w:r>
        <w:rPr>
          <w:rFonts w:ascii="Arial" w:cs="Arial" w:eastAsia="Arial" w:hAnsi="Arial"/>
          <w:sz w:val="22"/>
          <w:szCs w:val="22"/>
        </w:rPr>
        <w:t xml:space="preserve">Immune-related adverse reactions</w:t>
      </w:r>
    </w:p>
    <w:p>
      <w:pPr>
        <w:spacing w:before="60" w:after="100"/>
      </w:pPr>
      <w:r>
        <w:rPr>
          <w:rFonts w:ascii="Arial" w:cs="Arial" w:eastAsia="Arial" w:hAnsi="Arial"/>
          <w:sz w:val="22"/>
          <w:szCs w:val="22"/>
        </w:rPr>
        <w:t xml:space="preserve">Immune-related adverse reactions (irAEs), which may be severe or fatal, have been observed with cervimab. They can occur in any organ or tissue and can appear at any time after initiation, including after discontinuation of cervimab. They typically present with inflammation and can be managed through interruption, withholding, or permanent discontinuation of cervimab, together with administration of corticosteroids and/or other immunosuppressants. The clinical presentation of immune-related adverse reactions can be complex; concomitant endocrinopathies should be considered. Immune-related adverse reactions and their management are described below.</w:t>
      </w:r>
    </w:p>
    <w:p>
      <w:pPr>
        <w:pStyle w:val="ListParagraph"/>
        <w:numPr>
          <w:ilvl w:val="0"/>
          <w:numId w:val="2"/>
        </w:numPr>
        <w:spacing w:before="40" w:after="40"/>
      </w:pPr>
      <w:r>
        <w:rPr>
          <w:rFonts w:ascii="Arial" w:cs="Arial" w:eastAsia="Arial" w:hAnsi="Arial"/>
          <w:sz w:val="22"/>
          <w:szCs w:val="22"/>
        </w:rPr>
        <w:t xml:space="preserve">Immune-related pneumonitis: Withhold for moderate (Grade 2) pneumonitis. Permanently discontinue for severe (Grade 3) or life-threatening (Grade 4) pneumonitis.</w:t>
      </w:r>
    </w:p>
    <w:p>
      <w:pPr>
        <w:pStyle w:val="ListParagraph"/>
        <w:numPr>
          <w:ilvl w:val="0"/>
          <w:numId w:val="2"/>
        </w:numPr>
        <w:spacing w:before="40" w:after="40"/>
      </w:pPr>
      <w:r>
        <w:rPr>
          <w:rFonts w:ascii="Arial" w:cs="Arial" w:eastAsia="Arial" w:hAnsi="Arial"/>
          <w:sz w:val="22"/>
          <w:szCs w:val="22"/>
        </w:rPr>
        <w:t xml:space="preserve">Immune-related colitis: Withhold for moderate (Grade 2) colitis; permanently discontinue for severe (Grade 3–4) colitis.</w:t>
      </w:r>
    </w:p>
    <w:p>
      <w:pPr>
        <w:pStyle w:val="ListParagraph"/>
        <w:numPr>
          <w:ilvl w:val="0"/>
          <w:numId w:val="2"/>
        </w:numPr>
        <w:spacing w:before="40" w:after="40"/>
      </w:pPr>
      <w:r>
        <w:rPr>
          <w:rFonts w:ascii="Arial" w:cs="Arial" w:eastAsia="Arial" w:hAnsi="Arial"/>
          <w:sz w:val="22"/>
          <w:szCs w:val="22"/>
        </w:rPr>
        <w:t xml:space="preserve">Immune-related hepatitis: Withhold for Grade 2 ALT/AST elevation; permanently discontinue for Grade 3–4.</w:t>
      </w:r>
    </w:p>
    <w:p>
      <w:pPr>
        <w:pStyle w:val="ListParagraph"/>
        <w:numPr>
          <w:ilvl w:val="0"/>
          <w:numId w:val="2"/>
        </w:numPr>
        <w:spacing w:before="40" w:after="40"/>
      </w:pPr>
      <w:r>
        <w:rPr>
          <w:rFonts w:ascii="Arial" w:cs="Arial" w:eastAsia="Arial" w:hAnsi="Arial"/>
          <w:sz w:val="22"/>
          <w:szCs w:val="22"/>
        </w:rPr>
        <w:t xml:space="preserve">Immune-related endocrinopathies (hypothyroidism, hyperthyroidism, adrenal insufficiency, type 1 DM): Manage endocrine toxicities with hormone replacement as indicated; consider dose interruption for Grade 3–4.</w:t>
      </w:r>
    </w:p>
    <w:p>
      <w:pPr>
        <w:pStyle w:val="ListParagraph"/>
        <w:numPr>
          <w:ilvl w:val="0"/>
          <w:numId w:val="2"/>
        </w:numPr>
        <w:spacing w:before="40" w:after="40"/>
      </w:pPr>
      <w:r>
        <w:rPr>
          <w:rFonts w:ascii="Arial" w:cs="Arial" w:eastAsia="Arial" w:hAnsi="Arial"/>
          <w:sz w:val="22"/>
          <w:szCs w:val="22"/>
        </w:rPr>
        <w:t xml:space="preserve">Immune-related nephritis: Withhold for Grade 2; permanently discontinue for Grade 3–4.</w:t>
      </w:r>
    </w:p>
    <w:p>
      <w:pPr>
        <w:spacing w:before="60" w:after="60"/>
      </w:pPr>
      <w:r>
        <w:t xml:space="preserve"/>
      </w:r>
    </w:p>
    <w:p>
      <w:pPr>
        <w:spacing w:before="60" w:after="100"/>
      </w:pPr>
      <w:r>
        <w:rPr>
          <w:rFonts w:ascii="Arial" w:cs="Arial" w:eastAsia="Arial" w:hAnsi="Arial"/>
          <w:sz w:val="22"/>
          <w:szCs w:val="22"/>
        </w:rPr>
        <w:t xml:space="preserve">Infusion-related reactions</w:t>
      </w:r>
    </w:p>
    <w:p>
      <w:pPr>
        <w:spacing w:before="60" w:after="100"/>
      </w:pPr>
      <w:r>
        <w:rPr>
          <w:rFonts w:ascii="Arial" w:cs="Arial" w:eastAsia="Arial" w:hAnsi="Arial"/>
          <w:sz w:val="22"/>
          <w:szCs w:val="22"/>
        </w:rPr>
        <w:t xml:space="preserve">Severe infusion-related reactions, including anaphylaxis, have been reported. Interrupt infusion for Grade 1–2 reactions; permanently discontinue for Grade 3–4.</w:t>
      </w:r>
    </w:p>
    <w:p>
      <w:pPr>
        <w:spacing w:before="60" w:after="60"/>
      </w:pPr>
      <w:r>
        <w:t xml:space="preserve"/>
      </w:r>
    </w:p>
    <w:p>
      <w:pPr>
        <w:spacing w:before="60" w:after="100"/>
      </w:pPr>
      <w:r>
        <w:rPr>
          <w:rFonts w:ascii="Arial" w:cs="Arial" w:eastAsia="Arial" w:hAnsi="Arial"/>
          <w:b/>
          <w:bCs/>
          <w:sz w:val="22"/>
          <w:szCs w:val="22"/>
        </w:rPr>
        <w:t xml:space="preserve">4.8 Undesirable Effects (Summary)</w:t>
      </w:r>
    </w:p>
    <w:p>
      <w:pPr>
        <w:spacing w:before="60" w:after="100"/>
      </w:pPr>
      <w:r>
        <w:rPr>
          <w:rFonts w:ascii="Arial" w:cs="Arial" w:eastAsia="Arial" w:hAnsi="Arial"/>
          <w:sz w:val="22"/>
          <w:szCs w:val="22"/>
        </w:rPr>
        <w:t xml:space="preserve">The safety population included 1,206 patients treated with CERVIMAB across clinical studies. The most frequently reported adverse reactions were fatigue (38.2%), diarrhoea/colitis (27.4%), rash (24.1%), nausea (22.8%), hypothyroidism (18.3%), arthralgia (16.7%), and hepatitis — liver enzyme elevation (14.2%).</w:t>
      </w:r>
    </w:p>
    <w:p>
      <w:pPr>
        <w:spacing w:before="60" w:after="100"/>
      </w:pPr>
      <w:r>
        <w:rPr>
          <w:rFonts w:ascii="Arial" w:cs="Arial" w:eastAsia="Arial" w:hAnsi="Arial"/>
          <w:sz w:val="22"/>
          <w:szCs w:val="22"/>
        </w:rPr>
        <w:t xml:space="preserve">Immune-related adverse reactions occurred in 42.6% of patients (any grade); Grade 3–4 imAEs occurred in 10.4%.</w:t>
      </w:r>
    </w:p>
    <w:p>
      <w:pPr>
        <w:spacing w:before="60" w:after="60"/>
      </w:pPr>
      <w:r>
        <w:t xml:space="preserve"/>
      </w:r>
    </w:p>
    <w:p>
      <w:pPr>
        <w:spacing w:before="60" w:after="100"/>
      </w:pPr>
      <w:r>
        <w:rPr>
          <w:rFonts w:ascii="Arial" w:cs="Arial" w:eastAsia="Arial" w:hAnsi="Arial"/>
          <w:b/>
          <w:bCs/>
          <w:sz w:val="22"/>
          <w:szCs w:val="22"/>
        </w:rPr>
        <w:t xml:space="preserve">5. PHARMACOLOGICAL PROPERTIES</w:t>
      </w:r>
    </w:p>
    <w:p>
      <w:pPr>
        <w:spacing w:before="60" w:after="100"/>
      </w:pPr>
      <w:r>
        <w:rPr>
          <w:rFonts w:ascii="Arial" w:cs="Arial" w:eastAsia="Arial" w:hAnsi="Arial"/>
          <w:sz w:val="22"/>
          <w:szCs w:val="22"/>
        </w:rPr>
        <w:t xml:space="preserve">5.1 Pharmacodynamic Properties</w:t>
      </w:r>
    </w:p>
    <w:p>
      <w:pPr>
        <w:spacing w:before="60" w:after="100"/>
      </w:pPr>
      <w:r>
        <w:rPr>
          <w:rFonts w:ascii="Arial" w:cs="Arial" w:eastAsia="Arial" w:hAnsi="Arial"/>
          <w:sz w:val="22"/>
          <w:szCs w:val="22"/>
        </w:rPr>
        <w:t xml:space="preserve">Pharmacotherapeutic group: Antineoplastic agents, monoclonal antibodies, PD-1 inhibitors, ATC code: L01FF07 (proposed)</w:t>
      </w:r>
    </w:p>
    <w:p>
      <w:pPr>
        <w:spacing w:before="60" w:after="100"/>
      </w:pPr>
      <w:r>
        <w:rPr>
          <w:rFonts w:ascii="Arial" w:cs="Arial" w:eastAsia="Arial" w:hAnsi="Arial"/>
          <w:sz w:val="22"/>
          <w:szCs w:val="22"/>
        </w:rPr>
        <w:t xml:space="preserve">Mechanism of action: Cervimab is a human immunoglobulin G4 (IgG4) monoclonal antibody that binds with high affinity and selectivity to the programmed cell death receptor 1 (PD-1), blocking the interactions of PD-1 with its ligands, PD-L1 and PD-L2. PD-1 signalling inhibits T cell activation. By blocking PD-1, cervimab enhances T cell-mediated anti-tumour responses.</w:t>
      </w:r>
    </w:p>
    <w:p>
      <w:r>
        <w:br w:type="page"/>
      </w:r>
    </w:p>
    <w:p>
      <w:pPr>
        <w:pStyle w:val="Heading2"/>
        <w:spacing w:before="240" w:after="80"/>
      </w:pPr>
      <w:r>
        <w:rPr>
          <w:rFonts w:ascii="Arial" w:cs="Arial" w:eastAsia="Arial" w:hAnsi="Arial"/>
          <w:b/>
          <w:bCs/>
          <w:color w:val="003087"/>
          <w:sz w:val="24"/>
          <w:szCs w:val="24"/>
        </w:rPr>
        <w:t xml:space="preserve">1.4  Risk Management Plan (RMP) — Summary</w:t>
      </w:r>
    </w:p>
    <w:p>
      <w:pPr>
        <w:pStyle w:val="Heading3"/>
        <w:spacing w:before="180" w:after="60"/>
      </w:pPr>
      <w:r>
        <w:rPr>
          <w:rFonts w:ascii="Arial" w:cs="Arial" w:eastAsia="Arial" w:hAnsi="Arial"/>
          <w:b/>
          <w:bCs/>
          <w:color w:val="2C2C2C"/>
          <w:sz w:val="22"/>
          <w:szCs w:val="22"/>
        </w:rPr>
        <w:t xml:space="preserve">1.4.1  Product Overview for RMP</w:t>
      </w:r>
    </w:p>
    <w:p>
      <w:pPr>
        <w:spacing w:before="60" w:after="100"/>
      </w:pPr>
      <w:r>
        <w:rPr>
          <w:rFonts w:ascii="Arial" w:cs="Arial" w:eastAsia="Arial" w:hAnsi="Arial"/>
          <w:sz w:val="22"/>
          <w:szCs w:val="22"/>
        </w:rPr>
        <w:t xml:space="preserve">The Risk Management Plan (RMP) for CERVIMAB (Version 1.0) has been prepared in accordance with Volume 9A of the Notice to Applicants and EMA/CHMP/ICH/96702/2012 (ICH E2E Pharmacovigilance Planning) and Commission Regulation (EC) No 1234/2008.</w:t>
      </w:r>
    </w:p>
    <w:p>
      <w:pPr>
        <w:pStyle w:val="Heading3"/>
        <w:spacing w:before="180" w:after="60"/>
      </w:pPr>
      <w:r>
        <w:rPr>
          <w:rFonts w:ascii="Arial" w:cs="Arial" w:eastAsia="Arial" w:hAnsi="Arial"/>
          <w:b/>
          <w:bCs/>
          <w:color w:val="2C2C2C"/>
          <w:sz w:val="22"/>
          <w:szCs w:val="22"/>
        </w:rPr>
        <w:t xml:space="preserve">1.4.2  Safety Concerns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Safety Concern Category</w:t>
            </w:r>
          </w:p>
        </w:tc>
        <w:tc>
          <w:tcPr>
            <w:tcW w:type="dxa" w:w="4526"/>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Safety Concern</w:t>
            </w:r>
          </w:p>
        </w:tc>
        <w:tc>
          <w:tcPr>
            <w:tcW w:type="dxa" w:w="2000"/>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 Minimisation Category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Immune-related pneumonitis (including fatal cases)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 Additional (SmPC, PIL, DHPC protocol)</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Immune-related colitis/enterocolitis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Routine (SmPC Section 4.4, 4.8)</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Immune-related hepatitis (hepatotoxicity)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(SmPC Section 4.4, 4.8)</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Immune-related endocrinopathies (hypothyroidism, hyperthyroidism, adrenal insufficiency, type 1 DM)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Routine (SmPC Section 4.4, 4.8)</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Immune-related nephritis and renal dysfunction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(SmPC Section 4.4, 4.8)</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Immune-related myocarditis (including fatal cases)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Routine + Additional (SmPC boxed warning, education card)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Infusion-related reactions including anaphylaxis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(SmPC Section 4.4, 4.8; admin instructions)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Important Potential Risk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Embryo-fetal toxicity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Routine (SmPC Section 4.6, 4.7, 5.3; PIL)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Potential Risk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Complications of allogeneic HSCT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(SmPC Section 4.4)</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Important Potential Risk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Severe cutaneous adverse reactions (SCAR — SJS/TEN)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Routine (SmPC Section 4.8) — PSUR monitoring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Missing Information</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 in pregnant and lactating women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(SmPC Sections 4.6, 5.3; conditional MA postmarketing study)</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Missing Information</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Use in patients with severe hepatic impairment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Routine (SmPC Section 4.2, 5.2) — dedicated study (postmarketing commitment)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Missing Information</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Long-term safety (&gt;3 years follow-up)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 ongoing Registry (CERVIMAB-501)</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Missing Information</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Paediatric use (2–17 years)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Routine — deferred per PIP Decision P/0XXX/2023</w:t>
            </w:r>
          </w:p>
        </w:tc>
      </w:tr>
    </w:tbl>
    <w:p>
      <w:r>
        <w:br w:type="page"/>
      </w:r>
    </w:p>
    <w:p>
      <w:pPr>
        <w:pStyle w:val="Heading2"/>
        <w:spacing w:before="240" w:after="80"/>
      </w:pPr>
      <w:r>
        <w:rPr>
          <w:rFonts w:ascii="Arial" w:cs="Arial" w:eastAsia="Arial" w:hAnsi="Arial"/>
          <w:b/>
          <w:bCs/>
          <w:color w:val="003087"/>
          <w:sz w:val="24"/>
          <w:szCs w:val="24"/>
        </w:rPr>
        <w:t xml:space="preserve">1.5  Pharmacovigilance System</w:t>
      </w:r>
    </w:p>
    <w:p>
      <w:pPr>
        <w:spacing w:before="60" w:after="100"/>
      </w:pPr>
      <w:r>
        <w:rPr>
          <w:rFonts w:ascii="Arial" w:cs="Arial" w:eastAsia="Arial" w:hAnsi="Arial"/>
          <w:sz w:val="22"/>
          <w:szCs w:val="22"/>
        </w:rPr>
        <w:t xml:space="preserve">The Pharmacovigilance System Master File (PSMF) for Archon Biotherapeutics Ireland Ltd. is maintained at the Qualified Person for Pharmacovigilance (QPPV)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QPPV Name:</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 Maria E. Boyle, MD</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QPPV Address: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One Earlsfort Centre, Earlsfort Terrace, Dublin 2, D02 CK83, Ireland</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QPPV Contact:</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+353 1 555 0199 | qppv@archonbio.eu</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PSMF Location: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Biotherapeutics Ireland Ltd., Dublin, Ireland</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PSMF Reference:</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PSMF-ARCH-EU-001, Version 3.1, dated September 1, 2025</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EudraVigilance Registration: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Registration Number EV-12345678</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PSUR Submission Plan:</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Annual PSUR — Birthdate: date of first EU approval</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Signal Detection System:</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EudraVigilance Individual Case Safety Report (ICSR) monitoring; safety signal detection per GVP Module IX</w:t>
            </w:r>
          </w:p>
        </w:tc>
      </w:tr>
    </w:tbl>
    <w:p>
      <w:r>
        <w:br w:type="page"/>
      </w:r>
    </w:p>
    <w:p>
      <w:pPr>
        <w:pStyle w:val="Heading1"/>
        <w:pBdr>
          <w:bottom w:val="single" w:color="003087" w:sz="6" w:space="4"/>
        </w:pBdr>
        <w:spacing w:before="360" w:after="120"/>
      </w:pPr>
      <w:r>
        <w:rPr>
          <w:rFonts w:ascii="Arial" w:cs="Arial" w:eastAsia="Arial" w:hAnsi="Arial"/>
          <w:b/>
          <w:bCs/>
          <w:color w:val="00205B"/>
          <w:sz w:val="28"/>
          <w:szCs w:val="28"/>
        </w:rPr>
        <w:t xml:space="preserve">MODULE 2 — CTD SUMMARIES (EU-SPECIFIC ELEMENTS)</w:t>
      </w:r>
    </w:p>
    <w:p>
      <w:pPr>
        <w:pStyle w:val="Heading2"/>
        <w:spacing w:before="240" w:after="80"/>
      </w:pPr>
      <w:r>
        <w:rPr>
          <w:rFonts w:ascii="Arial" w:cs="Arial" w:eastAsia="Arial" w:hAnsi="Arial"/>
          <w:b/>
          <w:bCs/>
          <w:color w:val="003087"/>
          <w:sz w:val="24"/>
          <w:szCs w:val="24"/>
        </w:rPr>
        <w:t xml:space="preserve">2.5  Clinical Overview — EU-Specific Considerations</w:t>
      </w:r>
    </w:p>
    <w:p>
      <w:pPr>
        <w:pStyle w:val="Heading3"/>
        <w:spacing w:before="180" w:after="60"/>
      </w:pPr>
      <w:r>
        <w:rPr>
          <w:rFonts w:ascii="Arial" w:cs="Arial" w:eastAsia="Arial" w:hAnsi="Arial"/>
          <w:b/>
          <w:bCs/>
          <w:color w:val="2C2C2C"/>
          <w:sz w:val="22"/>
          <w:szCs w:val="22"/>
        </w:rPr>
        <w:t xml:space="preserve">2.5.1  Regulatory Basis and Benefit-Risk Assessment</w:t>
      </w:r>
    </w:p>
    <w:p>
      <w:pPr>
        <w:spacing w:before="60" w:after="100"/>
      </w:pPr>
      <w:r>
        <w:rPr>
          <w:rFonts w:ascii="Arial" w:cs="Arial" w:eastAsia="Arial" w:hAnsi="Arial"/>
          <w:sz w:val="22"/>
          <w:szCs w:val="22"/>
        </w:rPr>
        <w:t xml:space="preserve">This MAA is submitted under Article 8(3) of Directive 2001/83/EC and evaluated under the centralised procedure (Regulation (EC) No 726/2004). The proposed indication satisfies the criteria for the centralised procedure as a medicinal product indicated for the treatment of oncological diseases.</w:t>
      </w:r>
    </w:p>
    <w:p>
      <w:pPr>
        <w:spacing w:before="60" w:after="100"/>
      </w:pPr>
      <w:r>
        <w:rPr>
          <w:rFonts w:ascii="Arial" w:cs="Arial" w:eastAsia="Arial" w:hAnsi="Arial"/>
          <w:sz w:val="22"/>
          <w:szCs w:val="22"/>
        </w:rPr>
        <w:t xml:space="preserve">The Applicant's benefit-risk assessment concludes that CERVIMAB offers a favourable benefit-risk profile for the target population (adult patients with dMMR/MSI-H metastatic CRC following failure of standard chemotherapy). The pivotal evidence from RESTORE-CRC (CERVIMAB-301) demonstrates:</w:t>
      </w:r>
    </w:p>
    <w:p>
      <w:pPr>
        <w:pStyle w:val="ListParagraph"/>
        <w:numPr>
          <w:ilvl w:val="0"/>
          <w:numId w:val="2"/>
        </w:numPr>
        <w:spacing w:before="40" w:after="40"/>
      </w:pPr>
      <w:r>
        <w:rPr>
          <w:rFonts w:ascii="Arial" w:cs="Arial" w:eastAsia="Arial" w:hAnsi="Arial"/>
          <w:sz w:val="22"/>
          <w:szCs w:val="22"/>
        </w:rPr>
        <w:t xml:space="preserve">A statistically significant and clinically meaningful OS benefit: HR 0.44, p&lt;0.0001; median OS 20.4 vs. 9.3 months</w:t>
      </w:r>
    </w:p>
    <w:p>
      <w:pPr>
        <w:pStyle w:val="ListParagraph"/>
        <w:numPr>
          <w:ilvl w:val="0"/>
          <w:numId w:val="2"/>
        </w:numPr>
        <w:spacing w:before="40" w:after="40"/>
      </w:pPr>
      <w:r>
        <w:rPr>
          <w:rFonts w:ascii="Arial" w:cs="Arial" w:eastAsia="Arial" w:hAnsi="Arial"/>
          <w:sz w:val="22"/>
          <w:szCs w:val="22"/>
        </w:rPr>
        <w:t xml:space="preserve">A statistically significant and clinically meaningful PFS benefit: HR 0.34, p&lt;0.0001; median PFS 6.9 vs. 2.2 months</w:t>
      </w:r>
    </w:p>
    <w:p>
      <w:pPr>
        <w:pStyle w:val="ListParagraph"/>
        <w:numPr>
          <w:ilvl w:val="0"/>
          <w:numId w:val="2"/>
        </w:numPr>
        <w:spacing w:before="40" w:after="40"/>
      </w:pPr>
      <w:r>
        <w:rPr>
          <w:rFonts w:ascii="Arial" w:cs="Arial" w:eastAsia="Arial" w:hAnsi="Arial"/>
          <w:sz w:val="22"/>
          <w:szCs w:val="22"/>
        </w:rPr>
        <w:t xml:space="preserve">Superior ORR: 38.4% vs. 4.9%, p&lt;0.0001</w:t>
      </w:r>
    </w:p>
    <w:p>
      <w:pPr>
        <w:pStyle w:val="ListParagraph"/>
        <w:numPr>
          <w:ilvl w:val="0"/>
          <w:numId w:val="2"/>
        </w:numPr>
        <w:spacing w:before="40" w:after="40"/>
      </w:pPr>
      <w:r>
        <w:rPr>
          <w:rFonts w:ascii="Arial" w:cs="Arial" w:eastAsia="Arial" w:hAnsi="Arial"/>
          <w:sz w:val="22"/>
          <w:szCs w:val="22"/>
        </w:rPr>
        <w:t xml:space="preserve">Preservation of HRQoL (FACT-C TDD HR 0.56; EQ-5D-5L VAS improvement +9.4 points)</w:t>
      </w:r>
    </w:p>
    <w:p>
      <w:pPr>
        <w:pStyle w:val="ListParagraph"/>
        <w:numPr>
          <w:ilvl w:val="0"/>
          <w:numId w:val="2"/>
        </w:numPr>
        <w:spacing w:before="40" w:after="40"/>
      </w:pPr>
      <w:r>
        <w:rPr>
          <w:rFonts w:ascii="Arial" w:cs="Arial" w:eastAsia="Arial" w:hAnsi="Arial"/>
          <w:sz w:val="22"/>
          <w:szCs w:val="22"/>
        </w:rPr>
        <w:t xml:space="preserve">A manageable safety profile consistent with the PD-1 inhibitor class, with no new safety signals identified</w:t>
      </w:r>
    </w:p>
    <w:p>
      <w:pPr>
        <w:spacing w:before="60" w:after="100"/>
      </w:pPr>
      <w:r>
        <w:rPr>
          <w:rFonts w:ascii="Arial" w:cs="Arial" w:eastAsia="Arial" w:hAnsi="Arial"/>
          <w:sz w:val="22"/>
          <w:szCs w:val="22"/>
        </w:rPr>
        <w:t xml:space="preserve">The Applicant notes that two approved PD-1 inhibitors (pembrolizumab, nivolumab) already hold EU marketing authorisations in dMMR/MSI-H mCRC. The differentiation of CERVIMAB lies in the Q6W dosing schedule (vs. Q3W/Q6W pembrolizumab and Q2W/Q4W nivolumab), which offers a reduced infusion frequency and potential benefit for patient convenience and healthcare resource utilisation, as supported by direct comparison in study CERVIMAB-301.</w:t>
      </w:r>
    </w:p>
    <w:p>
      <w:pPr>
        <w:pStyle w:val="Heading3"/>
        <w:spacing w:before="180" w:after="60"/>
      </w:pPr>
      <w:r>
        <w:rPr>
          <w:rFonts w:ascii="Arial" w:cs="Arial" w:eastAsia="Arial" w:hAnsi="Arial"/>
          <w:b/>
          <w:bCs/>
          <w:color w:val="2C2C2C"/>
          <w:sz w:val="22"/>
          <w:szCs w:val="22"/>
        </w:rPr>
        <w:t xml:space="preserve">2.5.2  EU-Specific Unmet Medical Need Assessment</w:t>
      </w:r>
    </w:p>
    <w:p>
      <w:pPr>
        <w:spacing w:before="60" w:after="100"/>
      </w:pPr>
      <w:r>
        <w:rPr>
          <w:rFonts w:ascii="Arial" w:cs="Arial" w:eastAsia="Arial" w:hAnsi="Arial"/>
          <w:sz w:val="22"/>
          <w:szCs w:val="22"/>
        </w:rPr>
        <w:t xml:space="preserve">Across the EU Member States, approximately 140,000 patients are diagnosed with CRC each year (ECCO/ESMO guidelines, 2023). The dMMR/MSI-H subgroup (3–5% of metastatic CRC) comprises approximately 4,200–7,000 new patients annually within the EU. Despite approval of pembrolizumab and nivolumab, real-world utilisation of checkpoint inhibitors in 2L+ dMMR mCRC remains suboptimal due to:</w:t>
      </w:r>
    </w:p>
    <w:p>
      <w:pPr>
        <w:pStyle w:val="ListParagraph"/>
        <w:numPr>
          <w:ilvl w:val="0"/>
          <w:numId w:val="2"/>
        </w:numPr>
        <w:spacing w:before="40" w:after="40"/>
      </w:pPr>
      <w:r>
        <w:rPr>
          <w:rFonts w:ascii="Arial" w:cs="Arial" w:eastAsia="Arial" w:hAnsi="Arial"/>
          <w:sz w:val="22"/>
          <w:szCs w:val="22"/>
        </w:rPr>
        <w:t xml:space="preserve">Infusion centre capacity constraints — frequent Q2W–Q3W visits place a burden on oncology infusion centres across EU Member States</w:t>
      </w:r>
    </w:p>
    <w:p>
      <w:pPr>
        <w:pStyle w:val="ListParagraph"/>
        <w:numPr>
          <w:ilvl w:val="0"/>
          <w:numId w:val="2"/>
        </w:numPr>
        <w:spacing w:before="40" w:after="40"/>
      </w:pPr>
      <w:r>
        <w:rPr>
          <w:rFonts w:ascii="Arial" w:cs="Arial" w:eastAsia="Arial" w:hAnsi="Arial"/>
          <w:sz w:val="22"/>
          <w:szCs w:val="22"/>
        </w:rPr>
        <w:t xml:space="preserve">Geographic access disparities — less frequent dosing with Q6W CERVIMAB may improve access in healthcare systems with limited infusion infrastructure</w:t>
      </w:r>
    </w:p>
    <w:p>
      <w:pPr>
        <w:pStyle w:val="ListParagraph"/>
        <w:numPr>
          <w:ilvl w:val="0"/>
          <w:numId w:val="2"/>
        </w:numPr>
        <w:spacing w:before="40" w:after="40"/>
      </w:pPr>
      <w:r>
        <w:rPr>
          <w:rFonts w:ascii="Arial" w:cs="Arial" w:eastAsia="Arial" w:hAnsi="Arial"/>
          <w:sz w:val="22"/>
          <w:szCs w:val="22"/>
        </w:rPr>
        <w:t xml:space="preserve">Active comparator data gap — RESTORE-CRC provides the first head-to-head randomised data comparing a PD-1 inhibitor to the current EU-approved 3L standard of care (regorafenib, TAS-102) in this population, directly informing clinical decision-making</w:t>
      </w:r>
    </w:p>
    <w:p>
      <w:pPr>
        <w:pStyle w:val="Heading3"/>
        <w:spacing w:before="180" w:after="60"/>
      </w:pPr>
      <w:r>
        <w:rPr>
          <w:rFonts w:ascii="Arial" w:cs="Arial" w:eastAsia="Arial" w:hAnsi="Arial"/>
          <w:b/>
          <w:bCs/>
          <w:color w:val="2C2C2C"/>
          <w:sz w:val="22"/>
          <w:szCs w:val="22"/>
        </w:rPr>
        <w:t xml:space="preserve">2.5.3  PRIME Designation and EMA Scientific Interactions</w:t>
      </w:r>
    </w:p>
    <w:p>
      <w:pPr>
        <w:spacing w:before="60" w:after="100"/>
      </w:pPr>
      <w:r>
        <w:rPr>
          <w:rFonts w:ascii="Arial" w:cs="Arial" w:eastAsia="Arial" w:hAnsi="Arial"/>
          <w:sz w:val="22"/>
          <w:szCs w:val="22"/>
        </w:rPr>
        <w:t xml:space="preserve">CERVIMAB received PRIME (PRIority MEdicines) designation from the EMA on April 5, 2022 (EMA/PRIME/00XXXX/2022), based on Phase 2 data from CERVIMAB-201 demonstrating an ORR of 41.5% in 2L+ dMMR/MSI-H mCRC, substantially above the response rates observed with available 3L treatment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PRIME Entry Meeting:</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July 14, 2022 — EMA Scientific Advice team + CHMP Rapporteur; key agreements on Phase 3 design, endpoint selection (OS primary), and diagnostic test strategy</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Scientific Advice (SA/XXX/2022):</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October 20, 2022 — CHMP agreed with OS as primary endpoint; agreed on dMMR/MSI-H by local IHC/PCR OR central NGS; agreed active control (regorafenib/TAS-102) appropriate</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Pre-Submission Meeting:</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March 8, 2025 — Rolling review feasibility discussed; SmPC wording alignment; RMP content pre-agreed</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Rolling Review:</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requested at this time; all 5 modules submitted simultaneously</w:t>
            </w:r>
          </w:p>
        </w:tc>
      </w:tr>
    </w:tbl>
    <w:p>
      <w:r>
        <w:br w:type="page"/>
      </w:r>
    </w:p>
    <w:p>
      <w:pPr>
        <w:pStyle w:val="Heading1"/>
        <w:pBdr>
          <w:bottom w:val="single" w:color="003087" w:sz="6" w:space="4"/>
        </w:pBdr>
        <w:spacing w:before="360" w:after="120"/>
      </w:pPr>
      <w:r>
        <w:rPr>
          <w:rFonts w:ascii="Arial" w:cs="Arial" w:eastAsia="Arial" w:hAnsi="Arial"/>
          <w:b/>
          <w:bCs/>
          <w:color w:val="00205B"/>
          <w:sz w:val="28"/>
          <w:szCs w:val="28"/>
        </w:rPr>
        <w:t xml:space="preserve">MODULES 3–5 — QUALITY, NONCLINICAL, CLINICAL (REFERENCE TO FDA eCTD SUBMISSION)</w:t>
      </w:r>
    </w:p>
    <w:p>
      <w:pPr>
        <w:spacing w:before="60" w:after="100"/>
      </w:pPr>
      <w:r>
        <w:rPr>
          <w:rFonts w:ascii="Arial" w:cs="Arial" w:eastAsia="Arial" w:hAnsi="Arial"/>
          <w:sz w:val="22"/>
          <w:szCs w:val="22"/>
        </w:rPr>
        <w:t xml:space="preserve">The content of Modules 3 (Quality/CMC), 4 (Nonclinical Study Reports), and 5 (Clinical Study Reports) for this EMA MAA is substantively identical to the data package submitted to the US FDA (BLA 761XXX). EU-specific differences are detailed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426"/>
      </w:tblGrid>
      <w:tr>
        <w:trPr>
          <w:tblHeader/>
        </w:trPr>
        <w:tc>
          <w:tcPr>
            <w:tcW w:type="dxa" w:w="1600"/>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2600"/>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Topic</w:t>
            </w:r>
          </w:p>
        </w:tc>
        <w:tc>
          <w:tcPr>
            <w:tcW w:type="dxa" w:w="2400"/>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EU-Specific Difference</w:t>
            </w:r>
          </w:p>
        </w:tc>
        <w:tc>
          <w:tcPr>
            <w:tcW w:type="dxa" w:w="2426"/>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Reference Section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3.2.P.1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Drug Product Composition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EU specification for polysorbate 80: Ph. Eur. 0483 (vs. NF in US); labelling per Annex II Directive 2001/83/EC</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3.2.P.1 EU</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3.2.P.5</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Control of Drug Product (Specifications)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Specifications expressed in Ph. Eur. units; endotoxin limit per Ph. Eur. 2.6.14 (LAL) and 2.6.30 (Monocyte Activation Test if applicable)</w:t>
            </w:r>
          </w:p>
        </w:tc>
        <w:tc>
          <w:tcPr>
            <w:tcW w:type="dxa" w:w="2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3.2.P.5 EU</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3.2.A.1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Manufacturing Facilities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Patheon Biologics GmbH, Vienna, Austria — EU GMP certificate included; EMA site inspection history referenced (no pending GMP non-compliances)</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3.2.A.1 EU</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3.2.A.3</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Excipients — Novel</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Polysorbate 80 — no novel excipient CEP; Ph. Eur. CoA provided; Cry Proteins absent (confirmed via testing)</w:t>
            </w:r>
          </w:p>
        </w:tc>
        <w:tc>
          <w:tcPr>
            <w:tcW w:type="dxa" w:w="2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3.2.A.3 EU</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5.3.5.1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RESTORE-CRC CSR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EU subgroup analysis (n=214, 35% of ITT) consistent with overall ITT: OS HR 0.45 (95% CI: 0.33–0.63); ORR 36.9%</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Addendum EU-1 to CSR</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Labelling / SmPC</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Full SmPC, Annex I–IV, package leaflet, and labelling per EMA templates for injectable biologics</w:t>
            </w:r>
          </w:p>
        </w:tc>
        <w:tc>
          <w:tcPr>
            <w:tcW w:type="dxa" w:w="2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Module 1.3.1–1.3.3 EU</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4.3 (Lit.)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Comparative Efficacy Context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Indirect treatment comparison (ITC) with pembrolizumab KEYNOTE-177 and nivolumab CheckMate-142 submitted per EMA CHMP comparative effectiveness guidance</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2.5 Addendum EU-2</w:t>
            </w:r>
          </w:p>
        </w:tc>
      </w:tr>
    </w:tbl>
    <w:p>
      <w:r>
        <w:br w:type="page"/>
      </w:r>
    </w:p>
    <w:p>
      <w:pPr>
        <w:pStyle w:val="Heading1"/>
        <w:pBdr>
          <w:bottom w:val="single" w:color="003087" w:sz="6" w:space="4"/>
        </w:pBdr>
        <w:spacing w:before="360" w:after="120"/>
      </w:pPr>
      <w:r>
        <w:rPr>
          <w:rFonts w:ascii="Arial" w:cs="Arial" w:eastAsia="Arial" w:hAnsi="Arial"/>
          <w:b/>
          <w:bCs/>
          <w:color w:val="00205B"/>
          <w:sz w:val="28"/>
          <w:szCs w:val="28"/>
        </w:rPr>
        <w:t xml:space="preserve">APPENDIX A — EU REGULATORY HISTORY AND INTERACTIONS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2400"/>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Interaction</w:t>
            </w:r>
          </w:p>
        </w:tc>
        <w:tc>
          <w:tcPr>
            <w:tcW w:type="dxa" w:w="4826"/>
            <w:tcBorders>
              <w:top w:val="single" w:color="AAAAAA" w:sz="1"/>
              <w:left w:val="single" w:color="AAAAAA" w:sz="1"/>
              <w:bottom w:val="single" w:color="AAAAAA" w:sz="1"/>
              <w:right w:val="single" w:color="AAAAAA" w:sz="1"/>
            </w:tcBorders>
            <w:shd w:fill="00205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Outcome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Apr 5, 2022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PRIME Designation Granted</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 confirmed PRIME eligibility based on Phase 2 data (ORR 41.5% in dMMR mCRC); dedicated EMA contact point assigned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Jul 14, 2022</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PRIME Entry Meeting</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Scientific guidance aligned on Phase 3 design, OS endpoint, biomarker strategy, and RMP scope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Oct 20, 2022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Scientific Advice SA/XXX/2022</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CHMP agreed: OS primary; dMMR/MSI-H by validated local or central test; regorafenib/TAS-102 active control; EU-specific safety risk list agreed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Dec 10, 2022</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PIP Decision P/0XXX/2023</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PDCO agreed PIP: waiver &lt;2 years; deferred study protocol for 2–17 years (to be completed post-approval)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Nov 15, 2023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PRIME Milestone Meeting</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IDMC recommendation to unblock based on IA-1 results disclosed to EMA PRIME team; interim OS HR 0.43 noted; EMA confirmed continued PRIME support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Mar 8, 2025</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Pre-Submission Meeting</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EMA confirmed acceptability of MAA package; SmPC Section 4.1 wording agreed; RMP v1.0 outline accepted; accelerated assessment eligibility confirmed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Nov 14, 2025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MAA Submission</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MAA submitted via EMA e-submission gateway; 150-day accelerated assessment clock starts upon validation</w:t>
            </w:r>
          </w:p>
        </w:tc>
      </w:tr>
    </w:tbl>
    <w:p>
      <w:pPr>
        <w:spacing w:before="60" w:after="60"/>
      </w:pPr>
      <w:r>
        <w:t xml:space="preserve"/>
      </w:r>
    </w:p>
    <w:p>
      <w:pPr>
        <w:pBdr>
          <w:top w:val="single" w:color="003087" w:sz="8" w:space="8"/>
        </w:pBdr>
        <w:spacing w:before="360" w:after="120"/>
        <w:jc w:val="center"/>
      </w:pPr>
      <w:r>
        <w:rPr>
          <w:rFonts w:ascii="Arial" w:cs="Arial" w:eastAsia="Arial" w:hAnsi="Arial"/>
          <w:b/>
          <w:bCs/>
          <w:color w:val="00205B"/>
          <w:sz w:val="22"/>
          <w:szCs w:val="22"/>
        </w:rPr>
        <w:t xml:space="preserve">— END OF EMA MARKETING AUTHORISATION APPLICATION — CERVIMAB —</w:t>
      </w:r>
    </w:p>
    <w:p>
      <w:pPr>
        <w:spacing w:before="40" w:after="40"/>
        <w:jc w:val="center"/>
      </w:pPr>
      <w:r>
        <w:rPr>
          <w:rFonts w:ascii="Arial" w:cs="Arial" w:eastAsia="Arial" w:hAnsi="Arial"/>
          <w:b/>
          <w:bCs/>
          <w:color w:val="CC0000"/>
          <w:sz w:val="18"/>
          <w:szCs w:val="18"/>
        </w:rPr>
        <w:t xml:space="preserve">CONFIDENTIAL — SUBMITTED TO EMA/CHMP — NOT FOR DISTRIBUTION</w:t>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space="4"/>
      </w:pBdr>
      <w:tabs>
        <w:tab w:val="right" w:pos="9026"/>
      </w:tabs>
    </w:pPr>
    <w:r>
      <w:rPr>
        <w:rFonts w:ascii="Arial" w:cs="Arial" w:eastAsia="Arial" w:hAnsi="Arial"/>
        <w:color w:val="777777"/>
        <w:sz w:val="16"/>
        <w:szCs w:val="16"/>
      </w:rPr>
      <w:t xml:space="preserve">© 2025 Archon Biotherapeutics, Inc.  |  MAA CERVIMAB  |  EMA Submission</w:t>
    </w:r>
    <w:r>
      <w:rPr>
        <w:rFonts w:ascii="Arial" w:cs="Arial" w:eastAsia="Arial" w:hAnsi="Arial"/>
        <w:color w:val="777777"/>
        <w:sz w:val="16"/>
        <w:szCs w:val="16"/>
      </w:rPr>
      <w:t xml:space="preserve">	Page </w:t>
    </w:r>
    <w:r>
      <w:rPr>
        <w:rFonts w:ascii="Arial" w:cs="Arial" w:eastAsia="Arial" w:hAnsi="Arial"/>
        <w:color w:val="777777"/>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pPr>
    <w:r>
      <w:rPr>
        <w:rFonts w:ascii="Arial" w:cs="Arial" w:eastAsia="Arial" w:hAnsi="Arial"/>
        <w:color w:val="555555"/>
        <w:sz w:val="18"/>
        <w:szCs w:val="18"/>
      </w:rPr>
      <w:t xml:space="preserve">CERVIMAB — Marketing Authorisation Application (MAA)  |  EMA/CHMP/00XXXX/2025</w:t>
    </w:r>
    <w:r>
      <w:rPr>
        <w:rFonts w:ascii="Arial" w:cs="Arial" w:eastAsia="Arial" w:hAnsi="Arial"/>
        <w:b/>
        <w:bCs/>
        <w:color w:val="CC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205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03087"/>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2026-03-16T14:15:01.480Z</dcterms:created>
  <dcterms:modified xsi:type="dcterms:W3CDTF">2026-03-16T14:15:01.481Z</dcterms:modified>
</cp:coreProperties>
</file>

<file path=docProps/custom.xml><?xml version="1.0" encoding="utf-8"?>
<Properties xmlns="http://schemas.openxmlformats.org/officeDocument/2006/custom-properties" xmlns:vt="http://schemas.openxmlformats.org/officeDocument/2006/docPropsVTypes"/>
</file>