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555555"/>
          <w:sz w:val="32"/>
          <w:szCs w:val="32"/>
        </w:rPr>
        <w:t xml:space="preserve">Health Canada / Santé Canada</w:t>
      </w:r>
    </w:p>
    <w:p>
      <w:pPr>
        <w:spacing w:before="20" w:after="20"/>
        <w:jc w:val="center"/>
      </w:pPr>
      <w:r>
        <w:rPr>
          <w:rFonts w:ascii="Arial" w:cs="Arial" w:eastAsia="Arial" w:hAnsi="Arial"/>
          <w:b/>
          <w:bCs/>
          <w:color w:val="555555"/>
          <w:sz w:val="20"/>
          <w:szCs w:val="20"/>
        </w:rPr>
        <w:t xml:space="preserve">Therapeutic Products Directorate (TPD) / Biologic and Radiopharmaceutical Drugs Directorate (BRDD)</w:t>
      </w:r>
    </w:p>
    <w:p>
      <w:pPr>
        <w:pBdr>
          <w:bottom w:val="single" w:color="C41E3A" w:sz="8" w:space="8"/>
        </w:pBdr>
        <w:spacing w:before="120" w:after="120"/>
        <w:jc w:val="center"/>
      </w:pPr>
      <w:r>
        <w:rPr>
          <w:rFonts w:ascii="Arial" w:cs="Arial" w:eastAsia="Arial" w:hAnsi="Arial"/>
          <w:b/>
          <w:bCs/>
          <w:color w:val="8B0000"/>
          <w:sz w:val="40"/>
          <w:szCs w:val="40"/>
        </w:rPr>
        <w:t xml:space="preserve">NEW DRUG SUBMISSION (NDS)</w:t>
      </w:r>
    </w:p>
    <w:p>
      <w:pPr>
        <w:spacing w:before="40" w:after="200"/>
        <w:jc w:val="center"/>
      </w:pPr>
      <w:r>
        <w:rPr>
          <w:rFonts w:ascii="Arial" w:cs="Arial" w:eastAsia="Arial" w:hAnsi="Arial"/>
          <w:i/>
          <w:iCs/>
          <w:color w:val="666666"/>
          <w:sz w:val="20"/>
          <w:szCs w:val="20"/>
        </w:rPr>
        <w:t xml:space="preserve">Submitted pursuant to Section C.08.002 of the Food and Drug Regulations (SOR/2014-158)</w:t>
      </w:r>
    </w:p>
    <w:p>
      <w:pPr>
        <w:spacing w:before="80" w:after="40"/>
        <w:jc w:val="center"/>
      </w:pPr>
      <w:r>
        <w:rPr>
          <w:rFonts w:ascii="Arial" w:cs="Arial" w:eastAsia="Arial" w:hAnsi="Arial"/>
          <w:b/>
          <w:bCs/>
          <w:color w:val="8B0000"/>
          <w:sz w:val="56"/>
          <w:szCs w:val="56"/>
        </w:rPr>
        <w:t xml:space="preserve">CERVIMAB</w:t>
      </w:r>
    </w:p>
    <w:p>
      <w:pPr>
        <w:spacing w:before="0" w:after="40"/>
        <w:jc w:val="center"/>
      </w:pPr>
      <w:r>
        <w:rPr>
          <w:rFonts w:ascii="Arial" w:cs="Arial" w:eastAsia="Arial" w:hAnsi="Arial"/>
          <w:i/>
          <w:iCs/>
          <w:color w:val="444444"/>
          <w:sz w:val="26"/>
          <w:szCs w:val="26"/>
        </w:rPr>
        <w:t xml:space="preserve">(cervimab)</w:t>
      </w:r>
    </w:p>
    <w:p>
      <w:pPr>
        <w:spacing w:before="0" w:after="40"/>
        <w:jc w:val="center"/>
      </w:pPr>
      <w:r>
        <w:rPr>
          <w:rFonts w:ascii="Arial" w:cs="Arial" w:eastAsia="Arial" w:hAnsi="Arial"/>
          <w:color w:val="333333"/>
          <w:sz w:val="24"/>
          <w:szCs w:val="24"/>
        </w:rPr>
        <w:t xml:space="preserve">200 mg/4 mL Concentrate for Solution for Infusion</w:t>
      </w:r>
    </w:p>
    <w:p>
      <w:pPr>
        <w:spacing w:before="0" w:after="280"/>
        <w:jc w:val="center"/>
      </w:pPr>
      <w:r>
        <w:rPr>
          <w:rFonts w:ascii="Arial" w:cs="Arial" w:eastAsia="Arial" w:hAnsi="Arial"/>
          <w:i/>
          <w:iCs/>
          <w:color w:val="888888"/>
          <w:sz w:val="20"/>
          <w:szCs w:val="20"/>
        </w:rPr>
        <w:t xml:space="preserve">Solution concentrate / Concentré pour solution injectable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Manufacturer / Fabricant: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Canada Inc.</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Address: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700 West Georgia Street, Suite 2400, Vancouver, BC V7Y 1B3, Canada</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Health Canada Control Number: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 be assigned upon receipt]</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Type of Submission: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New Drug Submission (NDS) — Biologic — New Active Substance</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Drug Class / Therapeutic Area:</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Antineoplastic agent — Monoclonal antibody — PD-1 inhibitor</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Application Date / Date de demande: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November 14, 2025</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Proposed Brand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Non-Proprietary Name (INN):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DIN (Requested):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 be assigned]</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ATC Code (proposed):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L01FF07</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Dosage Form: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Concentrate for solution for infusion / Concentré pour solution injectable</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Route of Administration: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Intravenous (IV) infusion</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Strength: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200 mg/4 mL (50 mg/mL)</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Proposed Indication (English):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 the treatment of adult patients with unresectable or metastatic mismatch repair-deficient (dMMR) or microsatellite instability-high (MSI-H) colorectal cancer (CRC) that has progressed following treatment with fluoropyrimidine-, oxaliplatin-, and irinotecan-based chemotherapy</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Proposed Indication (French / Français):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Pour le traitement des patients adultes atteints d'un cancer colorectal (CRC) non résécable ou métastatique avec déficit de réparation des mésappariements (dMMR) ou avec une instabilité microsatellitaire élevée (MSI-H), dont la maladie a progressé après une chimiothérapie à base de fluoropyrimidine, d'oxaliplatine et d'irinotécan</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Priority Review Request: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submitted concurrently per Health Canada Guidance: 'Priority Review of Drug Submissions' (2012)</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Patented Medicine (PMPRB):</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PMPRB notification filed concurrently</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Regulatory Contact: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 Sarah L. Chen, VP Regulatory Affairs | regulatory@archonbio.com | +1 (617) 555-0192</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Canadian Medical Director: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 Michael R. O'Brien, MD FRCPC | michael.obrien@archonbio.ca | +1 (604) 555-0177</w:t>
            </w:r>
          </w:p>
        </w:tc>
      </w:tr>
    </w:tbl>
    <w:p>
      <w:r>
        <w:br w:type="page"/>
      </w:r>
    </w:p>
    <w:p>
      <w:pPr>
        <w:pStyle w:val="Heading1"/>
        <w:pBdr>
          <w:bottom w:val="single" w:color="C41E3A" w:sz="6" w:space="4"/>
        </w:pBdr>
        <w:spacing w:before="360" w:after="120"/>
      </w:pPr>
      <w:r>
        <w:rPr>
          <w:rFonts w:ascii="Arial" w:cs="Arial" w:eastAsia="Arial" w:hAnsi="Arial"/>
          <w:b/>
          <w:bCs/>
          <w:color w:val="8B0000"/>
          <w:sz w:val="28"/>
          <w:szCs w:val="28"/>
        </w:rPr>
        <w:t xml:space="preserve">SECTION 1 — ADMINISTRATIVE INFORMATION</w:t>
      </w:r>
    </w:p>
    <w:p>
      <w:pPr>
        <w:pStyle w:val="Heading2"/>
        <w:spacing w:before="240" w:after="80"/>
      </w:pPr>
      <w:r>
        <w:rPr>
          <w:rFonts w:ascii="Arial" w:cs="Arial" w:eastAsia="Arial" w:hAnsi="Arial"/>
          <w:b/>
          <w:bCs/>
          <w:color w:val="C41E3A"/>
          <w:sz w:val="24"/>
          <w:szCs w:val="24"/>
        </w:rPr>
        <w:t xml:space="preserve">1.1  Cover Letter</w:t>
      </w:r>
    </w:p>
    <w:p>
      <w:pPr>
        <w:spacing w:before="60" w:after="100"/>
      </w:pPr>
      <w:r>
        <w:rPr>
          <w:rFonts w:ascii="Arial" w:cs="Arial" w:eastAsia="Arial" w:hAnsi="Arial"/>
          <w:sz w:val="22"/>
          <w:szCs w:val="22"/>
        </w:rPr>
        <w:t xml:space="preserve">November 14, 2025</w:t>
      </w:r>
    </w:p>
    <w:p>
      <w:pPr>
        <w:spacing w:before="60" w:after="60"/>
      </w:pPr>
      <w:r>
        <w:t xml:space="preserve"/>
      </w:r>
    </w:p>
    <w:p>
      <w:pPr>
        <w:spacing w:before="60" w:after="100"/>
      </w:pPr>
      <w:r>
        <w:rPr>
          <w:rFonts w:ascii="Arial" w:cs="Arial" w:eastAsia="Arial" w:hAnsi="Arial"/>
          <w:sz w:val="22"/>
          <w:szCs w:val="22"/>
        </w:rPr>
        <w:t xml:space="preserve">Director General
Therapeutic Products Directorate
Health Canada
Address Locator 0201A
Ottawa, ON K1A 0K9
Canada</w:t>
      </w:r>
    </w:p>
    <w:p>
      <w:pPr>
        <w:spacing w:before="60" w:after="60"/>
      </w:pPr>
      <w:r>
        <w:t xml:space="preserve"/>
      </w:r>
    </w:p>
    <w:p>
      <w:pPr>
        <w:spacing w:before="60" w:after="100"/>
      </w:pPr>
      <w:r>
        <w:rPr>
          <w:rFonts w:ascii="Arial" w:cs="Arial" w:eastAsia="Arial" w:hAnsi="Arial"/>
          <w:b/>
          <w:bCs/>
          <w:sz w:val="22"/>
          <w:szCs w:val="22"/>
        </w:rPr>
        <w:t xml:space="preserve">Re: New Drug Submission (NDS) — CERVIMAB (cervimab) — dMMR/MSI-H Metastatic Colorectal Cancer — Priority Review Request</w:t>
      </w:r>
    </w:p>
    <w:p>
      <w:pPr>
        <w:spacing w:before="60" w:after="60"/>
      </w:pPr>
      <w:r>
        <w:t xml:space="preserve"/>
      </w:r>
    </w:p>
    <w:p>
      <w:pPr>
        <w:spacing w:before="60" w:after="100"/>
      </w:pPr>
      <w:r>
        <w:rPr>
          <w:rFonts w:ascii="Arial" w:cs="Arial" w:eastAsia="Arial" w:hAnsi="Arial"/>
          <w:sz w:val="22"/>
          <w:szCs w:val="22"/>
        </w:rPr>
        <w:t xml:space="preserve">Dear Director General,</w:t>
      </w:r>
    </w:p>
    <w:p>
      <w:pPr>
        <w:spacing w:before="60" w:after="60"/>
      </w:pPr>
      <w:r>
        <w:t xml:space="preserve"/>
      </w:r>
    </w:p>
    <w:p>
      <w:pPr>
        <w:spacing w:before="60" w:after="100"/>
      </w:pPr>
      <w:r>
        <w:rPr>
          <w:rFonts w:ascii="Arial" w:cs="Arial" w:eastAsia="Arial" w:hAnsi="Arial"/>
          <w:sz w:val="22"/>
          <w:szCs w:val="22"/>
        </w:rPr>
        <w:t xml:space="preserve">Archon Biotherapeutics Canada Inc. ('Archon Canada' or 'the Manufacturer') hereby submits this New Drug Submission (NDS) for CERVIMAB (cervimab) pursuant to Section C.08.002 of the Food and Drug Regulations for the treatment of adult patients with unresectable or metastatic dMMR/MSI-H colorectal cancer that has progressed following fluoropyrimidine-, oxaliplatin-, and irinotecan-based chemotherapy.</w:t>
      </w:r>
    </w:p>
    <w:p>
      <w:pPr>
        <w:spacing w:before="60" w:after="100"/>
      </w:pPr>
      <w:r>
        <w:rPr>
          <w:rFonts w:ascii="Arial" w:cs="Arial" w:eastAsia="Arial" w:hAnsi="Arial"/>
          <w:sz w:val="22"/>
          <w:szCs w:val="22"/>
        </w:rPr>
        <w:t xml:space="preserve">This NDS is submitted in eCTD format (Common Technical Document structure) in accordance with Health Canada's guidance document 'Preparation of Drug Regulatory Activities in the eCTD Format' (2018) and the ICH M8 eCTD specification.</w:t>
      </w:r>
    </w:p>
    <w:p>
      <w:pPr>
        <w:spacing w:before="60" w:after="100"/>
      </w:pPr>
      <w:r>
        <w:rPr>
          <w:rFonts w:ascii="Arial" w:cs="Arial" w:eastAsia="Arial" w:hAnsi="Arial"/>
          <w:sz w:val="22"/>
          <w:szCs w:val="22"/>
        </w:rPr>
        <w:t xml:space="preserve">Archon Canada respectfully requests:</w:t>
      </w:r>
    </w:p>
    <w:p>
      <w:pPr>
        <w:pStyle w:val="ListParagraph"/>
        <w:numPr>
          <w:ilvl w:val="0"/>
          <w:numId w:val="2"/>
        </w:numPr>
        <w:spacing w:before="40" w:after="40"/>
      </w:pPr>
      <w:r>
        <w:rPr>
          <w:rFonts w:ascii="Arial" w:cs="Arial" w:eastAsia="Arial" w:hAnsi="Arial"/>
          <w:sz w:val="22"/>
          <w:szCs w:val="22"/>
        </w:rPr>
        <w:t xml:space="preserve">Priority Review consideration pursuant to Health Canada's 'Priority Review of Drug Submissions' policy guidance (2012). Cervimab satisfies the criteria for Priority Review on the basis of: (1) evidence of effectiveness supported by the pivotal RESTORE-CRC Phase 3 RCT demonstrating statistically significant OS (HR 0.44), PFS (HR 0.34), and ORR (38.4% vs. 4.9%) benefits in patients with dMMR/MSI-H mCRC; (2) a serious condition where available therapies are not satisfactory (regorafenib and TAS-102 yield ORR &lt;5% and median OS ~9 months); and (3) significant clinical advantage — CERVIMAB provides a substantial improvement in benefit-risk profile based on survival outcomes and patient quality of life data</w:t>
      </w:r>
    </w:p>
    <w:p>
      <w:pPr>
        <w:pStyle w:val="ListParagraph"/>
        <w:numPr>
          <w:ilvl w:val="0"/>
          <w:numId w:val="2"/>
        </w:numPr>
        <w:spacing w:before="40" w:after="40"/>
      </w:pPr>
      <w:r>
        <w:rPr>
          <w:rFonts w:ascii="Arial" w:cs="Arial" w:eastAsia="Arial" w:hAnsi="Arial"/>
          <w:sz w:val="22"/>
          <w:szCs w:val="22"/>
        </w:rPr>
        <w:t xml:space="preserve">Expedited review of the Risk Management Plan (RMP) — proposed Risk Minimization Activities align with the class-level RMP framework established for nivolumab and pembrolizumab in Canada, facilitating an efficient review</w:t>
      </w:r>
    </w:p>
    <w:p>
      <w:pPr>
        <w:pStyle w:val="ListParagraph"/>
        <w:numPr>
          <w:ilvl w:val="0"/>
          <w:numId w:val="2"/>
        </w:numPr>
        <w:spacing w:before="40" w:after="40"/>
      </w:pPr>
      <w:r>
        <w:rPr>
          <w:rFonts w:ascii="Arial" w:cs="Arial" w:eastAsia="Arial" w:hAnsi="Arial"/>
          <w:sz w:val="22"/>
          <w:szCs w:val="22"/>
        </w:rPr>
        <w:t xml:space="preserve">Consultation with the Canadian Oncology Drugs Advisory Committee (ODAC) is welcomed if Health Canada deems appropriate</w:t>
      </w:r>
    </w:p>
    <w:p>
      <w:pPr>
        <w:spacing w:before="60" w:after="60"/>
      </w:pPr>
      <w:r>
        <w:t xml:space="preserve"/>
      </w:r>
    </w:p>
    <w:p>
      <w:pPr>
        <w:spacing w:before="60" w:after="100"/>
      </w:pPr>
      <w:r>
        <w:rPr>
          <w:rFonts w:ascii="Arial" w:cs="Arial" w:eastAsia="Arial" w:hAnsi="Arial"/>
          <w:sz w:val="22"/>
          <w:szCs w:val="22"/>
        </w:rPr>
        <w:t xml:space="preserve">Sincerely,</w:t>
      </w:r>
    </w:p>
    <w:p>
      <w:pPr>
        <w:spacing w:before="60" w:after="60"/>
      </w:pPr>
      <w:r>
        <w:t xml:space="preserve"/>
      </w:r>
    </w:p>
    <w:p>
      <w:pPr>
        <w:spacing w:before="60" w:after="100"/>
      </w:pPr>
      <w:r>
        <w:rPr>
          <w:rFonts w:ascii="Arial" w:cs="Arial" w:eastAsia="Arial" w:hAnsi="Arial"/>
          <w:sz w:val="22"/>
          <w:szCs w:val="22"/>
        </w:rPr>
        <w:t xml:space="preserve">Dr. Sarah L. Chen, PhD
Vice President, Regulatory Affairs
Archon Biotherapeutics Canada Inc.</w:t>
      </w:r>
    </w:p>
    <w:p>
      <w:r>
        <w:br w:type="page"/>
      </w:r>
    </w:p>
    <w:p>
      <w:pPr>
        <w:pStyle w:val="Heading2"/>
        <w:spacing w:before="240" w:after="80"/>
      </w:pPr>
      <w:r>
        <w:rPr>
          <w:rFonts w:ascii="Arial" w:cs="Arial" w:eastAsia="Arial" w:hAnsi="Arial"/>
          <w:b/>
          <w:bCs/>
          <w:color w:val="C41E3A"/>
          <w:sz w:val="24"/>
          <w:szCs w:val="24"/>
        </w:rPr>
        <w:t xml:space="preserve">1.2  Comprehensive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57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Document Title</w:t>
            </w:r>
          </w:p>
        </w:tc>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Volume / File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Administrative Information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 1</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Cover Letter</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1.1.1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Comprehensive Table of Contents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1.3</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Product Information (PM/PL)</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1.3.1–1.3.4</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Priority Review Request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1.4.1</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Patent Register Filing Information (C.08.004.1)</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1.5.1</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Regulatory Interaction Records (Pre-Submission Meetings)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1.6.1–1.6.3</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1.7</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Statements &amp; Certifications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1.7.1–1.7.3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Environmental Assessment Declaration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1.8.1</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2.1–2.7</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CTD Summaries (QOS, Nonclinical Overview, Clinical Overview)</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Vol. 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Quality (CMC)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 3–4</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Nonclinical Study Reports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Vol. 5</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5.3.5.1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CSR: CERVIMAB-301 (RESTORE-CRC)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Vol. 6–10</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5.3.7</w:t>
            </w:r>
          </w:p>
        </w:tc>
        <w:tc>
          <w:tcPr>
            <w:tcW w:type="dxa" w:w="5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Case Report Tabulations and Narratives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Vol. 11–12</w:t>
            </w:r>
          </w:p>
        </w:tc>
      </w:tr>
    </w:tbl>
    <w:p>
      <w:r>
        <w:br w:type="page"/>
      </w:r>
    </w:p>
    <w:p>
      <w:pPr>
        <w:pStyle w:val="Heading2"/>
        <w:spacing w:before="240" w:after="80"/>
      </w:pPr>
      <w:r>
        <w:rPr>
          <w:rFonts w:ascii="Arial" w:cs="Arial" w:eastAsia="Arial" w:hAnsi="Arial"/>
          <w:b/>
          <w:bCs/>
          <w:color w:val="C41E3A"/>
          <w:sz w:val="24"/>
          <w:szCs w:val="24"/>
        </w:rPr>
        <w:t xml:space="preserve">1.3  Product Information — Draft Product Monograph (PM)</w:t>
      </w:r>
    </w:p>
    <w:p>
      <w:pPr>
        <w:pStyle w:val="Heading3"/>
        <w:spacing w:before="180" w:after="60"/>
      </w:pPr>
      <w:r>
        <w:rPr>
          <w:rFonts w:ascii="Arial" w:cs="Arial" w:eastAsia="Arial" w:hAnsi="Arial"/>
          <w:b/>
          <w:bCs/>
          <w:color w:val="2C2C2C"/>
          <w:sz w:val="22"/>
          <w:szCs w:val="22"/>
        </w:rPr>
        <w:t xml:space="preserve">1.3.1  Product Monograph — Part I: Health Professional Information</w:t>
      </w:r>
    </w:p>
    <w:p>
      <w:pPr>
        <w:spacing w:before="60" w:after="100"/>
      </w:pPr>
      <w:r>
        <w:rPr>
          <w:rFonts w:ascii="Arial" w:cs="Arial" w:eastAsia="Arial" w:hAnsi="Arial"/>
          <w:b/>
          <w:bCs/>
          <w:color w:val="8B0000"/>
          <w:sz w:val="22"/>
          <w:szCs w:val="22"/>
        </w:rPr>
        <w:t xml:space="preserve">PART I: HEALTH PROFESSIONAL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BRAND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Non-Proprietary Name: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Pharmacological Class: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Antineoplastic, PD-1 Checkpoint Inhibitor — Humanized IgG4 Monoclonal Antibody</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Dosage Form / Strength:</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Concentrate for solution for infusion, 200 mg/4 mL (50 mg/mL)</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Intravenous infusion</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Manufacturer:</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Archon Biotherapeutics Canada Inc., Vancouver, BC</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Date of Initial Approval: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 be completed post-NOC]</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Product Monograph Version: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(Submission Draft)</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ATC Code: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L01FF07 (proposed)</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Pharmacopoeial Standards: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Does not comply with a pharmacopoeial monograph (novel biologic — not in BP or USP as of date of submission)</w:t>
            </w:r>
          </w:p>
        </w:tc>
      </w:tr>
    </w:tbl>
    <w:p>
      <w:pPr>
        <w:spacing w:before="60" w:after="60"/>
      </w:pPr>
      <w:r>
        <w:t xml:space="preserve"/>
      </w:r>
    </w:p>
    <w:p>
      <w:pPr>
        <w:pStyle w:val="Heading3"/>
        <w:spacing w:before="180" w:after="60"/>
      </w:pPr>
      <w:r>
        <w:rPr>
          <w:rFonts w:ascii="Arial" w:cs="Arial" w:eastAsia="Arial" w:hAnsi="Arial"/>
          <w:b/>
          <w:bCs/>
          <w:color w:val="2C2C2C"/>
          <w:sz w:val="22"/>
          <w:szCs w:val="22"/>
        </w:rPr>
        <w:t xml:space="preserve">Therapeutic Indications</w:t>
      </w:r>
    </w:p>
    <w:p>
      <w:pPr>
        <w:spacing w:before="60" w:after="100"/>
      </w:pPr>
      <w:r>
        <w:rPr>
          <w:rFonts w:ascii="Arial" w:cs="Arial" w:eastAsia="Arial" w:hAnsi="Arial"/>
          <w:sz w:val="22"/>
          <w:szCs w:val="22"/>
        </w:rPr>
        <w:t xml:space="preserve">CERVIMAB (cervimab) is indicated as monotherapy for the treatment of adult patients with unresectable or metastatic mismatch repair-deficient (dMMR) or microsatellite instability-high (MSI-H) colorectal cancer (CRC) that has progressed following treatment with fluoropyrimidine-, oxaliplatin-, and irinotecan-based chemotherapy.</w:t>
      </w:r>
    </w:p>
    <w:p>
      <w:pPr>
        <w:spacing w:before="60" w:after="100"/>
      </w:pPr>
      <w:r>
        <w:rPr>
          <w:rFonts w:ascii="Arial" w:cs="Arial" w:eastAsia="Arial" w:hAnsi="Arial"/>
          <w:sz w:val="22"/>
          <w:szCs w:val="22"/>
        </w:rPr>
        <w:t xml:space="preserve">Patient selection should be based on tumour dMMR/MSI-H status confirmed by a validated diagnostic test (see CLINICAL TRIALS — Patient Selection and WARNINGS AND PRECAUTIONS — Monitoring and Laboratory Tests).</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Dosage and Administration</w:t>
      </w:r>
    </w:p>
    <w:p>
      <w:pPr>
        <w:spacing w:before="60" w:after="100"/>
      </w:pPr>
      <w:r>
        <w:rPr>
          <w:rFonts w:ascii="Arial" w:cs="Arial" w:eastAsia="Arial" w:hAnsi="Arial"/>
          <w:sz w:val="22"/>
          <w:szCs w:val="22"/>
        </w:rPr>
        <w:t xml:space="preserve">Recommended Dose and Dosage Adjustment</w:t>
      </w:r>
    </w:p>
    <w:p>
      <w:pPr>
        <w:spacing w:before="60" w:after="100"/>
      </w:pPr>
      <w:r>
        <w:rPr>
          <w:rFonts w:ascii="Arial" w:cs="Arial" w:eastAsia="Arial" w:hAnsi="Arial"/>
          <w:sz w:val="22"/>
          <w:szCs w:val="22"/>
        </w:rPr>
        <w:t xml:space="preserve">The recommended dose of CERVIMAB is 400 mg administered as an IV infusion over 30 minutes every 6 weeks (Q6W). Treatment should be continued until disease progression or unacceptable toxicity.</w:t>
      </w:r>
    </w:p>
    <w:p>
      <w:pPr>
        <w:spacing w:before="60" w:after="100"/>
      </w:pPr>
      <w:r>
        <w:rPr>
          <w:rFonts w:ascii="Arial" w:cs="Arial" w:eastAsia="Arial" w:hAnsi="Arial"/>
          <w:sz w:val="22"/>
          <w:szCs w:val="22"/>
        </w:rPr>
        <w:t xml:space="preserve">Immune-related adverse reactions: No dose reductions are recommended for CERVIMAB. Dose interruption (withholding) and/or permanent discontinuation are required for immune-related adverse reactions based on severity. Refer to the Dosage Adjustment table in the full Product Monograph (Table 1, PM Section 2).</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Reconstitution and Administration</w:t>
      </w:r>
    </w:p>
    <w:p>
      <w:pPr>
        <w:pStyle w:val="ListParagraph"/>
        <w:numPr>
          <w:ilvl w:val="0"/>
          <w:numId w:val="2"/>
        </w:numPr>
        <w:spacing w:before="40" w:after="40"/>
      </w:pPr>
      <w:r>
        <w:rPr>
          <w:rFonts w:ascii="Arial" w:cs="Arial" w:eastAsia="Arial" w:hAnsi="Arial"/>
          <w:sz w:val="22"/>
          <w:szCs w:val="22"/>
        </w:rPr>
        <w:t xml:space="preserve">Inspect the vial visually for particulate matter and discoloration. Discard if cloudy, discolored, or if visible particles are present.</w:t>
      </w:r>
    </w:p>
    <w:p>
      <w:pPr>
        <w:pStyle w:val="ListParagraph"/>
        <w:numPr>
          <w:ilvl w:val="0"/>
          <w:numId w:val="2"/>
        </w:numPr>
        <w:spacing w:before="40" w:after="40"/>
      </w:pPr>
      <w:r>
        <w:rPr>
          <w:rFonts w:ascii="Arial" w:cs="Arial" w:eastAsia="Arial" w:hAnsi="Arial"/>
          <w:sz w:val="22"/>
          <w:szCs w:val="22"/>
        </w:rPr>
        <w:t xml:space="preserve">Withdraw the required volume from CERVIMAB vial(s) into an IV bag containing 0.9% Sodium Chloride Injection (USP/BP) or 5% Dextrose Injection (USP/BP) to prepare a diluted infusion with a final concentration between 1 mg/mL and 10 mg/mL.</w:t>
      </w:r>
    </w:p>
    <w:p>
      <w:pPr>
        <w:pStyle w:val="ListParagraph"/>
        <w:numPr>
          <w:ilvl w:val="0"/>
          <w:numId w:val="2"/>
        </w:numPr>
        <w:spacing w:before="40" w:after="40"/>
      </w:pPr>
      <w:r>
        <w:rPr>
          <w:rFonts w:ascii="Arial" w:cs="Arial" w:eastAsia="Arial" w:hAnsi="Arial"/>
          <w:sz w:val="22"/>
          <w:szCs w:val="22"/>
        </w:rPr>
        <w:t xml:space="preserve">Administer diluted CERVIMAB using an IV infusion set with an in-line or add-on sterile, non-pyrogenic, low-protein-binding filter (0.2–5 micrometers pore size).</w:t>
      </w:r>
    </w:p>
    <w:p>
      <w:pPr>
        <w:pStyle w:val="ListParagraph"/>
        <w:numPr>
          <w:ilvl w:val="0"/>
          <w:numId w:val="2"/>
        </w:numPr>
        <w:spacing w:before="40" w:after="40"/>
      </w:pPr>
      <w:r>
        <w:rPr>
          <w:rFonts w:ascii="Arial" w:cs="Arial" w:eastAsia="Arial" w:hAnsi="Arial"/>
          <w:sz w:val="22"/>
          <w:szCs w:val="22"/>
        </w:rPr>
        <w:t xml:space="preserve">Do not co-administer other medicinal products through the same infusion line.</w:t>
      </w:r>
    </w:p>
    <w:p>
      <w:pPr>
        <w:pStyle w:val="ListParagraph"/>
        <w:numPr>
          <w:ilvl w:val="0"/>
          <w:numId w:val="2"/>
        </w:numPr>
        <w:spacing w:before="40" w:after="40"/>
      </w:pPr>
      <w:r>
        <w:rPr>
          <w:rFonts w:ascii="Arial" w:cs="Arial" w:eastAsia="Arial" w:hAnsi="Arial"/>
          <w:sz w:val="22"/>
          <w:szCs w:val="22"/>
        </w:rPr>
        <w:t xml:space="preserve">Administer over 30 minutes.</w:t>
      </w:r>
    </w:p>
    <w:p>
      <w:pPr>
        <w:pStyle w:val="ListParagraph"/>
        <w:numPr>
          <w:ilvl w:val="0"/>
          <w:numId w:val="2"/>
        </w:numPr>
        <w:spacing w:before="40" w:after="40"/>
      </w:pPr>
      <w:r>
        <w:rPr>
          <w:rFonts w:ascii="Arial" w:cs="Arial" w:eastAsia="Arial" w:hAnsi="Arial"/>
          <w:sz w:val="22"/>
          <w:szCs w:val="22"/>
        </w:rPr>
        <w:t xml:space="preserve">Storage after dilution: room temperature up to 25°C for no more than 6 hours (including infusion time), or refrigerated at 2°C–8°C for no more than 24 hours from time of dilution.</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Contraindications</w:t>
      </w:r>
    </w:p>
    <w:p>
      <w:pPr>
        <w:spacing w:before="60" w:after="100"/>
      </w:pPr>
      <w:r>
        <w:rPr>
          <w:rFonts w:ascii="Arial" w:cs="Arial" w:eastAsia="Arial" w:hAnsi="Arial"/>
          <w:sz w:val="22"/>
          <w:szCs w:val="22"/>
        </w:rPr>
        <w:t xml:space="preserve">CERVIMAB is contraindicated in patients with a known hypersensitivity to cervimab or to any ingredient in the formulation, including any non-medicinal ingredient, or component of the container. See DOSAGE FORMS, COMPOSITION AND PACKAGING.</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Warnings and Precautions — SERIOUS WARNINGS AND PRECAUTIONS BOX</w:t>
      </w:r>
    </w:p>
    <w:p>
      <w:pPr>
        <w:pBdr>
          <w:top w:val="double" w:color="CC0000" w:sz="6"/>
          <w:bottom w:val="double" w:color="CC0000" w:sz="6"/>
          <w:left w:val="double" w:color="CC0000" w:sz="6"/>
          <w:right w:val="double" w:color="CC0000" w:sz="6"/>
        </w:pBdr>
        <w:spacing w:before="120" w:after="40"/>
      </w:pPr>
      <w:r>
        <w:rPr>
          <w:rFonts w:ascii="Arial" w:cs="Arial" w:eastAsia="Arial" w:hAnsi="Arial"/>
          <w:b/>
          <w:bCs/>
          <w:color w:val="CC0000"/>
          <w:sz w:val="22"/>
          <w:szCs w:val="22"/>
        </w:rPr>
        <w:t xml:space="preserve">SERIOUS WARNINGS AND PRECAUTIONS</w:t>
      </w:r>
    </w:p>
    <w:p>
      <w:pPr>
        <w:pStyle w:val="ListParagraph"/>
        <w:numPr>
          <w:ilvl w:val="0"/>
          <w:numId w:val="2"/>
        </w:numPr>
        <w:spacing w:before="40" w:after="40"/>
      </w:pPr>
      <w:r>
        <w:rPr>
          <w:rFonts w:ascii="Arial" w:cs="Arial" w:eastAsia="Arial" w:hAnsi="Arial"/>
          <w:sz w:val="22"/>
          <w:szCs w:val="22"/>
        </w:rPr>
        <w:t xml:space="preserve">Immune-related adverse reactions (irARs), including severe and fatal cases, have been reported with CERVIMAB. These irARs can involve any organ system, may occur at any time during or after treatment, and may require corticosteroid therapy, other immunosuppressants, hormone replacement therapy, and/or discontinuation of CERVIMAB. (see WARNINGS AND PRECAUTIONS, Immune-related Adverse Reactions)</w:t>
      </w:r>
    </w:p>
    <w:p>
      <w:pPr>
        <w:pStyle w:val="ListParagraph"/>
        <w:numPr>
          <w:ilvl w:val="0"/>
          <w:numId w:val="2"/>
        </w:numPr>
        <w:spacing w:before="40" w:after="40"/>
      </w:pPr>
      <w:r>
        <w:rPr>
          <w:rFonts w:ascii="Arial" w:cs="Arial" w:eastAsia="Arial" w:hAnsi="Arial"/>
          <w:sz w:val="22"/>
          <w:szCs w:val="22"/>
        </w:rPr>
        <w:t xml:space="preserve">Severe or fatal infusion-related reactions, including anaphylaxis, have been reported with CERVIMAB. (see WARNINGS AND PRECAUTIONS, Infusion-related Reactions)</w:t>
      </w:r>
    </w:p>
    <w:p>
      <w:pPr>
        <w:pStyle w:val="ListParagraph"/>
        <w:numPr>
          <w:ilvl w:val="0"/>
          <w:numId w:val="2"/>
        </w:numPr>
        <w:spacing w:before="40" w:after="40"/>
      </w:pPr>
      <w:r>
        <w:rPr>
          <w:rFonts w:ascii="Arial" w:cs="Arial" w:eastAsia="Arial" w:hAnsi="Arial"/>
          <w:sz w:val="22"/>
          <w:szCs w:val="22"/>
        </w:rPr>
        <w:t xml:space="preserve">CERVIMAB can cause fetal harm based on its mechanism of action and nonclinical data. Advise female patients of reproductive potential to use effective contraception during treatment with CERVIMAB and for at least 4 months after the last dose. (see WARNINGS AND PRECAUTIONS, Special Populations — Pregnant Women; and CLINICAL PHARMACOLOGY — Pharmacokinetics — Special Populations)</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Adverse Reactions — Overview</w:t>
      </w:r>
    </w:p>
    <w:p>
      <w:pPr>
        <w:spacing w:before="60" w:after="100"/>
      </w:pPr>
      <w:r>
        <w:rPr>
          <w:rFonts w:ascii="Arial" w:cs="Arial" w:eastAsia="Arial" w:hAnsi="Arial"/>
          <w:sz w:val="22"/>
          <w:szCs w:val="22"/>
        </w:rPr>
        <w:t xml:space="preserve">The safety of CERVIMAB was evaluated in 1,206 patients who received at least one dose across clinical studies CERVIMAB-101, 201, and 301 (the pivotal RESTORE-CRC trial). The median duration of exposure was 8.4 months (range: 0.5–36.1 months). The data described in the ADVERSE REACTIONS section reflect exposure to CERVIMAB in the RESTORE-CRC trial (n=307 randomized to CERVIMAB).</w:t>
      </w:r>
    </w:p>
    <w:p>
      <w:pPr>
        <w:spacing w:before="60" w:after="100"/>
      </w:pPr>
      <w:r>
        <w:rPr>
          <w:rFonts w:ascii="Arial" w:cs="Arial" w:eastAsia="Arial" w:hAnsi="Arial"/>
          <w:sz w:val="22"/>
          <w:szCs w:val="22"/>
        </w:rPr>
        <w:t xml:space="preserve">The most common adverse reactions (≥20% of patients) in the RESTORE-CRC trial (CERVIMAB vs. comparator) were fatigue (38.2% vs. 28.7%), diarrhea (22.5% vs. 31.4%), nausea (21.8% vs. 27.9%), and rash (19.5% vs. 11.1%). The most common Grade 3–4 adverse reactions in CERVIMAB-treated patients were diarrhea/colitis (4.8%), hepatitis (3.3%), fatigue (3.1%), and pneumonitis (2.1%).</w:t>
      </w:r>
    </w:p>
    <w:p>
      <w:r>
        <w:br w:type="page"/>
      </w:r>
    </w:p>
    <w:p>
      <w:pPr>
        <w:pStyle w:val="Heading3"/>
        <w:spacing w:before="180" w:after="60"/>
      </w:pPr>
      <w:r>
        <w:rPr>
          <w:rFonts w:ascii="Arial" w:cs="Arial" w:eastAsia="Arial" w:hAnsi="Arial"/>
          <w:b/>
          <w:bCs/>
          <w:color w:val="2C2C2C"/>
          <w:sz w:val="22"/>
          <w:szCs w:val="22"/>
        </w:rPr>
        <w:t xml:space="preserve">1.3.2  Product Monograph — Part II: Scientific Information (Summary)</w:t>
      </w:r>
    </w:p>
    <w:p>
      <w:pPr>
        <w:spacing w:before="60" w:after="100"/>
      </w:pPr>
      <w:r>
        <w:rPr>
          <w:rFonts w:ascii="Arial" w:cs="Arial" w:eastAsia="Arial" w:hAnsi="Arial"/>
          <w:b/>
          <w:bCs/>
          <w:color w:val="8B0000"/>
          <w:sz w:val="22"/>
          <w:szCs w:val="22"/>
        </w:rPr>
        <w:t xml:space="preserve">PART II: SCIENTIFIC INFORMATION</w:t>
      </w:r>
    </w:p>
    <w:p>
      <w:pPr>
        <w:spacing w:before="60" w:after="60"/>
      </w:pPr>
      <w:r>
        <w:t xml:space="preserve"/>
      </w:r>
    </w:p>
    <w:p>
      <w:pPr>
        <w:pStyle w:val="Heading3"/>
        <w:spacing w:before="180" w:after="60"/>
      </w:pPr>
      <w:r>
        <w:rPr>
          <w:rFonts w:ascii="Arial" w:cs="Arial" w:eastAsia="Arial" w:hAnsi="Arial"/>
          <w:b/>
          <w:bCs/>
          <w:color w:val="2C2C2C"/>
          <w:sz w:val="22"/>
          <w:szCs w:val="22"/>
        </w:rPr>
        <w:t xml:space="preserve">Pharmaceutical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Active Ingredient: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 humanized anti-human PD-1 IgG4 (kappa) monoclonal antibody</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Host Cell Line: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Chinese Hamster Ovary (CHO-K1) cells — recombinant DNA technology</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Molecular Formula:</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C6466H9998N1722O2020S46 (approximate; protein backbone; N-glycans not included)</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Molecular Weight: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~148 kDa</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Isoelectric Point (pI):</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7.8–8.4 (predominant charge variants)</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Solubility: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Soluble in aqueous buffers at pH 5.5–6.0 at concentrations ≥50 mg/mL</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Non-Medicinal Ingredients: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L-histidine, L-histidine hydrochloride monohydrate, polysorbate 80, trehalose dihydrate, Water for Injection</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pH of Solution:</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Osmolarity:</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~290–310 mOsmol/kg</w:t>
            </w:r>
          </w:p>
        </w:tc>
      </w:tr>
      <w:tr>
        <w:tc>
          <w:tcPr>
            <w:tcW w:type="dxa" w:w="3200"/>
            <w:tcBorders>
              <w:top w:val="single" w:color="AAAAAA" w:sz="1"/>
              <w:left w:val="single" w:color="AAAAAA" w:sz="1"/>
              <w:bottom w:val="single" w:color="AAAAAA" w:sz="1"/>
              <w:right w:val="single" w:color="AAAAAA" w:sz="1"/>
            </w:tcBorders>
            <w:shd w:fill="FFF0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Unopened vials: 2°C–8°C; protect from light; do not freeze; do not shake</w:t>
            </w:r>
          </w:p>
        </w:tc>
      </w:tr>
    </w:tbl>
    <w:p>
      <w:pPr>
        <w:spacing w:before="60" w:after="60"/>
      </w:pPr>
      <w:r>
        <w:t xml:space="preserve"/>
      </w:r>
    </w:p>
    <w:p>
      <w:pPr>
        <w:pStyle w:val="Heading3"/>
        <w:spacing w:before="180" w:after="60"/>
      </w:pPr>
      <w:r>
        <w:rPr>
          <w:rFonts w:ascii="Arial" w:cs="Arial" w:eastAsia="Arial" w:hAnsi="Arial"/>
          <w:b/>
          <w:bCs/>
          <w:color w:val="2C2C2C"/>
          <w:sz w:val="22"/>
          <w:szCs w:val="22"/>
        </w:rPr>
        <w:t xml:space="preserve">Clinical Trials (Pivotal Study — RESTORE-CRC/CERVIMAB-301)</w:t>
      </w:r>
    </w:p>
    <w:p>
      <w:pPr>
        <w:spacing w:before="60" w:after="100"/>
      </w:pPr>
      <w:r>
        <w:rPr>
          <w:rFonts w:ascii="Arial" w:cs="Arial" w:eastAsia="Arial" w:hAnsi="Arial"/>
          <w:sz w:val="22"/>
          <w:szCs w:val="22"/>
        </w:rPr>
        <w:t xml:space="preserve">Study Design: RESTORE-CRC (CERVIMAB-301) was a global, randomized, open-label, active-controlled Phase 3 trial of CERVIMAB 400 mg IV Q6W versus investigator's choice of regorafenib or TAS-102 in adult patients with previously treated dMMR/MSI-H unresectable or metastatic CRC. Patients were randomized 1:1 and stratified by prior bevacizumab use, ECOG PS, and geographic region. A total of 612 patients were enrolled (307 CERVIMAB; 305 control) across 148 sites in 22 countries.</w:t>
      </w:r>
    </w:p>
    <w:p>
      <w:pPr>
        <w:spacing w:before="60" w:after="100"/>
      </w:pPr>
      <w:r>
        <w:rPr>
          <w:rFonts w:ascii="Arial" w:cs="Arial" w:eastAsia="Arial" w:hAnsi="Arial"/>
          <w:b/>
          <w:bCs/>
          <w:sz w:val="22"/>
          <w:szCs w:val="22"/>
        </w:rPr>
        <w:t xml:space="preserve">CANADIAN PATIENT ENROLLMENT IN RESTORE-CRC:</w:t>
      </w:r>
    </w:p>
    <w:p>
      <w:pPr>
        <w:spacing w:before="60" w:after="100"/>
      </w:pPr>
      <w:r>
        <w:rPr>
          <w:rFonts w:ascii="Arial" w:cs="Arial" w:eastAsia="Arial" w:hAnsi="Arial"/>
          <w:sz w:val="22"/>
          <w:szCs w:val="22"/>
        </w:rPr>
        <w:t xml:space="preserve">Fourteen (14) Canadian sites participated in RESTORE-CRC across 5 provinces (Ontario, British Columbia, Quebec, Alberta, Nova Scotia). A total of 52 Canadian patients were enrolled (CERVIMAB: n=27; control: n=25). The Canadian subgroup efficacy and safety data are provided in the CSR Addendum (Module 5, Appendix CA-1):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w:t>
            </w:r>
          </w:p>
        </w:tc>
        <w:tc>
          <w:tcPr>
            <w:tcW w:type="dxa" w:w="288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CERVIMAB (n=27)</w:t>
            </w:r>
          </w:p>
        </w:tc>
        <w:tc>
          <w:tcPr>
            <w:tcW w:type="dxa" w:w="288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Control (n=25)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OS (months)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22.1 (95% CI: 14.4–NR)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8.8 (95% CI: 6.1–13.2)</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OS HR</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0.40 (95% CI: 0.19–0.83)</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Median PFS (months)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7.4 (95% CI: 3.9–NR)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 (95% CI: 1.8–3.5)</w:t>
            </w:r>
          </w:p>
        </w:tc>
      </w:tr>
      <w:tr>
        <w:tc>
          <w:tcPr>
            <w:tcW w:type="dxa" w:w="3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ORR (RECIST 1.1)</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40.7% (11/27)</w:t>
            </w:r>
          </w:p>
        </w:tc>
        <w:tc>
          <w:tcPr>
            <w:tcW w:type="dxa" w:w="288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4.0% (1/25)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Grade 3–4 TRAE (any)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22.2% (6/27)</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34.8% (8/23 evaluable)</w:t>
            </w:r>
          </w:p>
        </w:tc>
      </w:tr>
    </w:tbl>
    <w:p>
      <w:pPr>
        <w:spacing w:before="60" w:after="100"/>
      </w:pPr>
      <w:r>
        <w:rPr>
          <w:rFonts w:ascii="Arial" w:cs="Arial" w:eastAsia="Arial" w:hAnsi="Arial"/>
          <w:i/>
          <w:iCs/>
          <w:color w:val="666666"/>
          <w:sz w:val="22"/>
          <w:szCs w:val="22"/>
        </w:rPr>
        <w:t xml:space="preserve">Canadian subgroup results are numerically consistent with global ITT results, supporting applicability in the Canadian patient population. Small sample size precludes definitive statistical inference from the Canadian subgroup alone.</w:t>
      </w:r>
    </w:p>
    <w:p>
      <w:r>
        <w:br w:type="page"/>
      </w:r>
    </w:p>
    <w:p>
      <w:pPr>
        <w:pStyle w:val="Heading3"/>
        <w:spacing w:before="180" w:after="60"/>
      </w:pPr>
      <w:r>
        <w:rPr>
          <w:rFonts w:ascii="Arial" w:cs="Arial" w:eastAsia="Arial" w:hAnsi="Arial"/>
          <w:b/>
          <w:bCs/>
          <w:color w:val="2C2C2C"/>
          <w:sz w:val="22"/>
          <w:szCs w:val="22"/>
        </w:rPr>
        <w:t xml:space="preserve">1.3.3  Product Monograph — Part III: Consumer Information (Patient Medication Information — PMI)</w:t>
      </w:r>
    </w:p>
    <w:p>
      <w:pPr>
        <w:spacing w:before="60" w:after="100"/>
      </w:pPr>
      <w:r>
        <w:rPr>
          <w:rFonts w:ascii="Arial" w:cs="Arial" w:eastAsia="Arial" w:hAnsi="Arial"/>
          <w:sz w:val="22"/>
          <w:szCs w:val="22"/>
        </w:rPr>
        <w:t xml:space="preserve">The Patient Medication Information (PMI) for CERVIMAB — prepared in accordance with Health Canada's 'Guidance Document: Patient Medication Information for Prescription Products' (2017) — is provided in Module 1.3.3 in both official languages (English and French). Key elements:</w:t>
      </w:r>
    </w:p>
    <w:p>
      <w:pPr>
        <w:pStyle w:val="ListParagraph"/>
        <w:numPr>
          <w:ilvl w:val="0"/>
          <w:numId w:val="2"/>
        </w:numPr>
        <w:spacing w:before="40" w:after="40"/>
      </w:pPr>
      <w:r>
        <w:rPr>
          <w:rFonts w:ascii="Arial" w:cs="Arial" w:eastAsia="Arial" w:hAnsi="Arial"/>
          <w:sz w:val="22"/>
          <w:szCs w:val="22"/>
        </w:rPr>
        <w:t xml:space="preserve">What CERVIMAB is used for: treatment of a type of bowel cancer (colorectal cancer) that cannot be removed by surgery or has spread to other parts of the body, in adults whose cancer has a specific feature called 'dMMR' or 'MSI-H', and whose cancer got worse after certain chemotherapy treatments</w:t>
      </w:r>
    </w:p>
    <w:p>
      <w:pPr>
        <w:pStyle w:val="ListParagraph"/>
        <w:numPr>
          <w:ilvl w:val="0"/>
          <w:numId w:val="2"/>
        </w:numPr>
        <w:spacing w:before="40" w:after="40"/>
      </w:pPr>
      <w:r>
        <w:rPr>
          <w:rFonts w:ascii="Arial" w:cs="Arial" w:eastAsia="Arial" w:hAnsi="Arial"/>
          <w:sz w:val="22"/>
          <w:szCs w:val="22"/>
        </w:rPr>
        <w:t xml:space="preserve">How CERVIMAB works: CERVIMAB helps your immune system fight cancer by blocking a protein called PD-1</w:t>
      </w:r>
    </w:p>
    <w:p>
      <w:pPr>
        <w:pStyle w:val="ListParagraph"/>
        <w:numPr>
          <w:ilvl w:val="0"/>
          <w:numId w:val="2"/>
        </w:numPr>
        <w:spacing w:before="40" w:after="40"/>
      </w:pPr>
      <w:r>
        <w:rPr>
          <w:rFonts w:ascii="Arial" w:cs="Arial" w:eastAsia="Arial" w:hAnsi="Arial"/>
          <w:sz w:val="22"/>
          <w:szCs w:val="22"/>
        </w:rPr>
        <w:t xml:space="preserve">How to take CERVIMAB: given by a nurse or doctor as an IV drip (infusion) into a vein over 30 minutes, once every 6 weeks</w:t>
      </w:r>
    </w:p>
    <w:p>
      <w:pPr>
        <w:pStyle w:val="ListParagraph"/>
        <w:numPr>
          <w:ilvl w:val="0"/>
          <w:numId w:val="2"/>
        </w:numPr>
        <w:spacing w:before="40" w:after="40"/>
      </w:pPr>
      <w:r>
        <w:rPr>
          <w:rFonts w:ascii="Arial" w:cs="Arial" w:eastAsia="Arial" w:hAnsi="Arial"/>
          <w:sz w:val="22"/>
          <w:szCs w:val="22"/>
        </w:rPr>
        <w:t xml:space="preserve">Serious side effects requiring immediate medical attention: new or worsening cough or shortness of breath; severe or persistent diarrhea or stomach pain; yellowing of skin or eyes; severe rash; changes in amount of urine; muscle weakness; fast or irregular heartbeat; unusual headaches or vision changes</w:t>
      </w:r>
    </w:p>
    <w:p>
      <w:pPr>
        <w:pStyle w:val="ListParagraph"/>
        <w:numPr>
          <w:ilvl w:val="0"/>
          <w:numId w:val="2"/>
        </w:numPr>
        <w:spacing w:before="40" w:after="40"/>
      </w:pPr>
      <w:r>
        <w:rPr>
          <w:rFonts w:ascii="Arial" w:cs="Arial" w:eastAsia="Arial" w:hAnsi="Arial"/>
          <w:sz w:val="22"/>
          <w:szCs w:val="22"/>
        </w:rPr>
        <w:t xml:space="preserve">Contraception requirements and pregnancy warning</w:t>
      </w:r>
    </w:p>
    <w:p>
      <w:pPr>
        <w:spacing w:before="60" w:after="60"/>
      </w:pPr>
      <w:r>
        <w:t xml:space="preserve"/>
      </w:r>
    </w:p>
    <w:p>
      <w:pPr>
        <w:spacing w:before="60" w:after="100"/>
      </w:pPr>
      <w:r>
        <w:rPr>
          <w:rFonts w:ascii="Arial" w:cs="Arial" w:eastAsia="Arial" w:hAnsi="Arial"/>
          <w:sz w:val="22"/>
          <w:szCs w:val="22"/>
        </w:rPr>
        <w:t xml:space="preserve">The French-language PMI ('Information sur les médicaments pour le patient — CERVIMAB') is included in Module 1.3.3(b) as required by the Official Languages Act and the Regulations Amending the Food and Drug Regulations (Bilingual Labelling) (2014).</w:t>
      </w:r>
    </w:p>
    <w:p>
      <w:r>
        <w:br w:type="page"/>
      </w:r>
    </w:p>
    <w:p>
      <w:pPr>
        <w:pStyle w:val="Heading1"/>
        <w:pBdr>
          <w:bottom w:val="single" w:color="C41E3A" w:sz="6" w:space="4"/>
        </w:pBdr>
        <w:spacing w:before="360" w:after="120"/>
      </w:pPr>
      <w:r>
        <w:rPr>
          <w:rFonts w:ascii="Arial" w:cs="Arial" w:eastAsia="Arial" w:hAnsi="Arial"/>
          <w:b/>
          <w:bCs/>
          <w:color w:val="8B0000"/>
          <w:sz w:val="28"/>
          <w:szCs w:val="28"/>
        </w:rPr>
        <w:t xml:space="preserve">SECTION 2 — PRIORITY REVIEW REQUEST</w:t>
      </w:r>
    </w:p>
    <w:p>
      <w:pPr>
        <w:pStyle w:val="Heading2"/>
        <w:spacing w:before="240" w:after="80"/>
      </w:pPr>
      <w:r>
        <w:rPr>
          <w:rFonts w:ascii="Arial" w:cs="Arial" w:eastAsia="Arial" w:hAnsi="Arial"/>
          <w:b/>
          <w:bCs/>
          <w:color w:val="C41E3A"/>
          <w:sz w:val="24"/>
          <w:szCs w:val="24"/>
        </w:rPr>
        <w:t xml:space="preserve">2.1  Priority Review Justification</w:t>
      </w:r>
    </w:p>
    <w:p>
      <w:pPr>
        <w:spacing w:before="60" w:after="100"/>
      </w:pPr>
      <w:r>
        <w:rPr>
          <w:rFonts w:ascii="Arial" w:cs="Arial" w:eastAsia="Arial" w:hAnsi="Arial"/>
          <w:sz w:val="22"/>
          <w:szCs w:val="22"/>
        </w:rPr>
        <w:t xml:space="preserve">Archon Biotherapeutics Canada Inc. submits this Priority Review (PR) request for CERVIMAB pursuant to Health Canada's 'Priority Review of Drug Submissions' guidance (2012). To qualify for Priority Review, a submission must meet one of the following criteria:</w:t>
      </w:r>
    </w:p>
    <w:p>
      <w:pPr>
        <w:pStyle w:val="ListParagraph"/>
        <w:numPr>
          <w:ilvl w:val="0"/>
          <w:numId w:val="2"/>
        </w:numPr>
        <w:spacing w:before="40" w:after="40"/>
      </w:pPr>
      <w:r>
        <w:rPr>
          <w:rFonts w:ascii="Arial" w:cs="Arial" w:eastAsia="Arial" w:hAnsi="Arial"/>
          <w:sz w:val="22"/>
          <w:szCs w:val="22"/>
        </w:rPr>
        <w:t xml:space="preserve">Criterion 1 — Serious condition for which no drug is marketed in Canada: Not applicable (regorafenib and TAS-102 are marketed in Canada for 3L mCRC, and nivolumab (OPDIVO) is marketed for dMMR/MSI-H CRC in Canada)</w:t>
      </w:r>
    </w:p>
    <w:p>
      <w:pPr>
        <w:pStyle w:val="ListParagraph"/>
        <w:numPr>
          <w:ilvl w:val="0"/>
          <w:numId w:val="2"/>
        </w:numPr>
        <w:spacing w:before="40" w:after="40"/>
      </w:pPr>
      <w:r>
        <w:rPr>
          <w:rFonts w:ascii="Arial" w:cs="Arial" w:eastAsia="Arial" w:hAnsi="Arial"/>
          <w:sz w:val="22"/>
          <w:szCs w:val="22"/>
        </w:rPr>
        <w:t xml:space="preserve">Criterion 2 — Serious condition for which existing therapy is not satisfactory, and the new drug provides evidence of clinical benefit: APPLICABLE — see rationale below</w:t>
      </w:r>
    </w:p>
    <w:p>
      <w:pPr>
        <w:spacing w:before="60" w:after="60"/>
      </w:pPr>
      <w:r>
        <w:t xml:space="preserve"/>
      </w:r>
    </w:p>
    <w:p>
      <w:pPr>
        <w:spacing w:before="60" w:after="100"/>
      </w:pPr>
      <w:r>
        <w:rPr>
          <w:rFonts w:ascii="Arial" w:cs="Arial" w:eastAsia="Arial" w:hAnsi="Arial"/>
          <w:b/>
          <w:bCs/>
          <w:sz w:val="22"/>
          <w:szCs w:val="22"/>
        </w:rPr>
        <w:t xml:space="preserve">Priority Review Rationale — Criterion 2:</w:t>
      </w:r>
    </w:p>
    <w:p>
      <w:pPr>
        <w:spacing w:before="60" w:after="100"/>
      </w:pPr>
      <w:r>
        <w:rPr>
          <w:rFonts w:ascii="Arial" w:cs="Arial" w:eastAsia="Arial" w:hAnsi="Arial"/>
          <w:sz w:val="22"/>
          <w:szCs w:val="22"/>
        </w:rPr>
        <w:t xml:space="preserve">Condition Severity: dMMR/MSI-H metastatic CRC is a serious, life-threatening malignancy. Following failure of fluoropyrimidine/oxaliplatin/irinotecan-based therapy, median OS with available treatments is approximately 9 months (regorafenib: mOS 6.4–8.8 months; TAS-102: mOS 7.1–7.8 months per CORRECT and RECOURSE trials). Nivolumab, while approved for this indication in Canada (2021), has not been directly compared to regorafenib/TAS-102 in a randomized trial in this specific refractory setting.</w:t>
      </w:r>
    </w:p>
    <w:p>
      <w:pPr>
        <w:spacing w:before="60" w:after="100"/>
      </w:pPr>
      <w:r>
        <w:rPr>
          <w:rFonts w:ascii="Arial" w:cs="Arial" w:eastAsia="Arial" w:hAnsi="Arial"/>
          <w:sz w:val="22"/>
          <w:szCs w:val="22"/>
        </w:rPr>
        <w:t xml:space="preserve">Evidence of Clinical Benefit over Existing Therapy:</w:t>
      </w:r>
    </w:p>
    <w:p>
      <w:pPr>
        <w:pStyle w:val="ListParagraph"/>
        <w:numPr>
          <w:ilvl w:val="0"/>
          <w:numId w:val="2"/>
        </w:numPr>
        <w:spacing w:before="40" w:after="40"/>
      </w:pPr>
      <w:r>
        <w:rPr>
          <w:rFonts w:ascii="Arial" w:cs="Arial" w:eastAsia="Arial" w:hAnsi="Arial"/>
          <w:sz w:val="22"/>
          <w:szCs w:val="22"/>
        </w:rPr>
        <w:t xml:space="preserve">CERVIMAB demonstrated OS HR of 0.44 (p&lt;0.0001) versus regorafenib/TAS-102 in the first-ever randomized, active-controlled Phase 3 trial in this setting, providing direct comparative evidence of clinical benefit</w:t>
      </w:r>
    </w:p>
    <w:p>
      <w:pPr>
        <w:pStyle w:val="ListParagraph"/>
        <w:numPr>
          <w:ilvl w:val="0"/>
          <w:numId w:val="2"/>
        </w:numPr>
        <w:spacing w:before="40" w:after="40"/>
      </w:pPr>
      <w:r>
        <w:rPr>
          <w:rFonts w:ascii="Arial" w:cs="Arial" w:eastAsia="Arial" w:hAnsi="Arial"/>
          <w:sz w:val="22"/>
          <w:szCs w:val="22"/>
        </w:rPr>
        <w:t xml:space="preserve">Median OS improvement: 20.4 months vs. 9.3 months — a clinically meaningful improvement of 11.1 months</w:t>
      </w:r>
    </w:p>
    <w:p>
      <w:pPr>
        <w:pStyle w:val="ListParagraph"/>
        <w:numPr>
          <w:ilvl w:val="0"/>
          <w:numId w:val="2"/>
        </w:numPr>
        <w:spacing w:before="40" w:after="40"/>
      </w:pPr>
      <w:r>
        <w:rPr>
          <w:rFonts w:ascii="Arial" w:cs="Arial" w:eastAsia="Arial" w:hAnsi="Arial"/>
          <w:sz w:val="22"/>
          <w:szCs w:val="22"/>
        </w:rPr>
        <w:t xml:space="preserve">Two-year OS rate: 42.1% vs. 18.3% — doubling of 2-year survival</w:t>
      </w:r>
    </w:p>
    <w:p>
      <w:pPr>
        <w:pStyle w:val="ListParagraph"/>
        <w:numPr>
          <w:ilvl w:val="0"/>
          <w:numId w:val="2"/>
        </w:numPr>
        <w:spacing w:before="40" w:after="40"/>
      </w:pPr>
      <w:r>
        <w:rPr>
          <w:rFonts w:ascii="Arial" w:cs="Arial" w:eastAsia="Arial" w:hAnsi="Arial"/>
          <w:sz w:val="22"/>
          <w:szCs w:val="22"/>
        </w:rPr>
        <w:t xml:space="preserve">Q6W dosing: superior dosing convenience compared to currently approved agents in Canada (nivolumab: Q2W or Q4W; pembrolizumab: Q3W or Q6W with 30-min infusion — CERVIMAB offers the same 30-min/Q6W schedule with pivotal Phase 3 RCT evidence against regorafenib/TAS-102 which pembrolizumab lacks)</w:t>
      </w:r>
    </w:p>
    <w:p>
      <w:pPr>
        <w:pStyle w:val="ListParagraph"/>
        <w:numPr>
          <w:ilvl w:val="0"/>
          <w:numId w:val="2"/>
        </w:numPr>
        <w:spacing w:before="40" w:after="40"/>
      </w:pPr>
      <w:r>
        <w:rPr>
          <w:rFonts w:ascii="Arial" w:cs="Arial" w:eastAsia="Arial" w:hAnsi="Arial"/>
          <w:sz w:val="22"/>
          <w:szCs w:val="22"/>
        </w:rPr>
        <w:t xml:space="preserve">HRQoL benefit: statistically significant improvement in FACT-C TDD (HR 0.56) and EQ-5D-5L VAS — important to Canadian patients, physicians, and reimbursement bodies (CADTH, INESSS)</w:t>
      </w:r>
    </w:p>
    <w:p>
      <w:r>
        <w:br w:type="page"/>
      </w:r>
    </w:p>
    <w:p>
      <w:pPr>
        <w:pStyle w:val="Heading1"/>
        <w:pBdr>
          <w:bottom w:val="single" w:color="C41E3A" w:sz="6" w:space="4"/>
        </w:pBdr>
        <w:spacing w:before="360" w:after="120"/>
      </w:pPr>
      <w:r>
        <w:rPr>
          <w:rFonts w:ascii="Arial" w:cs="Arial" w:eastAsia="Arial" w:hAnsi="Arial"/>
          <w:b/>
          <w:bCs/>
          <w:color w:val="8B0000"/>
          <w:sz w:val="28"/>
          <w:szCs w:val="28"/>
        </w:rPr>
        <w:t xml:space="preserve">SECTION 3 — REGULATORY INTERACTIONS WITH HEALTH CANADA</w:t>
      </w:r>
    </w:p>
    <w:p>
      <w:pPr>
        <w:pStyle w:val="Heading2"/>
        <w:spacing w:before="240" w:after="80"/>
      </w:pPr>
      <w:r>
        <w:rPr>
          <w:rFonts w:ascii="Arial" w:cs="Arial" w:eastAsia="Arial" w:hAnsi="Arial"/>
          <w:b/>
          <w:bCs/>
          <w:color w:val="C41E3A"/>
          <w:sz w:val="24"/>
          <w:szCs w:val="24"/>
        </w:rPr>
        <w:t xml:space="preserve">3.1  Pre-Submission Meeting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Date</w:t>
            </w:r>
          </w:p>
        </w:tc>
        <w:tc>
          <w:tcPr>
            <w:tcW w:type="dxa" w:w="2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Meeting Type</w:t>
            </w:r>
          </w:p>
        </w:tc>
        <w:tc>
          <w:tcPr>
            <w:tcW w:type="dxa" w:w="55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Outcomes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May 10, 2022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Pre-Submission Meeting (Level 1)</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Health Canada confirmed NDS pathway appropriate for biologic; agreed on eCTD format; confirmed Priority Review eligibility criteria; outlined Product Monograph requirements (bilingual); confirmed TPD/BRDD co-review not required (single review — BRDD)</w:t>
            </w:r>
          </w:p>
        </w:tc>
      </w:tr>
      <w:tr>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Sep 14, 2023</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Pre-Submission Meeting (Level 2 — RESTORE-CRC Interim Data)</w:t>
            </w:r>
          </w:p>
        </w:tc>
        <w:tc>
          <w:tcPr>
            <w:tcW w:type="dxa" w:w="5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Health Canada reviewed interim OS HR 0.43 at IA-1; confirmed consistency with globally accepted efficacy threshold; reiterated requirement for Canadian patient subgroup data as Module 5 appendix; discussed RMP and Risk Minimization Activities expectations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Apr 22, 2025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Pre-Submission Meeting (Level 3 — Pre-Filing)</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Final Product Monograph (bilingual) format agreed; RMP v1.0 structure confirmed; CADTH parallel review opportunity discussed; INESSS engagement for Quebec reimbursement recommended; PMPRB pre-submission meeting noted as completed (Feb 2025)</w:t>
            </w:r>
          </w:p>
        </w:tc>
      </w:tr>
    </w:tbl>
    <w:p>
      <w:pPr>
        <w:spacing w:before="60" w:after="60"/>
      </w:pPr>
      <w:r>
        <w:t xml:space="preserve"/>
      </w:r>
    </w:p>
    <w:p>
      <w:pPr>
        <w:pStyle w:val="Heading2"/>
        <w:spacing w:before="240" w:after="80"/>
      </w:pPr>
      <w:r>
        <w:rPr>
          <w:rFonts w:ascii="Arial" w:cs="Arial" w:eastAsia="Arial" w:hAnsi="Arial"/>
          <w:b/>
          <w:bCs/>
          <w:color w:val="C41E3A"/>
          <w:sz w:val="24"/>
          <w:szCs w:val="24"/>
        </w:rPr>
        <w:t xml:space="preserve">3.2  CADTH Parallel Review</w:t>
      </w:r>
    </w:p>
    <w:p>
      <w:pPr>
        <w:spacing w:before="60" w:after="100"/>
      </w:pPr>
      <w:r>
        <w:rPr>
          <w:rFonts w:ascii="Arial" w:cs="Arial" w:eastAsia="Arial" w:hAnsi="Arial"/>
          <w:sz w:val="22"/>
          <w:szCs w:val="22"/>
        </w:rPr>
        <w:t xml:space="preserve">Archon Biotherapeutics Canada Inc. will initiate a parallel review request with the Canadian Drug Review (CDR) program of the Canadian Agency for Drugs and Technologies in Health (CADTH) concurrent with this NDS submission. The CADTH Health Technology Assessment (HTA) process will evaluate comparative clinical effectiveness, safety, and cost-effectiveness of CERVIMAB for formulary listing recommendations to provincial/territorial drug plans.</w:t>
      </w:r>
    </w:p>
    <w:p>
      <w:pPr>
        <w:spacing w:before="60" w:after="100"/>
      </w:pPr>
      <w:r>
        <w:rPr>
          <w:rFonts w:ascii="Arial" w:cs="Arial" w:eastAsia="Arial" w:hAnsi="Arial"/>
          <w:sz w:val="22"/>
          <w:szCs w:val="22"/>
        </w:rPr>
        <w:t xml:space="preserve">Simultaneously, Archon Canada will engage the Institut national d'excellence en santé et en services sociaux (INESSS) for a parallel Quebec-specific review. Both review bodies will receive the full clinical dossier (identical to the NDS submission) as per Health Canada's 'Pathway for the Review of Biologic Products in Combination with CADTH/INESSS Review' (2019).</w:t>
      </w:r>
    </w:p>
    <w:p>
      <w:pPr>
        <w:spacing w:before="60" w:after="60"/>
      </w:pPr>
      <w:r>
        <w:t xml:space="preserve"/>
      </w:r>
    </w:p>
    <w:p>
      <w:pPr>
        <w:pStyle w:val="Heading2"/>
        <w:spacing w:before="240" w:after="80"/>
      </w:pPr>
      <w:r>
        <w:rPr>
          <w:rFonts w:ascii="Arial" w:cs="Arial" w:eastAsia="Arial" w:hAnsi="Arial"/>
          <w:b/>
          <w:bCs/>
          <w:color w:val="C41E3A"/>
          <w:sz w:val="24"/>
          <w:szCs w:val="24"/>
        </w:rPr>
        <w:t xml:space="preserve">3.3  PMPRB Pre-Submission Meeting</w:t>
      </w:r>
    </w:p>
    <w:p>
      <w:pPr>
        <w:spacing w:before="60" w:after="100"/>
      </w:pPr>
      <w:r>
        <w:rPr>
          <w:rFonts w:ascii="Arial" w:cs="Arial" w:eastAsia="Arial" w:hAnsi="Arial"/>
          <w:sz w:val="22"/>
          <w:szCs w:val="22"/>
        </w:rPr>
        <w:t xml:space="preserve">A PMPRB (Patented Medicine Prices Review Board) pre-submission meeting was held on February 18, 2025. The proposed list price and international pricing benchmark data (comparators: pembrolizumab, nivolumab, regorafenib in major markets) were reviewed. Archon Canada is committed to pricing CERVIMAB in compliance with PMPRB's Patented Medicines Regulations (SOR/2019-298) and the Revised Guidelines (effective January 1, 2022).</w:t>
      </w:r>
    </w:p>
    <w:p>
      <w:r>
        <w:br w:type="page"/>
      </w:r>
    </w:p>
    <w:p>
      <w:pPr>
        <w:pStyle w:val="Heading1"/>
        <w:pBdr>
          <w:bottom w:val="single" w:color="C41E3A" w:sz="6" w:space="4"/>
        </w:pBdr>
        <w:spacing w:before="360" w:after="120"/>
      </w:pPr>
      <w:r>
        <w:rPr>
          <w:rFonts w:ascii="Arial" w:cs="Arial" w:eastAsia="Arial" w:hAnsi="Arial"/>
          <w:b/>
          <w:bCs/>
          <w:color w:val="8B0000"/>
          <w:sz w:val="28"/>
          <w:szCs w:val="28"/>
        </w:rPr>
        <w:t xml:space="preserve">SECTION 4 — RISK MANAGEMENT PLAN (RMP) — CANADA</w:t>
      </w:r>
    </w:p>
    <w:p>
      <w:pPr>
        <w:pStyle w:val="Heading2"/>
        <w:spacing w:before="240" w:after="80"/>
      </w:pPr>
      <w:r>
        <w:rPr>
          <w:rFonts w:ascii="Arial" w:cs="Arial" w:eastAsia="Arial" w:hAnsi="Arial"/>
          <w:b/>
          <w:bCs/>
          <w:color w:val="C41E3A"/>
          <w:sz w:val="24"/>
          <w:szCs w:val="24"/>
        </w:rPr>
        <w:t xml:space="preserve">4.1  RMP Overview</w:t>
      </w:r>
    </w:p>
    <w:p>
      <w:pPr>
        <w:spacing w:before="60" w:after="100"/>
      </w:pPr>
      <w:r>
        <w:rPr>
          <w:rFonts w:ascii="Arial" w:cs="Arial" w:eastAsia="Arial" w:hAnsi="Arial"/>
          <w:sz w:val="22"/>
          <w:szCs w:val="22"/>
        </w:rPr>
        <w:t xml:space="preserve">The Risk Management Plan (RMP) for CERVIMAB (Version 1.0) is submitted in Module 1.3.6 in accordance with Health Canada's guidance 'Risk Management Plans (RMPs) — Guidance Document for Industry' (2014). The RMP was prepared to align with the international harmonized ICH E2E standard and uses the structure recommended in Health Canada's 2014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Safety Concern</w:t>
            </w:r>
          </w:p>
        </w:tc>
        <w:tc>
          <w:tcPr>
            <w:tcW w:type="dxa" w:w="37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Category</w:t>
            </w:r>
          </w:p>
        </w:tc>
        <w:tc>
          <w:tcPr>
            <w:tcW w:type="dxa" w:w="2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Canadian Risk Minimisation Activity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Immune-related pneumonitis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PM Section 7 (Warnings); Healthcare professional (HCP) education guide; monitoring guidance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Immune-related colitis/diarrhea</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Routine: PM Sections 7 and 9; patient alert card (bilingual)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Immune-related hepatitis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PM; liver function monitoring guidance in PM Section 12</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Immune-related endocrinopathies</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Routine: PM; endocrine function monitoring schedule in Appendix PM-A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Myocarditis (including fatal)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 Additional: PM boxed warning; bilingual HCP education letter; cardiac monitoring guidance</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Infusion-related reactions / anaphylaxis</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Important Identified Risk</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Routine: PM Sections 7 and 9; administration instructions; guidance on pre-medication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Embryo-fetal toxicity</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Important Potential Risk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Routine: PM Sections 7 and 16; contraception guidance (bilingual PMI)</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Pregnant and lactating women</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Routine: PM; mandatory pharmacovigilance registry (CERVIMAB-501 Canada cohort)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Paediatric use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PM Section 2 (Dosage): safety and efficacy not established in patients &lt;18 years; post-NOC paediatric study commitment (PDSC)</w:t>
            </w:r>
          </w:p>
        </w:tc>
      </w:tr>
      <w:tr>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Long-term safety (&gt;3 years)</w:t>
            </w:r>
          </w:p>
        </w:tc>
        <w:tc>
          <w:tcPr>
            <w:tcW w:type="dxa" w:w="37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Missing Information</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Post-NOC commitment: ongoing CERVIMAB-501 global registry — Canadian cohort target 200 patients</w:t>
            </w:r>
          </w:p>
        </w:tc>
      </w:tr>
    </w:tbl>
    <w:p>
      <w:r>
        <w:br w:type="page"/>
      </w:r>
    </w:p>
    <w:p>
      <w:pPr>
        <w:pStyle w:val="Heading1"/>
        <w:pBdr>
          <w:bottom w:val="single" w:color="C41E3A" w:sz="6" w:space="4"/>
        </w:pBdr>
        <w:spacing w:before="360" w:after="120"/>
      </w:pPr>
      <w:r>
        <w:rPr>
          <w:rFonts w:ascii="Arial" w:cs="Arial" w:eastAsia="Arial" w:hAnsi="Arial"/>
          <w:b/>
          <w:bCs/>
          <w:color w:val="8B0000"/>
          <w:sz w:val="28"/>
          <w:szCs w:val="28"/>
        </w:rPr>
        <w:t xml:space="preserve">SECTION 5 — MODULES 2–5: QUALITY, NONCLINICAL, CLINICAL (SUMMARY)</w:t>
      </w:r>
    </w:p>
    <w:p>
      <w:pPr>
        <w:pStyle w:val="Heading2"/>
        <w:spacing w:before="240" w:after="80"/>
      </w:pPr>
      <w:r>
        <w:rPr>
          <w:rFonts w:ascii="Arial" w:cs="Arial" w:eastAsia="Arial" w:hAnsi="Arial"/>
          <w:b/>
          <w:bCs/>
          <w:color w:val="C41E3A"/>
          <w:sz w:val="24"/>
          <w:szCs w:val="24"/>
        </w:rPr>
        <w:t xml:space="preserve">5.1  Quality (CMC) — Canadian-Specific Requirements</w:t>
      </w:r>
    </w:p>
    <w:p>
      <w:pPr>
        <w:spacing w:before="60" w:after="100"/>
      </w:pPr>
      <w:r>
        <w:rPr>
          <w:rFonts w:ascii="Arial" w:cs="Arial" w:eastAsia="Arial" w:hAnsi="Arial"/>
          <w:sz w:val="22"/>
          <w:szCs w:val="22"/>
        </w:rPr>
        <w:t xml:space="preserve">The quality (CMC) data package submitted in Module 3 of this NDS is substantively identical to that filed with the US FDA (BLA 761XXX) and EMA (MAA EMEA/H/C/006XXX). Canadian-specific differences and 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2400"/>
        <w:gridCol w:w="1800"/>
      </w:tblGrid>
      <w:tr>
        <w:trPr>
          <w:tblHeader/>
        </w:trPr>
        <w:tc>
          <w:tcPr>
            <w:tcW w:type="dxa" w:w="2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31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Topic</w:t>
            </w:r>
          </w:p>
        </w:tc>
        <w:tc>
          <w:tcPr>
            <w:tcW w:type="dxa" w:w="24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Canadian Requirement</w:t>
            </w:r>
          </w:p>
        </w:tc>
        <w:tc>
          <w:tcPr>
            <w:tcW w:type="dxa" w:w="18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3.2.S / 3.2.P</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Pharmacopoeial Standards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USP or BP monographs acceptable; reference to BP for excipients where applicable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Compliant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3.2.P.5</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Specifications — Endotoxin</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Limulus Amebocyte Lysate (LAL) per USP &lt;85&gt; / BP Appendix XIV; ≤0.5 EU/mg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Compliant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3.2.A.1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Manufacturing Sites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Non-Canadian sites: Health Canada GMP compliance letters obtained for all manufacturing sites; Site inspection history (FDA, EMA) provided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Compliant</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3.2.P.7</w:t>
            </w:r>
          </w:p>
        </w:tc>
        <w:tc>
          <w:tcPr>
            <w:tcW w:type="dxa" w:w="3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Labelling / Container Closure</w:t>
            </w:r>
          </w:p>
        </w:tc>
        <w:tc>
          <w:tcPr>
            <w:tcW w:type="dxa" w:w="2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Canadian bilingual (EN/FR) labelling draft submitted per Regulations; NPN/DIN label submitted</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Submitted as 1.3.4</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Post-NOC</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Stability (Canadian Shelf Life)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Shelf life confirmed for Canadian climatic zone: 24 months at 2–8°C in original carton (additional data to be submitted under Supplemental NDS within 12 months of NOC)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Commitment letter submitted</w:t>
            </w:r>
          </w:p>
        </w:tc>
      </w:tr>
    </w:tbl>
    <w:p>
      <w:pPr>
        <w:spacing w:before="60" w:after="60"/>
      </w:pPr>
      <w:r>
        <w:t xml:space="preserve"/>
      </w:r>
    </w:p>
    <w:p>
      <w:pPr>
        <w:pStyle w:val="Heading2"/>
        <w:spacing w:before="240" w:after="80"/>
      </w:pPr>
      <w:r>
        <w:rPr>
          <w:rFonts w:ascii="Arial" w:cs="Arial" w:eastAsia="Arial" w:hAnsi="Arial"/>
          <w:b/>
          <w:bCs/>
          <w:color w:val="C41E3A"/>
          <w:sz w:val="24"/>
          <w:szCs w:val="24"/>
        </w:rPr>
        <w:t xml:space="preserve">5.2  Proposed Post-NOC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Commitment Type</w:t>
            </w:r>
          </w:p>
        </w:tc>
        <w:tc>
          <w:tcPr>
            <w:tcW w:type="dxa" w:w="416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2000"/>
            <w:tcBorders>
              <w:top w:val="single" w:color="AAAAAA" w:sz="1"/>
              <w:left w:val="single" w:color="AAAAAA" w:sz="1"/>
              <w:bottom w:val="single" w:color="AAAAAA" w:sz="1"/>
              <w:right w:val="single" w:color="AAAAAA" w:sz="1"/>
            </w:tcBorders>
            <w:shd w:fill="8B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Post-NOC Study — Paediatric</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Protocol submission for paediatric safety/PK study (2–17 years); Health Canada's Paediatric Drug Study Plan (PDSP) equivalent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Protocol within 12 months of NOC; Study completion within 5 years</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Post-NOC Stability Update</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Submit 36-month stability data for drug product at 2–8°C (one additional registration lot, Canadian-specific)</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36-month data within 36 months of NOC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Pharmacovigilance Registry</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Enroll minimum 200 Canadian patients in CERVIMAB-501 global real-world registry; submit annual Canadian cohort safety reports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First annual report 12 months post-NOC</w:t>
            </w:r>
          </w:p>
        </w:tc>
      </w:tr>
      <w:tr>
        <w:tc>
          <w:tcPr>
            <w:tcW w:type="dxa" w:w="3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PSUR / PBRER</w:t>
            </w:r>
          </w:p>
        </w:tc>
        <w:tc>
          <w:tcPr>
            <w:tcW w:type="dxa" w:w="4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Submit Periodic Benefit-Risk Evaluation Reports (PBRERs) per ICH E2C(R2); Health Canada birth date = date of first NOC</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Annual for first 2 years, then per HC guidance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CADTH HTA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submission to CADTH CDR immediately upon NDS filing; support for CADTH re-review if required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Concurrent with NDS — in progress</w:t>
            </w:r>
          </w:p>
        </w:tc>
      </w:tr>
    </w:tbl>
    <w:p>
      <w:pPr>
        <w:spacing w:before="60" w:after="60"/>
      </w:pPr>
      <w:r>
        <w:t xml:space="preserve"/>
      </w:r>
    </w:p>
    <w:p>
      <w:pPr>
        <w:pBdr>
          <w:top w:val="single" w:color="C41E3A" w:sz="8" w:space="8"/>
        </w:pBdr>
        <w:spacing w:before="360" w:after="120"/>
        <w:jc w:val="center"/>
      </w:pPr>
      <w:r>
        <w:rPr>
          <w:rFonts w:ascii="Arial" w:cs="Arial" w:eastAsia="Arial" w:hAnsi="Arial"/>
          <w:b/>
          <w:bCs/>
          <w:color w:val="8B0000"/>
          <w:sz w:val="22"/>
          <w:szCs w:val="22"/>
        </w:rPr>
        <w:t xml:space="preserve">— END OF HEALTH CANADA NEW DRUG SUBMISSION — CERVIMAB —</w:t>
      </w:r>
    </w:p>
    <w:p>
      <w:pPr>
        <w:spacing w:before="40" w:after="40"/>
        <w:jc w:val="center"/>
      </w:pPr>
      <w:r>
        <w:rPr>
          <w:rFonts w:ascii="Arial" w:cs="Arial" w:eastAsia="Arial" w:hAnsi="Arial"/>
          <w:b/>
          <w:bCs/>
          <w:color w:val="CC0000"/>
          <w:sz w:val="18"/>
          <w:szCs w:val="18"/>
        </w:rPr>
        <w:t xml:space="preserve">CONFIDENTIAL — SUBMITTED TO HEALTH CANADA / SANTÉ CANADA — NOT FOR DISTRIBUTION</w:t>
      </w:r>
    </w:p>
    <w:p>
      <w:pPr>
        <w:spacing w:before="20" w:after="20"/>
        <w:jc w:val="center"/>
      </w:pPr>
      <w:r>
        <w:rPr>
          <w:rFonts w:ascii="Arial" w:cs="Arial" w:eastAsia="Arial" w:hAnsi="Arial"/>
          <w:i/>
          <w:iCs/>
          <w:color w:val="666666"/>
          <w:sz w:val="18"/>
          <w:szCs w:val="18"/>
        </w:rPr>
        <w:t xml:space="preserve">CONFIDENTIEL — SOUMIS À SANTÉ CANADA — NE PAS DIFFUSER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1E3A" w:sz="4" w:space="4"/>
      </w:pBdr>
      <w:tabs>
        <w:tab w:val="right" w:pos="9360"/>
      </w:tabs>
    </w:pPr>
    <w:r>
      <w:rPr>
        <w:rFonts w:ascii="Arial" w:cs="Arial" w:eastAsia="Arial" w:hAnsi="Arial"/>
        <w:color w:val="777777"/>
        <w:sz w:val="16"/>
        <w:szCs w:val="16"/>
      </w:rPr>
      <w:t xml:space="preserve">© 2025 Archon Biotherapeutics Canada Inc.  |  NDS CERVIMAB  |  Health Canada Submission</w:t>
    </w:r>
    <w:r>
      <w:rPr>
        <w:rFonts w:ascii="Arial" w:cs="Arial" w:eastAsia="Arial" w:hAnsi="Arial"/>
        <w:color w:val="777777"/>
        <w:sz w:val="16"/>
        <w:szCs w:val="16"/>
      </w:rPr>
      <w:t xml:space="preserve">	Page </w:t>
    </w:r>
    <w:r>
      <w:rPr>
        <w:rFonts w:ascii="Arial" w:cs="Arial" w:eastAsia="Arial" w:hAnsi="Arial"/>
        <w:color w:val="777777"/>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E3A" w:sz="6" w:space="4"/>
      </w:pBdr>
    </w:pPr>
    <w:r>
      <w:rPr>
        <w:rFonts w:ascii="Arial" w:cs="Arial" w:eastAsia="Arial" w:hAnsi="Arial"/>
        <w:color w:val="555555"/>
        <w:sz w:val="18"/>
        <w:szCs w:val="18"/>
      </w:rPr>
      <w:t xml:space="preserve">CERVIMAB — Health Canada New Drug Submission (NDS)  |  Control No. [to be assigned]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8B000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C41E3A"/>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2026-03-16T14:21:38.480Z</dcterms:created>
  <dcterms:modified xsi:type="dcterms:W3CDTF">2026-03-16T14:21:38.481Z</dcterms:modified>
</cp:coreProperties>
</file>

<file path=docProps/custom.xml><?xml version="1.0" encoding="utf-8"?>
<Properties xmlns="http://schemas.openxmlformats.org/officeDocument/2006/custom-properties" xmlns:vt="http://schemas.openxmlformats.org/officeDocument/2006/docPropsVTypes"/>
</file>