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0" w:after="80"/>
        <w:jc w:val="center"/>
      </w:pPr>
      <w:r>
        <w:rPr>
          <w:rFonts w:ascii="Arial" w:cs="Arial" w:eastAsia="Arial" w:hAnsi="Arial"/>
          <w:b/>
          <w:bCs/>
          <w:color w:val="1F3864"/>
          <w:sz w:val="28"/>
          <w:szCs w:val="28"/>
        </w:rPr>
        <w:t xml:space="preserve">NovaMed Biosciences, Inc.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12"/>
              <w:right w:val="single" w:color="1F3864" w:sz="4"/>
            </w:tcBorders>
            <w:shd w:fill="EBF2FA" w:val="clear"/>
            <w:tcMar>
              <w:top w:type="dxa" w:w="240"/>
              <w:left w:type="dxa" w:w="360"/>
              <w:bottom w:type="dxa" w:w="240"/>
              <w:right w:type="dxa" w:w="360"/>
            </w:tcMar>
          </w:tcPr>
          <w:p>
            <w:pPr>
              <w:spacing w:before="40" w:after="40"/>
              <w:jc w:val="center"/>
            </w:pPr>
            <w:r>
              <w:rPr>
                <w:rFonts w:ascii="Arial" w:cs="Arial" w:eastAsia="Arial" w:hAnsi="Arial"/>
                <w:b/>
                <w:bCs/>
                <w:color w:val="1F3864"/>
                <w:sz w:val="28"/>
                <w:szCs w:val="28"/>
              </w:rPr>
              <w:t xml:space="preserve">CLINICAL PHARMACOLOGY STUDY PROTOCOL</w:t>
            </w:r>
          </w:p>
          <w:p>
            <w:pPr>
              <w:spacing w:before="40" w:after="40"/>
              <w:jc w:val="center"/>
            </w:pPr>
            <w:r>
              <w:rPr>
                <w:rFonts w:ascii="Arial" w:cs="Arial" w:eastAsia="Arial" w:hAnsi="Arial"/>
                <w:b/>
                <w:bCs/>
                <w:color w:val="333333"/>
                <w:sz w:val="24"/>
                <w:szCs w:val="24"/>
              </w:rPr>
              <w:t xml:space="preserve">Special Population Pharmacokinetics Study:</w:t>
            </w:r>
          </w:p>
          <w:p>
            <w:pPr>
              <w:spacing w:before="40" w:after="40"/>
              <w:jc w:val="center"/>
            </w:pPr>
            <w:r>
              <w:rPr>
                <w:rFonts w:ascii="Arial" w:cs="Arial" w:eastAsia="Arial" w:hAnsi="Arial"/>
                <w:b/>
                <w:bCs/>
                <w:color w:val="333333"/>
                <w:sz w:val="24"/>
                <w:szCs w:val="24"/>
              </w:rPr>
              <w:t xml:space="preserve">CERVIMAB in Subjects with Renal and Hepatic Impairment</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b/>
                <w:bCs/>
                <w:color w:val="555555"/>
                <w:sz w:val="20"/>
                <w:szCs w:val="20"/>
              </w:rPr>
              <w:t xml:space="preserve">Protocol Number:</w:t>
            </w:r>
          </w:p>
          <w:p>
            <w:pPr>
              <w:spacing w:before="40" w:after="40"/>
              <w:jc w:val="center"/>
            </w:pPr>
            <w:r>
              <w:rPr>
                <w:rFonts w:ascii="Arial" w:cs="Arial" w:eastAsia="Arial" w:hAnsi="Arial"/>
                <w:color w:val="222222"/>
                <w:sz w:val="20"/>
                <w:szCs w:val="20"/>
              </w:rPr>
              <w:t xml:space="preserve">CER-SP-002</w:t>
            </w:r>
          </w:p>
          <w:p>
            <w:pPr>
              <w:spacing w:before="40" w:after="40"/>
              <w:jc w:val="center"/>
            </w:pPr>
            <w:r>
              <w:rPr>
                <w:rFonts w:ascii="Arial" w:cs="Arial" w:eastAsia="Arial" w:hAnsi="Arial"/>
                <w:b/>
                <w:bCs/>
                <w:color w:val="555555"/>
                <w:sz w:val="20"/>
                <w:szCs w:val="20"/>
              </w:rPr>
              <w:t xml:space="preserve">Study Phase:</w:t>
            </w:r>
          </w:p>
          <w:p>
            <w:pPr>
              <w:spacing w:before="40" w:after="40"/>
              <w:jc w:val="center"/>
            </w:pPr>
            <w:r>
              <w:rPr>
                <w:rFonts w:ascii="Arial" w:cs="Arial" w:eastAsia="Arial" w:hAnsi="Arial"/>
                <w:color w:val="222222"/>
                <w:sz w:val="20"/>
                <w:szCs w:val="20"/>
              </w:rPr>
              <w:t xml:space="preserve">Phase 3 — Pharmacokinetics Sub-Study (Regulatory Special Population)</w:t>
            </w:r>
          </w:p>
          <w:p>
            <w:pPr>
              <w:spacing w:before="40" w:after="40"/>
              <w:jc w:val="center"/>
            </w:pPr>
            <w:r>
              <w:rPr>
                <w:rFonts w:ascii="Arial" w:cs="Arial" w:eastAsia="Arial" w:hAnsi="Arial"/>
                <w:b/>
                <w:bCs/>
                <w:color w:val="555555"/>
                <w:sz w:val="20"/>
                <w:szCs w:val="20"/>
              </w:rPr>
              <w:t xml:space="preserve">Version:</w:t>
            </w:r>
          </w:p>
          <w:p>
            <w:pPr>
              <w:spacing w:before="40" w:after="40"/>
              <w:jc w:val="center"/>
            </w:pPr>
            <w:r>
              <w:rPr>
                <w:rFonts w:ascii="Arial" w:cs="Arial" w:eastAsia="Arial" w:hAnsi="Arial"/>
                <w:color w:val="222222"/>
                <w:sz w:val="20"/>
                <w:szCs w:val="20"/>
              </w:rPr>
              <w:t xml:space="preserve">Version 1.0  |  Date: [DRAFT — NOT FOR CLINICAL USE]</w:t>
            </w:r>
          </w:p>
          <w:p>
            <w:pPr>
              <w:spacing w:before="40" w:after="40"/>
              <w:jc w:val="center"/>
            </w:pPr>
            <w:r>
              <w:rPr>
                <w:rFonts w:ascii="Arial" w:cs="Arial" w:eastAsia="Arial" w:hAnsi="Arial"/>
                <w:sz w:val="18"/>
                <w:szCs w:val="18"/>
              </w:rPr>
              <w:t xml:space="preserve"/>
            </w:r>
          </w:p>
          <w:p>
            <w:pPr>
              <w:spacing w:before="40" w:after="40"/>
              <w:jc w:val="center"/>
            </w:pPr>
            <w:r>
              <w:rPr>
                <w:rFonts w:ascii="Arial" w:cs="Arial" w:eastAsia="Arial" w:hAnsi="Arial"/>
                <w:color w:val="555555"/>
                <w:sz w:val="18"/>
                <w:szCs w:val="18"/>
              </w:rPr>
              <w:t xml:space="preserve">Per FDA Guidance: Pharmacokinetics in Patients with Impaired Renal/Hepatic Function (2010, 2020)</w:t>
            </w:r>
          </w:p>
          <w:p>
            <w:pPr>
              <w:spacing w:before="40" w:after="40"/>
              <w:jc w:val="center"/>
            </w:pPr>
            <w:r>
              <w:rPr>
                <w:rFonts w:ascii="Arial" w:cs="Arial" w:eastAsia="Arial" w:hAnsi="Arial"/>
                <w:sz w:val="14"/>
                <w:szCs w:val="14"/>
              </w:rPr>
              <w:t xml:space="preserve"/>
            </w:r>
          </w:p>
          <w:p>
            <w:pPr>
              <w:spacing w:before="40" w:after="40"/>
              <w:jc w:val="center"/>
            </w:pPr>
            <w:r>
              <w:rPr>
                <w:rFonts w:ascii="Arial" w:cs="Arial" w:eastAsia="Arial" w:hAnsi="Arial"/>
                <w:b/>
                <w:bCs/>
                <w:color w:val="8B0000"/>
                <w:sz w:val="18"/>
                <w:szCs w:val="18"/>
              </w:rPr>
              <w:t xml:space="preserve">CONFIDENTIAL — FOR REGULATORY SUBMISSION ONLY</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CEA" w:val="clear"/>
            <w:tcMar>
              <w:top w:type="dxa" w:w="100"/>
              <w:left w:type="dxa" w:w="160"/>
              <w:bottom w:type="dxa" w:w="100"/>
              <w:right w:type="dxa" w:w="160"/>
            </w:tcMar>
          </w:tcPr>
          <w:p>
            <w:pPr>
              <w:spacing w:before="40" w:after="40"/>
            </w:pPr>
            <w:r>
              <w:rPr>
                <w:rFonts w:ascii="Arial" w:cs="Arial" w:eastAsia="Arial" w:hAnsi="Arial"/>
                <w:b/>
                <w:bCs/>
                <w:color w:val="8B0000"/>
                <w:sz w:val="18"/>
                <w:szCs w:val="18"/>
              </w:rPr>
              <w:t xml:space="preserve">WARNING: </w:t>
            </w:r>
            <w:r>
              <w:rPr>
                <w:rFonts w:ascii="Arial" w:cs="Arial" w:eastAsia="Arial" w:hAnsi="Arial"/>
                <w:color w:val="5C0000"/>
                <w:sz w:val="18"/>
                <w:szCs w:val="18"/>
              </w:rPr>
              <w:t xml:space="preserve">This protocol is a fictional example for regulatory training only. CER-SP-002 and all associated data are illustrative. Reference FDA Guidance for Industry: Pharmacokinetics in Patients with Impaired Renal Function (2010) and Pharmacokinetics in Patients with Impaired Hepatic Function (2003, updated 2020).</w:t>
            </w:r>
          </w:p>
        </w:tc>
      </w:tr>
    </w:tbl>
    <w:p>
      <w:pPr>
        <w:spacing w:before="60" w:after="60"/>
      </w:pPr>
      <w:r>
        <w:t xml:space="preserve"/>
      </w:r>
    </w:p>
    <w:p>
      <w:pPr>
        <w:pStyle w:val="Heading1"/>
        <w:pBdr>
          <w:bottom w:val="single" w:color="1F3864" w:sz="8" w:space="4"/>
        </w:pBdr>
        <w:spacing w:before="320" w:after="160"/>
      </w:pPr>
      <w:r>
        <w:rPr>
          <w:rFonts w:ascii="Arial" w:cs="Arial" w:eastAsia="Arial" w:hAnsi="Arial"/>
          <w:b/>
          <w:bCs/>
          <w:color w:val="1F3864"/>
          <w:sz w:val="28"/>
          <w:szCs w:val="28"/>
        </w:rPr>
        <w:t xml:space="preserve">1. PROTOCOL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Pharmacokinetics and Safety of CERVIMAB in Subjects with Renal Impairment or Hepatic Impairment</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Protocol Number</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CER-SP-002</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Type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Open-label, parallel-group, Phase 3 clinical pharmacology sub-study</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Drug</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CERVIMAB 400 mg IV infusion (single dose for PK; optional continued therapy</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Primary Objective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Evaluate the PK of CERVIMAB in subjects with mild, moderate, and severe renal or hepatic impairment relative to matched controls with normal organ function</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Primary Endpoints</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AUC0-inf, Cmax, Cmin (trough), t1/2, CL, Vd for CERVIMAB by organ impairment group</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Secondary Endpoints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Safety/tolerability by organ function group; immunogenicity (ADA); exploratory PD markers</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Study Population</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Adults with dMMR/MSI-H mCRC (or other solid tumors for organ function cohorts) with varying degrees of renal or hepatic impairment</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Sample Size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Renal cohorts: n=8/group × 4 groups = 32; Hepatic cohorts: n=8/group × 4 groups = 32; Total N≈64–80</w:t>
            </w:r>
          </w:p>
        </w:tc>
      </w:tr>
      <w:tr>
        <w:tc>
          <w:tcPr>
            <w:tcW w:type="dxa" w:w="2800"/>
            <w:tcBorders>
              <w:top w:val="single" w:color="AAAAAA" w:sz="1"/>
              <w:left w:val="single" w:color="AAAAAA" w:sz="1"/>
              <w:bottom w:val="single" w:color="AAAAAA" w:sz="1"/>
              <w:right w:val="single" w:color="AAAAAA" w:sz="1"/>
            </w:tcBorders>
            <w:shd w:fill="DDEEF8" w:val="clear"/>
            <w:tcMar>
              <w:top w:type="dxa" w:w="80"/>
              <w:left w:type="dxa" w:w="120"/>
              <w:bottom w:type="dxa" w:w="80"/>
              <w:right w:type="dxa" w:w="120"/>
            </w:tcMar>
          </w:tcPr>
          <w:p>
            <w:pPr>
              <w:spacing w:before="40" w:after="40"/>
            </w:pPr>
            <w:r>
              <w:rPr>
                <w:rFonts w:ascii="Arial" w:cs="Arial" w:eastAsia="Arial" w:hAnsi="Arial"/>
                <w:b/>
                <w:bCs/>
                <w:color w:val="1F3864"/>
                <w:sz w:val="18"/>
                <w:szCs w:val="18"/>
              </w:rPr>
              <w:t xml:space="preserve">Regulatory Basis</w:t>
            </w:r>
          </w:p>
        </w:tc>
        <w:tc>
          <w:tcPr>
            <w:tcW w:type="dxa" w:w="6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spacing w:before="40" w:after="40"/>
            </w:pPr>
            <w:r>
              <w:rPr>
                <w:rFonts w:ascii="Arial" w:cs="Arial" w:eastAsia="Arial" w:hAnsi="Arial"/>
                <w:sz w:val="18"/>
                <w:szCs w:val="18"/>
              </w:rPr>
              <w:t xml:space="preserve">FDA Guidance: Pharmacokinetics in Patients with Impaired Renal Function (2010); Pharmacokinetics in Patients with Impaired Hepatic Function (2020 update)</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2. BACKGROUND AND SCIENTIFIC RATIONALE</w:t>
      </w:r>
    </w:p>
    <w:p>
      <w:pPr>
        <w:pStyle w:val="Heading2"/>
        <w:spacing w:before="240" w:after="120"/>
      </w:pPr>
      <w:r>
        <w:rPr>
          <w:rFonts w:ascii="Arial" w:cs="Arial" w:eastAsia="Arial" w:hAnsi="Arial"/>
          <w:b/>
          <w:bCs/>
          <w:color w:val="2E5F9E"/>
          <w:sz w:val="24"/>
          <w:szCs w:val="24"/>
        </w:rPr>
        <w:t xml:space="preserve">2.1  CERVIMAB Pharmacokinetics Overview</w:t>
      </w:r>
    </w:p>
    <w:p>
      <w:pPr>
        <w:spacing w:before="60" w:after="60"/>
      </w:pPr>
      <w:r>
        <w:rPr>
          <w:rFonts w:ascii="Arial" w:cs="Arial" w:eastAsia="Arial" w:hAnsi="Arial"/>
          <w:b w:val="false"/>
          <w:bCs w:val="false"/>
          <w:color w:val="111111"/>
          <w:sz w:val="20"/>
          <w:szCs w:val="20"/>
        </w:rPr>
        <w:t xml:space="preserve">CERVIMAB is a humanized IgG4κ monoclonal antibody targeting the PD-1 receptor. As a large molecular weight protein therapeutic (~147 kDa), CERVIMAB is primarily eliminated via proteolytic catabolism rather than renal filtration or hepatic enzymatic metabolism. Nonetheless, FDA and EMA guidance documents require dedicated pharmacokinetic studies in patients with organ impairment for all novel biologics seeking regulatory approval.</w:t>
      </w:r>
    </w:p>
    <w:p>
      <w:pPr>
        <w:spacing w:before="60" w:after="60"/>
      </w:pPr>
      <w:r>
        <w:t xml:space="preserve"/>
      </w:r>
    </w:p>
    <w:p>
      <w:pPr>
        <w:spacing w:before="60" w:after="60"/>
      </w:pPr>
      <w:r>
        <w:rPr>
          <w:rFonts w:ascii="Arial" w:cs="Arial" w:eastAsia="Arial" w:hAnsi="Arial"/>
          <w:b w:val="false"/>
          <w:bCs w:val="false"/>
          <w:color w:val="111111"/>
          <w:sz w:val="20"/>
          <w:szCs w:val="20"/>
        </w:rPr>
        <w:t xml:space="preserve">Population PK data from the Phase 1/2 CER-101 study (N=186) and the Phase 3 CER-301 study (N=420) suggest that mild-to-moderate renal impairment (eGFR 30–89 mL/min/1.73 m²) does not meaningfully alter CERVIMAB systemic exposure. However, data in subjects with severe renal impairment (eGFR &lt;30 mL/min/1.73 m², not on dialysis) and end-stage renal disease (ESRD) are limited (n&lt;10 total across studies). Similarly, subjects with moderate-to-severe hepatic impairment (Child-Pugh B and C) have been systematically excluded from prior CERVIMAB studies.</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2.2  Regulatory Requirement</w:t>
      </w:r>
    </w:p>
    <w:p>
      <w:pPr>
        <w:spacing w:before="60" w:after="60"/>
      </w:pPr>
      <w:r>
        <w:rPr>
          <w:rFonts w:ascii="Arial" w:cs="Arial" w:eastAsia="Arial" w:hAnsi="Arial"/>
          <w:b w:val="false"/>
          <w:bCs w:val="false"/>
          <w:color w:val="111111"/>
          <w:sz w:val="20"/>
          <w:szCs w:val="20"/>
        </w:rPr>
        <w:t xml:space="preserve">Per FDA Guidance for Industry — Pharmacokinetics in Patients with Impaired Renal Function: Study Design, Data Analysis, and Impact on Dosing and Labeling (2010) and the associated draft update (2020), a dedicated clinical study is required when:</w:t>
      </w:r>
    </w:p>
    <w:p>
      <w:pPr>
        <w:pStyle w:val="ListParagraph"/>
        <w:numPr>
          <w:ilvl w:val="0"/>
          <w:numId w:val="2"/>
        </w:numPr>
        <w:spacing w:before="40" w:after="40"/>
      </w:pPr>
      <w:r>
        <w:rPr>
          <w:rFonts w:ascii="Arial" w:cs="Arial" w:eastAsia="Arial" w:hAnsi="Arial"/>
          <w:sz w:val="20"/>
          <w:szCs w:val="20"/>
        </w:rPr>
        <w:t xml:space="preserve">The drug or active metabolites are renally excreted OR renal impairment may affect drug disposition through indirect mechanisms (protein binding, secondary organ effects)</w:t>
      </w:r>
    </w:p>
    <w:p>
      <w:pPr>
        <w:pStyle w:val="ListParagraph"/>
        <w:numPr>
          <w:ilvl w:val="0"/>
          <w:numId w:val="2"/>
        </w:numPr>
        <w:spacing w:before="40" w:after="40"/>
      </w:pPr>
      <w:r>
        <w:rPr>
          <w:rFonts w:ascii="Arial" w:cs="Arial" w:eastAsia="Arial" w:hAnsi="Arial"/>
          <w:sz w:val="20"/>
          <w:szCs w:val="20"/>
        </w:rPr>
        <w:t xml:space="preserve">Existing data do not adequately characterize the PK across the full spectrum of impairment</w:t>
      </w:r>
    </w:p>
    <w:p>
      <w:pPr>
        <w:pStyle w:val="ListParagraph"/>
        <w:numPr>
          <w:ilvl w:val="0"/>
          <w:numId w:val="2"/>
        </w:numPr>
        <w:spacing w:before="40" w:after="40"/>
      </w:pPr>
      <w:r>
        <w:rPr>
          <w:rFonts w:ascii="Arial" w:cs="Arial" w:eastAsia="Arial" w:hAnsi="Arial"/>
          <w:sz w:val="20"/>
          <w:szCs w:val="20"/>
        </w:rPr>
        <w:t xml:space="preserve">Post-marketing labeling will include dosing guidance for impaired populations</w:t>
      </w:r>
    </w:p>
    <w:p>
      <w:pPr>
        <w:spacing w:before="60" w:after="60"/>
      </w:pPr>
      <w:r>
        <w:t xml:space="preserve"/>
      </w:r>
    </w:p>
    <w:p>
      <w:pPr>
        <w:spacing w:before="60" w:after="60"/>
      </w:pPr>
      <w:r>
        <w:rPr>
          <w:rFonts w:ascii="Arial" w:cs="Arial" w:eastAsia="Arial" w:hAnsi="Arial"/>
          <w:b w:val="false"/>
          <w:bCs w:val="false"/>
          <w:color w:val="111111"/>
          <w:sz w:val="20"/>
          <w:szCs w:val="20"/>
        </w:rPr>
        <w:t xml:space="preserve">The study design follows the FDA-recommended parallel-group approach (preferred over the reduced study design given the planned broad patient population in the CERVIMAB NDA).</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3. STUDY DESIGN</w:t>
      </w:r>
    </w:p>
    <w:p>
      <w:pPr>
        <w:pStyle w:val="Heading2"/>
        <w:spacing w:before="240" w:after="120"/>
      </w:pPr>
      <w:r>
        <w:rPr>
          <w:rFonts w:ascii="Arial" w:cs="Arial" w:eastAsia="Arial" w:hAnsi="Arial"/>
          <w:b/>
          <w:bCs/>
          <w:color w:val="2E5F9E"/>
          <w:sz w:val="24"/>
          <w:szCs w:val="24"/>
        </w:rPr>
        <w:t xml:space="preserve">3.1  Overview</w:t>
      </w:r>
    </w:p>
    <w:p>
      <w:pPr>
        <w:spacing w:before="60" w:after="60"/>
      </w:pPr>
      <w:r>
        <w:rPr>
          <w:rFonts w:ascii="Arial" w:cs="Arial" w:eastAsia="Arial" w:hAnsi="Arial"/>
          <w:b w:val="false"/>
          <w:bCs w:val="false"/>
          <w:color w:val="111111"/>
          <w:sz w:val="20"/>
          <w:szCs w:val="20"/>
        </w:rPr>
        <w:t xml:space="preserve">CER-SP-002 is an open-label, parallel-group, multicenter study enrolling subjects across 8 organ function cohorts (4 renal + 4 hepatic), as detailed below. Each subject receives a single intravenous dose of CERVIMAB 400 mg (the intended commercial dose), followed by dense PK sampling over 70 days and an optional continued treatment period for subjects with cancer.</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3.2  Renal Impairment Cohorts</w:t>
      </w:r>
    </w:p>
    <w:p>
      <w:pPr>
        <w:spacing w:before="60" w:after="60"/>
      </w:pPr>
      <w:r>
        <w:rPr>
          <w:rFonts w:ascii="Arial" w:cs="Arial" w:eastAsia="Arial" w:hAnsi="Arial"/>
          <w:b w:val="false"/>
          <w:bCs w:val="false"/>
          <w:color w:val="111111"/>
          <w:sz w:val="20"/>
          <w:szCs w:val="20"/>
        </w:rPr>
        <w:t xml:space="preserve">Cohorts are classified per FDA guidance and KDIGO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Cohort</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Classification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eGFR (CKD-EPI)</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R1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Normal Renal Function (Control)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≥90 mL/min/1.73 m²</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R2</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Mild Renal Impairment</w:t>
            </w:r>
          </w:p>
        </w:tc>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60–89 mL/min/1.73 m²</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R3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Moderate Renal Impairment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30–59 mL/min/1.73 m²</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R4</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Severe Renal Impairment (non-dialysis)</w:t>
            </w:r>
          </w:p>
        </w:tc>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&lt;30 mL/min/1.73 m²</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E6" w:val="clear"/>
            <w:tcMar>
              <w:top w:type="dxa" w:w="100"/>
              <w:left w:type="dxa" w:w="160"/>
              <w:bottom w:type="dxa" w:w="100"/>
              <w:right w:type="dxa" w:w="160"/>
            </w:tcMar>
          </w:tcPr>
          <w:p>
            <w:pPr>
              <w:spacing w:before="40" w:after="40"/>
            </w:pPr>
            <w:r>
              <w:rPr>
                <w:rFonts w:ascii="Arial" w:cs="Arial" w:eastAsia="Arial" w:hAnsi="Arial"/>
                <w:b/>
                <w:bCs/>
                <w:color w:val="7B4800"/>
                <w:sz w:val="18"/>
                <w:szCs w:val="18"/>
              </w:rPr>
              <w:t xml:space="preserve">NOTE: </w:t>
            </w:r>
            <w:r>
              <w:rPr>
                <w:rFonts w:ascii="Arial" w:cs="Arial" w:eastAsia="Arial" w:hAnsi="Arial"/>
                <w:color w:val="5C3700"/>
                <w:sz w:val="18"/>
                <w:szCs w:val="18"/>
              </w:rPr>
              <w:t xml:space="preserve">Subjects on hemodialysis (ESRD) will be enrolled in a separate cohort (R5, n=6–8) if initial data from R4 suggest meaningful PK alteration. ESRD subjects will have PK sampling performed on non-dialysis days to assess unperturbed disposition.</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3.3  Hepatic Impairment Cohorts</w:t>
      </w:r>
    </w:p>
    <w:p>
      <w:pPr>
        <w:spacing w:before="60" w:after="60"/>
      </w:pPr>
      <w:r>
        <w:rPr>
          <w:rFonts w:ascii="Arial" w:cs="Arial" w:eastAsia="Arial" w:hAnsi="Arial"/>
          <w:b w:val="false"/>
          <w:bCs w:val="false"/>
          <w:color w:val="111111"/>
          <w:sz w:val="20"/>
          <w:szCs w:val="20"/>
        </w:rPr>
        <w:t xml:space="preserve">Cohorts are classified per the Child-Pugh scoring system (FDA recommended for hepatic impairment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Cohort</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Classification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Child-Pugh Score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H1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Normal Hepatic Function (Control)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Healthy/Normal</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H2</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Mild Hepatic Impairment</w:t>
            </w:r>
          </w:p>
        </w:tc>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Child-Pugh A (5–6 pts)</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H3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Moderate Hepatic Impairment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Child-Pugh B (7–9 pts)</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H4</w:t>
            </w:r>
          </w:p>
        </w:tc>
        <w:tc>
          <w:tcPr>
            <w:tcW w:type="dxa" w:w="26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Severe Hepatic Impairment</w:t>
            </w:r>
          </w:p>
        </w:tc>
        <w:tc>
          <w:tcPr>
            <w:tcW w:type="dxa" w:w="24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Child-Pugh C (10–15 pts)</w:t>
            </w:r>
          </w:p>
        </w:tc>
        <w:tc>
          <w:tcPr>
            <w:tcW w:type="dxa" w:w="2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8</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DECEA" w:val="clear"/>
            <w:tcMar>
              <w:top w:type="dxa" w:w="100"/>
              <w:left w:type="dxa" w:w="160"/>
              <w:bottom w:type="dxa" w:w="100"/>
              <w:right w:type="dxa" w:w="160"/>
            </w:tcMar>
          </w:tcPr>
          <w:p>
            <w:pPr>
              <w:spacing w:before="40" w:after="40"/>
            </w:pPr>
            <w:r>
              <w:rPr>
                <w:rFonts w:ascii="Arial" w:cs="Arial" w:eastAsia="Arial" w:hAnsi="Arial"/>
                <w:b/>
                <w:bCs/>
                <w:color w:val="8B0000"/>
                <w:sz w:val="18"/>
                <w:szCs w:val="18"/>
              </w:rPr>
              <w:t xml:space="preserve">WARNING: </w:t>
            </w:r>
            <w:r>
              <w:rPr>
                <w:rFonts w:ascii="Arial" w:cs="Arial" w:eastAsia="Arial" w:hAnsi="Arial"/>
                <w:color w:val="5C0000"/>
                <w:sz w:val="18"/>
                <w:szCs w:val="18"/>
              </w:rPr>
              <w:t xml:space="preserve">Child-Pugh C (severe hepatic impairment) subjects will require enhanced safety monitoring and pre-specified stopping rules due to risk of impaired coagulation, encephalopathy exacerbation, and heightened irAE susceptibility from altered immune homeostasis.</w:t>
            </w:r>
          </w:p>
        </w:tc>
      </w:tr>
    </w:tbl>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4. ELIGIBILITY CRITERIA</w:t>
      </w:r>
    </w:p>
    <w:p>
      <w:pPr>
        <w:pStyle w:val="Heading2"/>
        <w:spacing w:before="240" w:after="120"/>
      </w:pPr>
      <w:r>
        <w:rPr>
          <w:rFonts w:ascii="Arial" w:cs="Arial" w:eastAsia="Arial" w:hAnsi="Arial"/>
          <w:b/>
          <w:bCs/>
          <w:color w:val="2E5F9E"/>
          <w:sz w:val="24"/>
          <w:szCs w:val="24"/>
        </w:rPr>
        <w:t xml:space="preserve">4.1  Inclusion Criteria — All Cohorts</w:t>
      </w:r>
    </w:p>
    <w:p>
      <w:pPr>
        <w:pStyle w:val="ListParagraph"/>
        <w:numPr>
          <w:ilvl w:val="0"/>
          <w:numId w:val="2"/>
        </w:numPr>
        <w:spacing w:before="40" w:after="40"/>
      </w:pPr>
      <w:r>
        <w:rPr>
          <w:rFonts w:ascii="Arial" w:cs="Arial" w:eastAsia="Arial" w:hAnsi="Arial"/>
          <w:sz w:val="20"/>
          <w:szCs w:val="20"/>
        </w:rPr>
        <w:t xml:space="preserve">Adults ≥18 years of age</w:t>
      </w:r>
    </w:p>
    <w:p>
      <w:pPr>
        <w:pStyle w:val="ListParagraph"/>
        <w:numPr>
          <w:ilvl w:val="0"/>
          <w:numId w:val="2"/>
        </w:numPr>
        <w:spacing w:before="40" w:after="40"/>
      </w:pPr>
      <w:r>
        <w:rPr>
          <w:rFonts w:ascii="Arial" w:cs="Arial" w:eastAsia="Arial" w:hAnsi="Arial"/>
          <w:sz w:val="20"/>
          <w:szCs w:val="20"/>
        </w:rPr>
        <w:t xml:space="preserve">Histologically or cytologically confirmed solid tumor malignancy (dMMR/MSI-H mCRC preferred; other advanced solid tumors allowed for organ impairment cohorts if clinically appropriate)</w:t>
      </w:r>
    </w:p>
    <w:p>
      <w:pPr>
        <w:pStyle w:val="ListParagraph"/>
        <w:numPr>
          <w:ilvl w:val="0"/>
          <w:numId w:val="2"/>
        </w:numPr>
        <w:spacing w:before="40" w:after="40"/>
      </w:pPr>
      <w:r>
        <w:rPr>
          <w:rFonts w:ascii="Arial" w:cs="Arial" w:eastAsia="Arial" w:hAnsi="Arial"/>
          <w:sz w:val="20"/>
          <w:szCs w:val="20"/>
        </w:rPr>
        <w:t xml:space="preserve">Willingness to provide written informed consent</w:t>
      </w:r>
    </w:p>
    <w:p>
      <w:pPr>
        <w:pStyle w:val="ListParagraph"/>
        <w:numPr>
          <w:ilvl w:val="0"/>
          <w:numId w:val="2"/>
        </w:numPr>
        <w:spacing w:before="40" w:after="40"/>
      </w:pPr>
      <w:r>
        <w:rPr>
          <w:rFonts w:ascii="Arial" w:cs="Arial" w:eastAsia="Arial" w:hAnsi="Arial"/>
          <w:sz w:val="20"/>
          <w:szCs w:val="20"/>
        </w:rPr>
        <w:t xml:space="preserve">ECOG Performance Status 0–3 (ECOG 3 permitted only with medical monitor approval for severe impairment cohorts)</w:t>
      </w:r>
    </w:p>
    <w:p>
      <w:pPr>
        <w:pStyle w:val="ListParagraph"/>
        <w:numPr>
          <w:ilvl w:val="0"/>
          <w:numId w:val="2"/>
        </w:numPr>
        <w:spacing w:before="40" w:after="40"/>
      </w:pPr>
      <w:r>
        <w:rPr>
          <w:rFonts w:ascii="Arial" w:cs="Arial" w:eastAsia="Arial" w:hAnsi="Arial"/>
          <w:sz w:val="20"/>
          <w:szCs w:val="20"/>
        </w:rPr>
        <w:t xml:space="preserve">Life expectancy ≥3 months (≥6 months for optional continued treatment)</w:t>
      </w:r>
    </w:p>
    <w:p>
      <w:pPr>
        <w:pStyle w:val="ListParagraph"/>
        <w:numPr>
          <w:ilvl w:val="0"/>
          <w:numId w:val="2"/>
        </w:numPr>
        <w:spacing w:before="40" w:after="40"/>
      </w:pPr>
      <w:r>
        <w:rPr>
          <w:rFonts w:ascii="Arial" w:cs="Arial" w:eastAsia="Arial" w:hAnsi="Arial"/>
          <w:sz w:val="20"/>
          <w:szCs w:val="20"/>
        </w:rPr>
        <w:t xml:space="preserve">Adequate contraception in subjects of childbearing potential</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4.2  Cohort-Specific Inclusion Criteria</w:t>
      </w:r>
    </w:p>
    <w:p>
      <w:pPr>
        <w:pStyle w:val="Heading3"/>
        <w:spacing w:before="180" w:after="80"/>
      </w:pPr>
      <w:r>
        <w:rPr>
          <w:rFonts w:ascii="Arial" w:cs="Arial" w:eastAsia="Arial" w:hAnsi="Arial"/>
          <w:b/>
          <w:bCs/>
          <w:color w:val="333333"/>
          <w:sz w:val="22"/>
          <w:szCs w:val="22"/>
        </w:rPr>
        <w:t xml:space="preserve">Renal Impairment Cohorts (R2–R4):</w:t>
      </w:r>
    </w:p>
    <w:p>
      <w:pPr>
        <w:pStyle w:val="ListParagraph"/>
        <w:numPr>
          <w:ilvl w:val="0"/>
          <w:numId w:val="3"/>
        </w:numPr>
        <w:spacing w:before="40" w:after="40"/>
      </w:pPr>
      <w:r>
        <w:rPr>
          <w:rFonts w:ascii="Arial" w:cs="Arial" w:eastAsia="Arial" w:hAnsi="Arial"/>
          <w:sz w:val="20"/>
          <w:szCs w:val="20"/>
        </w:rPr>
        <w:t xml:space="preserve">Confirmed stable chronic kidney disease (CKD) per KDIGO criteria; eGFR must be stable (±20%) over 3 months prior to enrollment</w:t>
      </w:r>
    </w:p>
    <w:p>
      <w:pPr>
        <w:pStyle w:val="ListParagraph"/>
        <w:numPr>
          <w:ilvl w:val="0"/>
          <w:numId w:val="3"/>
        </w:numPr>
        <w:spacing w:before="40" w:after="40"/>
      </w:pPr>
      <w:r>
        <w:rPr>
          <w:rFonts w:ascii="Arial" w:cs="Arial" w:eastAsia="Arial" w:hAnsi="Arial"/>
          <w:sz w:val="20"/>
          <w:szCs w:val="20"/>
        </w:rPr>
        <w:t xml:space="preserve">Not requiring acute dialysis initiation within 3 months of enrollment</w:t>
      </w:r>
    </w:p>
    <w:p>
      <w:pPr>
        <w:spacing w:before="60" w:after="60"/>
      </w:pPr>
      <w:r>
        <w:t xml:space="preserve"/>
      </w:r>
    </w:p>
    <w:p>
      <w:pPr>
        <w:pStyle w:val="Heading3"/>
        <w:spacing w:before="180" w:after="80"/>
      </w:pPr>
      <w:r>
        <w:rPr>
          <w:rFonts w:ascii="Arial" w:cs="Arial" w:eastAsia="Arial" w:hAnsi="Arial"/>
          <w:b/>
          <w:bCs/>
          <w:color w:val="333333"/>
          <w:sz w:val="22"/>
          <w:szCs w:val="22"/>
        </w:rPr>
        <w:t xml:space="preserve">Hepatic Impairment Cohorts (H2–H4):</w:t>
      </w:r>
    </w:p>
    <w:p>
      <w:pPr>
        <w:pStyle w:val="ListParagraph"/>
        <w:numPr>
          <w:ilvl w:val="0"/>
          <w:numId w:val="3"/>
        </w:numPr>
        <w:spacing w:before="40" w:after="40"/>
      </w:pPr>
      <w:r>
        <w:rPr>
          <w:rFonts w:ascii="Arial" w:cs="Arial" w:eastAsia="Arial" w:hAnsi="Arial"/>
          <w:sz w:val="20"/>
          <w:szCs w:val="20"/>
        </w:rPr>
        <w:t xml:space="preserve">Confirmed chronic liver disease (CLD) of any etiology with Child-Pugh classification as specified per cohort</w:t>
      </w:r>
    </w:p>
    <w:p>
      <w:pPr>
        <w:pStyle w:val="ListParagraph"/>
        <w:numPr>
          <w:ilvl w:val="0"/>
          <w:numId w:val="3"/>
        </w:numPr>
        <w:spacing w:before="40" w:after="40"/>
      </w:pPr>
      <w:r>
        <w:rPr>
          <w:rFonts w:ascii="Arial" w:cs="Arial" w:eastAsia="Arial" w:hAnsi="Arial"/>
          <w:sz w:val="20"/>
          <w:szCs w:val="20"/>
        </w:rPr>
        <w:t xml:space="preserve">Stable liver function for ≥4 weeks prior to enrollment (no acute hepatic decompensation)</w:t>
      </w:r>
    </w:p>
    <w:p>
      <w:pPr>
        <w:pStyle w:val="ListParagraph"/>
        <w:numPr>
          <w:ilvl w:val="0"/>
          <w:numId w:val="3"/>
        </w:numPr>
        <w:spacing w:before="40" w:after="40"/>
      </w:pPr>
      <w:r>
        <w:rPr>
          <w:rFonts w:ascii="Arial" w:cs="Arial" w:eastAsia="Arial" w:hAnsi="Arial"/>
          <w:sz w:val="20"/>
          <w:szCs w:val="20"/>
        </w:rPr>
        <w:t xml:space="preserve">For H4 (Child-Pugh C): Albumin ≥2.0 g/dL; INR ≤3.0; No active Grade ≥2 hepatic encephalopathy at screening</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4.3  Exclusion Criteria</w:t>
      </w:r>
    </w:p>
    <w:p>
      <w:pPr>
        <w:pStyle w:val="ListParagraph"/>
        <w:numPr>
          <w:ilvl w:val="0"/>
          <w:numId w:val="2"/>
        </w:numPr>
        <w:spacing w:before="40" w:after="40"/>
      </w:pPr>
      <w:r>
        <w:rPr>
          <w:rFonts w:ascii="Arial" w:cs="Arial" w:eastAsia="Arial" w:hAnsi="Arial"/>
          <w:sz w:val="20"/>
          <w:szCs w:val="20"/>
        </w:rPr>
        <w:t xml:space="preserve">Active, uncontrolled autoimmune disease requiring systemic immunosuppressive therapy</w:t>
      </w:r>
    </w:p>
    <w:p>
      <w:pPr>
        <w:pStyle w:val="ListParagraph"/>
        <w:numPr>
          <w:ilvl w:val="0"/>
          <w:numId w:val="2"/>
        </w:numPr>
        <w:spacing w:before="40" w:after="40"/>
      </w:pPr>
      <w:r>
        <w:rPr>
          <w:rFonts w:ascii="Arial" w:cs="Arial" w:eastAsia="Arial" w:hAnsi="Arial"/>
          <w:sz w:val="20"/>
          <w:szCs w:val="20"/>
        </w:rPr>
        <w:t xml:space="preserve">Prior exposure to any anti-PD-1, anti-PD-L1, or anti-CTLA-4 agent</w:t>
      </w:r>
    </w:p>
    <w:p>
      <w:pPr>
        <w:pStyle w:val="ListParagraph"/>
        <w:numPr>
          <w:ilvl w:val="0"/>
          <w:numId w:val="2"/>
        </w:numPr>
        <w:spacing w:before="40" w:after="40"/>
      </w:pPr>
      <w:r>
        <w:rPr>
          <w:rFonts w:ascii="Arial" w:cs="Arial" w:eastAsia="Arial" w:hAnsi="Arial"/>
          <w:sz w:val="20"/>
          <w:szCs w:val="20"/>
        </w:rPr>
        <w:t xml:space="preserve">Active or prior documented hepatitis B (unless on suppressive antiviral therapy with undetectable viral load) or hepatitis C (unless achieving sustained virologic response)</w:t>
      </w:r>
    </w:p>
    <w:p>
      <w:pPr>
        <w:pStyle w:val="ListParagraph"/>
        <w:numPr>
          <w:ilvl w:val="0"/>
          <w:numId w:val="2"/>
        </w:numPr>
        <w:spacing w:before="40" w:after="40"/>
      </w:pPr>
      <w:r>
        <w:rPr>
          <w:rFonts w:ascii="Arial" w:cs="Arial" w:eastAsia="Arial" w:hAnsi="Arial"/>
          <w:sz w:val="20"/>
          <w:szCs w:val="20"/>
        </w:rPr>
        <w:t xml:space="preserve">Known HIV infection with CD4 count &lt;350 cells/μL or detectable viral load</w:t>
      </w:r>
    </w:p>
    <w:p>
      <w:pPr>
        <w:pStyle w:val="ListParagraph"/>
        <w:numPr>
          <w:ilvl w:val="0"/>
          <w:numId w:val="2"/>
        </w:numPr>
        <w:spacing w:before="40" w:after="40"/>
      </w:pPr>
      <w:r>
        <w:rPr>
          <w:rFonts w:ascii="Arial" w:cs="Arial" w:eastAsia="Arial" w:hAnsi="Arial"/>
          <w:sz w:val="20"/>
          <w:szCs w:val="20"/>
        </w:rPr>
        <w:t xml:space="preserve">Solid organ transplant or allogeneic stem cell transplant</w:t>
      </w:r>
    </w:p>
    <w:p>
      <w:pPr>
        <w:pStyle w:val="ListParagraph"/>
        <w:numPr>
          <w:ilvl w:val="0"/>
          <w:numId w:val="2"/>
        </w:numPr>
        <w:spacing w:before="40" w:after="40"/>
      </w:pPr>
      <w:r>
        <w:rPr>
          <w:rFonts w:ascii="Arial" w:cs="Arial" w:eastAsia="Arial" w:hAnsi="Arial"/>
          <w:sz w:val="20"/>
          <w:szCs w:val="20"/>
        </w:rPr>
        <w:t xml:space="preserve">Acute renal failure or acute-on-chronic kidney disease within 4 weeks of screening</w:t>
      </w:r>
    </w:p>
    <w:p>
      <w:pPr>
        <w:pStyle w:val="ListParagraph"/>
        <w:numPr>
          <w:ilvl w:val="0"/>
          <w:numId w:val="2"/>
        </w:numPr>
        <w:spacing w:before="40" w:after="40"/>
      </w:pPr>
      <w:r>
        <w:rPr>
          <w:rFonts w:ascii="Arial" w:cs="Arial" w:eastAsia="Arial" w:hAnsi="Arial"/>
          <w:sz w:val="20"/>
          <w:szCs w:val="20"/>
        </w:rPr>
        <w:t xml:space="preserve">Concurrent enrollment in any interventional clinical study with experimental therapy</w:t>
      </w:r>
    </w:p>
    <w:p>
      <w:pPr>
        <w:pStyle w:val="ListParagraph"/>
        <w:numPr>
          <w:ilvl w:val="0"/>
          <w:numId w:val="2"/>
        </w:numPr>
        <w:spacing w:before="40" w:after="40"/>
      </w:pPr>
      <w:r>
        <w:rPr>
          <w:rFonts w:ascii="Arial" w:cs="Arial" w:eastAsia="Arial" w:hAnsi="Arial"/>
          <w:sz w:val="20"/>
          <w:szCs w:val="20"/>
        </w:rPr>
        <w:t xml:space="preserve">Pregnancy or breastfeeding</w:t>
      </w:r>
    </w:p>
    <w:p>
      <w:pPr>
        <w:pStyle w:val="ListParagraph"/>
        <w:numPr>
          <w:ilvl w:val="0"/>
          <w:numId w:val="2"/>
        </w:numPr>
        <w:spacing w:before="40" w:after="40"/>
      </w:pPr>
      <w:r>
        <w:rPr>
          <w:rFonts w:ascii="Arial" w:cs="Arial" w:eastAsia="Arial" w:hAnsi="Arial"/>
          <w:sz w:val="20"/>
          <w:szCs w:val="20"/>
        </w:rPr>
        <w:t xml:space="preserve">Any condition that, in the investigator's judgment, would preclude safe participation</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5. PHARMACOKINETIC SAMPLING AND ASSESSMENTS</w:t>
      </w:r>
    </w:p>
    <w:p>
      <w:pPr>
        <w:pStyle w:val="Heading2"/>
        <w:spacing w:before="240" w:after="120"/>
      </w:pPr>
      <w:r>
        <w:rPr>
          <w:rFonts w:ascii="Arial" w:cs="Arial" w:eastAsia="Arial" w:hAnsi="Arial"/>
          <w:b/>
          <w:bCs/>
          <w:color w:val="2E5F9E"/>
          <w:sz w:val="24"/>
          <w:szCs w:val="24"/>
        </w:rPr>
        <w:t xml:space="preserve">5.1  PK Sampling Schedule</w:t>
      </w:r>
    </w:p>
    <w:p>
      <w:pPr>
        <w:spacing w:before="60" w:after="60"/>
      </w:pPr>
      <w:r>
        <w:rPr>
          <w:rFonts w:ascii="Arial" w:cs="Arial" w:eastAsia="Arial" w:hAnsi="Arial"/>
          <w:b w:val="false"/>
          <w:bCs w:val="false"/>
          <w:color w:val="111111"/>
          <w:sz w:val="20"/>
          <w:szCs w:val="20"/>
        </w:rPr>
        <w:t xml:space="preserve">All subjects will receive a single dose of CERVIMAB 400 mg IV (60-minute infusion) on Day 1, with the following PK sample collection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Timepoint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Sample Collection</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1 Pre-dose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 sample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Within 60 min before infusion start</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1 End of Infusion</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1 sample</w:t>
            </w:r>
          </w:p>
        </w:tc>
        <w:tc>
          <w:tcPr>
            <w:tcW w:type="dxa" w:w="4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Within 5 min of infusion completion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1 Post-dose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4 samples: 2h, 4h, 6h, 12h</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Dense early sampling for Cmax characterization</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2, 3, 4</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1 sample/day</w:t>
            </w:r>
          </w:p>
        </w:tc>
        <w:tc>
          <w:tcPr>
            <w:tcW w:type="dxa" w:w="4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Day 7, 10, 14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 sample/day</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Day 21, 28, 42, 56, 70</w:t>
            </w:r>
          </w:p>
        </w:tc>
        <w:tc>
          <w:tcPr>
            <w:tcW w:type="dxa" w:w="30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1 sample/day</w:t>
            </w:r>
          </w:p>
        </w:tc>
        <w:tc>
          <w:tcPr>
            <w:tcW w:type="dxa" w:w="416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Terminal phase characterization; Day 70 for t1/2 estimation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Early Termination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1 sample</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Regardless of scheduled timepoint</w:t>
            </w:r>
          </w:p>
        </w:tc>
      </w:tr>
    </w:tbl>
    <w:p>
      <w:pPr>
        <w:spacing w:before="60" w:after="60"/>
      </w:pPr>
      <w:r>
        <w:t xml:space="preserve"/>
      </w:r>
    </w:p>
    <w:p>
      <w:pPr>
        <w:spacing w:before="60" w:after="60"/>
      </w:pPr>
      <w:r>
        <w:rPr>
          <w:rFonts w:ascii="Arial" w:cs="Arial" w:eastAsia="Arial" w:hAnsi="Arial"/>
          <w:b w:val="false"/>
          <w:bCs w:val="false"/>
          <w:color w:val="111111"/>
          <w:sz w:val="20"/>
          <w:szCs w:val="20"/>
        </w:rPr>
        <w:t xml:space="preserve">Total PK blood volume: approximately 90 mL over the 70-day PK period (3 mL per time point). An additional 15 mL will be collected at pre-dose and Day 70 for immunogenicity (ADA assay) and exploratory biomarkers.</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5.2  Primary PK Parameters</w:t>
      </w:r>
    </w:p>
    <w:p>
      <w:pPr>
        <w:pStyle w:val="ListParagraph"/>
        <w:numPr>
          <w:ilvl w:val="0"/>
          <w:numId w:val="3"/>
        </w:numPr>
        <w:spacing w:before="40" w:after="40"/>
      </w:pPr>
      <w:r>
        <w:rPr>
          <w:rFonts w:ascii="Arial" w:cs="Arial" w:eastAsia="Arial" w:hAnsi="Arial"/>
          <w:sz w:val="20"/>
          <w:szCs w:val="20"/>
        </w:rPr>
        <w:t xml:space="preserve">AUC0-inf: Area under the serum concentration-time curve from time 0 to infinity</w:t>
      </w:r>
    </w:p>
    <w:p>
      <w:pPr>
        <w:pStyle w:val="ListParagraph"/>
        <w:numPr>
          <w:ilvl w:val="0"/>
          <w:numId w:val="3"/>
        </w:numPr>
        <w:spacing w:before="40" w:after="40"/>
      </w:pPr>
      <w:r>
        <w:rPr>
          <w:rFonts w:ascii="Arial" w:cs="Arial" w:eastAsia="Arial" w:hAnsi="Arial"/>
          <w:sz w:val="20"/>
          <w:szCs w:val="20"/>
        </w:rPr>
        <w:t xml:space="preserve">AUC0-t: AUC to last quantifiable time point</w:t>
      </w:r>
    </w:p>
    <w:p>
      <w:pPr>
        <w:pStyle w:val="ListParagraph"/>
        <w:numPr>
          <w:ilvl w:val="0"/>
          <w:numId w:val="3"/>
        </w:numPr>
        <w:spacing w:before="40" w:after="40"/>
      </w:pPr>
      <w:r>
        <w:rPr>
          <w:rFonts w:ascii="Arial" w:cs="Arial" w:eastAsia="Arial" w:hAnsi="Arial"/>
          <w:sz w:val="20"/>
          <w:szCs w:val="20"/>
        </w:rPr>
        <w:t xml:space="preserve">Cmax: Maximum observed serum concentration</w:t>
      </w:r>
    </w:p>
    <w:p>
      <w:pPr>
        <w:pStyle w:val="ListParagraph"/>
        <w:numPr>
          <w:ilvl w:val="0"/>
          <w:numId w:val="3"/>
        </w:numPr>
        <w:spacing w:before="40" w:after="40"/>
      </w:pPr>
      <w:r>
        <w:rPr>
          <w:rFonts w:ascii="Arial" w:cs="Arial" w:eastAsia="Arial" w:hAnsi="Arial"/>
          <w:sz w:val="20"/>
          <w:szCs w:val="20"/>
        </w:rPr>
        <w:t xml:space="preserve">tmax: Time to Cmax</w:t>
      </w:r>
    </w:p>
    <w:p>
      <w:pPr>
        <w:pStyle w:val="ListParagraph"/>
        <w:numPr>
          <w:ilvl w:val="0"/>
          <w:numId w:val="3"/>
        </w:numPr>
        <w:spacing w:before="40" w:after="40"/>
      </w:pPr>
      <w:r>
        <w:rPr>
          <w:rFonts w:ascii="Arial" w:cs="Arial" w:eastAsia="Arial" w:hAnsi="Arial"/>
          <w:sz w:val="20"/>
          <w:szCs w:val="20"/>
        </w:rPr>
        <w:t xml:space="preserve">t1/2: Terminal elimination half-life</w:t>
      </w:r>
    </w:p>
    <w:p>
      <w:pPr>
        <w:pStyle w:val="ListParagraph"/>
        <w:numPr>
          <w:ilvl w:val="0"/>
          <w:numId w:val="3"/>
        </w:numPr>
        <w:spacing w:before="40" w:after="40"/>
      </w:pPr>
      <w:r>
        <w:rPr>
          <w:rFonts w:ascii="Arial" w:cs="Arial" w:eastAsia="Arial" w:hAnsi="Arial"/>
          <w:sz w:val="20"/>
          <w:szCs w:val="20"/>
        </w:rPr>
        <w:t xml:space="preserve">CL: Systemic clearance</w:t>
      </w:r>
    </w:p>
    <w:p>
      <w:pPr>
        <w:pStyle w:val="ListParagraph"/>
        <w:numPr>
          <w:ilvl w:val="0"/>
          <w:numId w:val="3"/>
        </w:numPr>
        <w:spacing w:before="40" w:after="40"/>
      </w:pPr>
      <w:r>
        <w:rPr>
          <w:rFonts w:ascii="Arial" w:cs="Arial" w:eastAsia="Arial" w:hAnsi="Arial"/>
          <w:sz w:val="20"/>
          <w:szCs w:val="20"/>
        </w:rPr>
        <w:t xml:space="preserve">Vd (Vss, Vz): Volume of distribution at steady state and terminal phase</w:t>
      </w:r>
    </w:p>
    <w:p>
      <w:pPr>
        <w:pStyle w:val="ListParagraph"/>
        <w:numPr>
          <w:ilvl w:val="0"/>
          <w:numId w:val="3"/>
        </w:numPr>
        <w:spacing w:before="40" w:after="40"/>
      </w:pPr>
      <w:r>
        <w:rPr>
          <w:rFonts w:ascii="Arial" w:cs="Arial" w:eastAsia="Arial" w:hAnsi="Arial"/>
          <w:sz w:val="20"/>
          <w:szCs w:val="20"/>
        </w:rPr>
        <w:t xml:space="preserve">ADA Incidence: Anti-drug antibody titer and status at pre-dose and Day 70</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5.3  Statistical Analysis — PK</w:t>
      </w:r>
    </w:p>
    <w:p>
      <w:pPr>
        <w:spacing w:before="60" w:after="60"/>
      </w:pPr>
      <w:r>
        <w:rPr>
          <w:rFonts w:ascii="Arial" w:cs="Arial" w:eastAsia="Arial" w:hAnsi="Arial"/>
          <w:b w:val="false"/>
          <w:bCs w:val="false"/>
          <w:color w:val="111111"/>
          <w:sz w:val="20"/>
          <w:szCs w:val="20"/>
        </w:rPr>
        <w:t xml:space="preserve">Non-compartmental analysis (NCA) will be performed using Phoenix WinNonlin v8.x (Certara). Key analyses:</w:t>
      </w:r>
    </w:p>
    <w:p>
      <w:pPr>
        <w:pStyle w:val="ListParagraph"/>
        <w:numPr>
          <w:ilvl w:val="0"/>
          <w:numId w:val="3"/>
        </w:numPr>
        <w:spacing w:before="40" w:after="40"/>
      </w:pPr>
      <w:r>
        <w:rPr>
          <w:rFonts w:ascii="Arial" w:cs="Arial" w:eastAsia="Arial" w:hAnsi="Arial"/>
          <w:sz w:val="20"/>
          <w:szCs w:val="20"/>
        </w:rPr>
        <w:t xml:space="preserve">Geometric mean ratio (GMR) with 90% CI for AUC0-inf and Cmax (test [impaired] vs. reference [normal]) per FDA guidance</w:t>
      </w:r>
    </w:p>
    <w:p>
      <w:pPr>
        <w:pStyle w:val="ListParagraph"/>
        <w:numPr>
          <w:ilvl w:val="0"/>
          <w:numId w:val="3"/>
        </w:numPr>
        <w:spacing w:before="40" w:after="40"/>
      </w:pPr>
      <w:r>
        <w:rPr>
          <w:rFonts w:ascii="Arial" w:cs="Arial" w:eastAsia="Arial" w:hAnsi="Arial"/>
          <w:sz w:val="20"/>
          <w:szCs w:val="20"/>
        </w:rPr>
        <w:t xml:space="preserve">No equivalence boundaries are pre-specified for this descriptive PK characterization; GMR and 90% CI will be presented for labeling guidance</w:t>
      </w:r>
    </w:p>
    <w:p>
      <w:pPr>
        <w:pStyle w:val="ListParagraph"/>
        <w:numPr>
          <w:ilvl w:val="0"/>
          <w:numId w:val="3"/>
        </w:numPr>
        <w:spacing w:before="40" w:after="40"/>
      </w:pPr>
      <w:r>
        <w:rPr>
          <w:rFonts w:ascii="Arial" w:cs="Arial" w:eastAsia="Arial" w:hAnsi="Arial"/>
          <w:sz w:val="20"/>
          <w:szCs w:val="20"/>
        </w:rPr>
        <w:t xml:space="preserve">Population PK (PopPK) modeling will be performed combining CER-SP-002 data with CER-301 dataset (NONMEM v7.5); renal function (eGFR) and hepatic function covariates will be evaluated</w:t>
      </w:r>
    </w:p>
    <w:p>
      <w:pPr>
        <w:pStyle w:val="ListParagraph"/>
        <w:numPr>
          <w:ilvl w:val="0"/>
          <w:numId w:val="3"/>
        </w:numPr>
        <w:spacing w:before="40" w:after="40"/>
      </w:pPr>
      <w:r>
        <w:rPr>
          <w:rFonts w:ascii="Arial" w:cs="Arial" w:eastAsia="Arial" w:hAnsi="Arial"/>
          <w:sz w:val="20"/>
          <w:szCs w:val="20"/>
        </w:rPr>
        <w:t xml:space="preserve">FDA will be provided with labeling recommendations for dose adjustment (or confirmation of no dose adjustment required) based on PopPK simulation results</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6. SAFETY MONITORING FOR SPECIAL POPULATIONS</w:t>
      </w:r>
    </w:p>
    <w:p>
      <w:pPr>
        <w:pStyle w:val="Heading2"/>
        <w:spacing w:before="240" w:after="120"/>
      </w:pPr>
      <w:r>
        <w:rPr>
          <w:rFonts w:ascii="Arial" w:cs="Arial" w:eastAsia="Arial" w:hAnsi="Arial"/>
          <w:b/>
          <w:bCs/>
          <w:color w:val="2E5F9E"/>
          <w:sz w:val="24"/>
          <w:szCs w:val="24"/>
        </w:rPr>
        <w:t xml:space="preserve">6.1  Enhanced Safety Monitoring</w:t>
      </w:r>
    </w:p>
    <w:p>
      <w:pPr>
        <w:spacing w:before="60" w:after="60"/>
      </w:pPr>
      <w:r>
        <w:rPr>
          <w:rFonts w:ascii="Arial" w:cs="Arial" w:eastAsia="Arial" w:hAnsi="Arial"/>
          <w:b w:val="false"/>
          <w:bCs w:val="false"/>
          <w:color w:val="111111"/>
          <w:sz w:val="20"/>
          <w:szCs w:val="20"/>
        </w:rPr>
        <w:t xml:space="preserve">Given the vulnerability of subjects with significant organ impairment, enhanced safety monitoring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Population</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Heightened Risk</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before="40" w:after="40"/>
            </w:pPr>
            <w:r>
              <w:rPr>
                <w:rFonts w:ascii="Arial" w:cs="Arial" w:eastAsia="Arial" w:hAnsi="Arial"/>
                <w:b/>
                <w:bCs/>
                <w:color w:val="FFFFFF"/>
                <w:sz w:val="18"/>
                <w:szCs w:val="18"/>
              </w:rPr>
              <w:t xml:space="preserve">Specific Monitoring</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Severe Renal Impairment (R4)</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Fluid/electrolyte imbalance; infection risk; altered drug clearance for co-medications</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Daily renal panel for 7 days post-dose; urine output monitoring; weight daily; nephrology on-call</w:t>
            </w:r>
          </w:p>
        </w:tc>
      </w:tr>
      <w:tr>
        <w:tc>
          <w:tcPr>
            <w:tcW w:type="dxa" w:w="220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Moderate Hepatic Impairment (H3)</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Impaired coagulation; altered immune function; drug accumulation risk for metabolized co-meds</w:t>
            </w:r>
          </w:p>
        </w:tc>
        <w:tc>
          <w:tcPr>
            <w:tcW w:type="dxa" w:w="3580"/>
            <w:tcBorders>
              <w:top w:val="single" w:color="AAAAAA" w:sz="1"/>
              <w:left w:val="single" w:color="AAAAAA" w:sz="1"/>
              <w:bottom w:val="single" w:color="AAAAAA" w:sz="1"/>
              <w:right w:val="single" w:color="AAAAAA" w:sz="1"/>
            </w:tcBorders>
            <w:shd w:fill="EEF4FB" w:val="clear"/>
            <w:tcMar>
              <w:top w:type="dxa" w:w="60"/>
              <w:left w:type="dxa" w:w="120"/>
              <w:bottom w:type="dxa" w:w="60"/>
              <w:right w:type="dxa" w:w="120"/>
            </w:tcMar>
          </w:tcPr>
          <w:p>
            <w:pPr>
              <w:spacing w:before="30" w:after="30"/>
            </w:pPr>
            <w:r>
              <w:rPr>
                <w:rFonts w:ascii="Arial" w:cs="Arial" w:eastAsia="Arial" w:hAnsi="Arial"/>
                <w:sz w:val="18"/>
                <w:szCs w:val="18"/>
              </w:rPr>
              <w:t xml:space="preserve">LFTs on Days 7, 14, 28; PT/INR weekly x 4 weeks; hepatology liaison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Severe Hepatic Impairment (H4)</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All H3 risks plus: encephalopathy, ascites exacerbation, variceal bleed, irAE hepatitis superimposed on CLD</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spacing w:before="30" w:after="30"/>
            </w:pPr>
            <w:r>
              <w:rPr>
                <w:rFonts w:ascii="Arial" w:cs="Arial" w:eastAsia="Arial" w:hAnsi="Arial"/>
                <w:sz w:val="18"/>
                <w:szCs w:val="18"/>
              </w:rPr>
              <w:t xml:space="preserve">Inpatient monitoring for 24–48h post-dose; daily LFTs x 7 days; hepatology co-management required; Child-Pugh re-score at Day 14</w:t>
            </w:r>
          </w:p>
        </w:tc>
      </w:tr>
    </w:tbl>
    <w:p>
      <w:pPr>
        <w:spacing w:before="60" w:after="60"/>
      </w:pPr>
      <w:r>
        <w:t xml:space="preserve"/>
      </w:r>
    </w:p>
    <w:p>
      <w:pPr>
        <w:pStyle w:val="Heading2"/>
        <w:spacing w:before="240" w:after="120"/>
      </w:pPr>
      <w:r>
        <w:rPr>
          <w:rFonts w:ascii="Arial" w:cs="Arial" w:eastAsia="Arial" w:hAnsi="Arial"/>
          <w:b/>
          <w:bCs/>
          <w:color w:val="2E5F9E"/>
          <w:sz w:val="24"/>
          <w:szCs w:val="24"/>
        </w:rPr>
        <w:t xml:space="preserve">6.2  Stopping Rules for Hepatic Impairment Cohorts</w:t>
      </w:r>
    </w:p>
    <w:p>
      <w:pPr>
        <w:spacing w:before="60" w:after="60"/>
      </w:pPr>
      <w:r>
        <w:rPr>
          <w:rFonts w:ascii="Arial" w:cs="Arial" w:eastAsia="Arial" w:hAnsi="Arial"/>
          <w:b w:val="false"/>
          <w:bCs w:val="false"/>
          <w:color w:val="111111"/>
          <w:sz w:val="20"/>
          <w:szCs w:val="20"/>
        </w:rPr>
        <w:t xml:space="preserve">The following pre-specified stopping rules will trigger immediate medical monitor notification and potential cohort hold:</w:t>
      </w:r>
    </w:p>
    <w:p>
      <w:pPr>
        <w:pStyle w:val="ListParagraph"/>
        <w:numPr>
          <w:ilvl w:val="0"/>
          <w:numId w:val="2"/>
        </w:numPr>
        <w:spacing w:before="40" w:after="40"/>
      </w:pPr>
      <w:r>
        <w:rPr>
          <w:rFonts w:ascii="Arial" w:cs="Arial" w:eastAsia="Arial" w:hAnsi="Arial"/>
          <w:sz w:val="20"/>
          <w:szCs w:val="20"/>
        </w:rPr>
        <w:t xml:space="preserve">Any Grade 4 hepatic adverse event (ALT/AST &gt;20× ULN or total bilirubin &gt;10× ULN) in any subject in H3 or H4</w:t>
      </w:r>
    </w:p>
    <w:p>
      <w:pPr>
        <w:pStyle w:val="ListParagraph"/>
        <w:numPr>
          <w:ilvl w:val="0"/>
          <w:numId w:val="2"/>
        </w:numPr>
        <w:spacing w:before="40" w:after="40"/>
      </w:pPr>
      <w:r>
        <w:rPr>
          <w:rFonts w:ascii="Arial" w:cs="Arial" w:eastAsia="Arial" w:hAnsi="Arial"/>
          <w:sz w:val="20"/>
          <w:szCs w:val="20"/>
        </w:rPr>
        <w:t xml:space="preserve">Any Grade 3 hepatic event in ≥2/8 subjects in H3 or H4 within the same cohort</w:t>
      </w:r>
    </w:p>
    <w:p>
      <w:pPr>
        <w:pStyle w:val="ListParagraph"/>
        <w:numPr>
          <w:ilvl w:val="0"/>
          <w:numId w:val="2"/>
        </w:numPr>
        <w:spacing w:before="40" w:after="40"/>
      </w:pPr>
      <w:r>
        <w:rPr>
          <w:rFonts w:ascii="Arial" w:cs="Arial" w:eastAsia="Arial" w:hAnsi="Arial"/>
          <w:sz w:val="20"/>
          <w:szCs w:val="20"/>
        </w:rPr>
        <w:t xml:space="preserve">New or worsening Grade ≥2 hepatic encephalopathy in any H4 subject within 30 days post-dose</w:t>
      </w:r>
    </w:p>
    <w:p>
      <w:pPr>
        <w:pStyle w:val="ListParagraph"/>
        <w:numPr>
          <w:ilvl w:val="0"/>
          <w:numId w:val="2"/>
        </w:numPr>
        <w:spacing w:before="40" w:after="40"/>
      </w:pPr>
      <w:r>
        <w:rPr>
          <w:rFonts w:ascii="Arial" w:cs="Arial" w:eastAsia="Arial" w:hAnsi="Arial"/>
          <w:sz w:val="20"/>
          <w:szCs w:val="20"/>
        </w:rPr>
        <w:t xml:space="preserve">Any fatal hepatic adverse event assessed as related to CERVIMAB</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6.3  Dose Modification Guidance</w:t>
      </w:r>
    </w:p>
    <w:p>
      <w:pPr>
        <w:spacing w:before="60" w:after="60"/>
      </w:pPr>
      <w:r>
        <w:rPr>
          <w:rFonts w:ascii="Arial" w:cs="Arial" w:eastAsia="Arial" w:hAnsi="Arial"/>
          <w:b w:val="false"/>
          <w:bCs w:val="false"/>
          <w:color w:val="111111"/>
          <w:sz w:val="20"/>
          <w:szCs w:val="20"/>
        </w:rPr>
        <w:t xml:space="preserve">CERVIMAB dose modifications are not anticipated for this single-dose PK study. If a subject transitions to optional continued treatment, dose modifications will follow the CER-301 protocol guidelines. Per current IB data, no dose adjustment is expected for mild-to-moderate renal or hepatic impairment; this study will either confirm or modify this guidance for labeling.</w:t>
      </w:r>
    </w:p>
    <w:p>
      <w:pPr>
        <w:spacing w:before="60" w:after="60"/>
      </w:pPr>
      <w:r>
        <w:t xml:space="preserve"/>
      </w:r>
    </w:p>
    <w:p>
      <w:r>
        <w:br w:type="page"/>
      </w:r>
    </w:p>
    <w:p>
      <w:pPr>
        <w:pStyle w:val="Heading1"/>
        <w:pBdr>
          <w:bottom w:val="single" w:color="1F3864" w:sz="8" w:space="4"/>
        </w:pBdr>
        <w:spacing w:before="320" w:after="160"/>
      </w:pPr>
      <w:r>
        <w:rPr>
          <w:rFonts w:ascii="Arial" w:cs="Arial" w:eastAsia="Arial" w:hAnsi="Arial"/>
          <w:b/>
          <w:bCs/>
          <w:color w:val="1F3864"/>
          <w:sz w:val="28"/>
          <w:szCs w:val="28"/>
        </w:rPr>
        <w:t xml:space="preserve">7. REGULATORY DELIVERABLES</w:t>
      </w:r>
    </w:p>
    <w:p>
      <w:pPr>
        <w:pStyle w:val="Heading2"/>
        <w:spacing w:before="240" w:after="120"/>
      </w:pPr>
      <w:r>
        <w:rPr>
          <w:rFonts w:ascii="Arial" w:cs="Arial" w:eastAsia="Arial" w:hAnsi="Arial"/>
          <w:b/>
          <w:bCs/>
          <w:color w:val="2E5F9E"/>
          <w:sz w:val="24"/>
          <w:szCs w:val="24"/>
        </w:rPr>
        <w:t xml:space="preserve">7.1  Labeling Impact</w:t>
      </w:r>
    </w:p>
    <w:p>
      <w:pPr>
        <w:spacing w:before="60" w:after="60"/>
      </w:pPr>
      <w:r>
        <w:rPr>
          <w:rFonts w:ascii="Arial" w:cs="Arial" w:eastAsia="Arial" w:hAnsi="Arial"/>
          <w:b w:val="false"/>
          <w:bCs w:val="false"/>
          <w:color w:val="111111"/>
          <w:sz w:val="20"/>
          <w:szCs w:val="20"/>
        </w:rPr>
        <w:t xml:space="preserve">Results from CER-SP-002 will directly support the CERVIMAB BLA/NDA labeling sections including:</w:t>
      </w:r>
    </w:p>
    <w:p>
      <w:pPr>
        <w:pStyle w:val="ListParagraph"/>
        <w:numPr>
          <w:ilvl w:val="0"/>
          <w:numId w:val="3"/>
        </w:numPr>
        <w:spacing w:before="40" w:after="40"/>
      </w:pPr>
      <w:r>
        <w:rPr>
          <w:rFonts w:ascii="Arial" w:cs="Arial" w:eastAsia="Arial" w:hAnsi="Arial"/>
          <w:sz w:val="20"/>
          <w:szCs w:val="20"/>
        </w:rPr>
        <w:t xml:space="preserve">Section 12.3 (Pharmacokinetics) — PK parameters by organ function group with GMR and 90% CI</w:t>
      </w:r>
    </w:p>
    <w:p>
      <w:pPr>
        <w:pStyle w:val="ListParagraph"/>
        <w:numPr>
          <w:ilvl w:val="0"/>
          <w:numId w:val="3"/>
        </w:numPr>
        <w:spacing w:before="40" w:after="40"/>
      </w:pPr>
      <w:r>
        <w:rPr>
          <w:rFonts w:ascii="Arial" w:cs="Arial" w:eastAsia="Arial" w:hAnsi="Arial"/>
          <w:sz w:val="20"/>
          <w:szCs w:val="20"/>
        </w:rPr>
        <w:t xml:space="preserve">Section 8.6 (Renal Impairment) — Dosing guidance or confirmation no dose adjustment required</w:t>
      </w:r>
    </w:p>
    <w:p>
      <w:pPr>
        <w:pStyle w:val="ListParagraph"/>
        <w:numPr>
          <w:ilvl w:val="0"/>
          <w:numId w:val="3"/>
        </w:numPr>
        <w:spacing w:before="40" w:after="40"/>
      </w:pPr>
      <w:r>
        <w:rPr>
          <w:rFonts w:ascii="Arial" w:cs="Arial" w:eastAsia="Arial" w:hAnsi="Arial"/>
          <w:sz w:val="20"/>
          <w:szCs w:val="20"/>
        </w:rPr>
        <w:t xml:space="preserve">Section 8.7 (Hepatic Impairment) — Dosing guidance by Child-Pugh category</w:t>
      </w:r>
    </w:p>
    <w:p>
      <w:pPr>
        <w:pStyle w:val="ListParagraph"/>
        <w:numPr>
          <w:ilvl w:val="0"/>
          <w:numId w:val="3"/>
        </w:numPr>
        <w:spacing w:before="40" w:after="40"/>
      </w:pPr>
      <w:r>
        <w:rPr>
          <w:rFonts w:ascii="Arial" w:cs="Arial" w:eastAsia="Arial" w:hAnsi="Arial"/>
          <w:sz w:val="20"/>
          <w:szCs w:val="20"/>
        </w:rPr>
        <w:t xml:space="preserve">Section 17 (Patient Counseling) — Information for patients with impaired organ function</w:t>
      </w:r>
    </w:p>
    <w:p>
      <w:pPr>
        <w:spacing w:before="60" w:after="60"/>
      </w:pPr>
      <w:r>
        <w:t xml:space="preserve"/>
      </w:r>
    </w:p>
    <w:p>
      <w:pPr>
        <w:pStyle w:val="Heading2"/>
        <w:spacing w:before="240" w:after="120"/>
      </w:pPr>
      <w:r>
        <w:rPr>
          <w:rFonts w:ascii="Arial" w:cs="Arial" w:eastAsia="Arial" w:hAnsi="Arial"/>
          <w:b/>
          <w:bCs/>
          <w:color w:val="2E5F9E"/>
          <w:sz w:val="24"/>
          <w:szCs w:val="24"/>
        </w:rPr>
        <w:t xml:space="preserve">7.2  Study Report Timeline</w:t>
      </w:r>
    </w:p>
    <w:p>
      <w:pPr>
        <w:spacing w:before="60" w:after="60"/>
      </w:pPr>
      <w:r>
        <w:rPr>
          <w:rFonts w:ascii="Arial" w:cs="Arial" w:eastAsia="Arial" w:hAnsi="Arial"/>
          <w:b w:val="false"/>
          <w:bCs w:val="false"/>
          <w:color w:val="111111"/>
          <w:sz w:val="20"/>
          <w:szCs w:val="20"/>
        </w:rPr>
        <w:t xml:space="preserve">The Clinical Study Report (CSR) for CER-SP-002 will be completed within 12 months of last subject last visit and submitted to FDA as part of the NDA/BLA rolling submission package. A brief interim analysis will be provided to FDA after completion of all Cohort R4 and H4 subjects if significant PK differences are observed that may require urgent labeling guidance.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9E6" w:val="clear"/>
            <w:tcMar>
              <w:top w:type="dxa" w:w="100"/>
              <w:left w:type="dxa" w:w="160"/>
              <w:bottom w:type="dxa" w:w="100"/>
              <w:right w:type="dxa" w:w="160"/>
            </w:tcMar>
          </w:tcPr>
          <w:p>
            <w:pPr>
              <w:spacing w:before="40" w:after="40"/>
            </w:pPr>
            <w:r>
              <w:rPr>
                <w:rFonts w:ascii="Arial" w:cs="Arial" w:eastAsia="Arial" w:hAnsi="Arial"/>
                <w:b/>
                <w:bCs/>
                <w:color w:val="7B4800"/>
                <w:sz w:val="18"/>
                <w:szCs w:val="18"/>
              </w:rPr>
              <w:t xml:space="preserve">NOTE: </w:t>
            </w:r>
            <w:r>
              <w:rPr>
                <w:rFonts w:ascii="Arial" w:cs="Arial" w:eastAsia="Arial" w:hAnsi="Arial"/>
                <w:color w:val="5C3700"/>
                <w:sz w:val="18"/>
                <w:szCs w:val="18"/>
              </w:rPr>
              <w:t xml:space="preserve">This protocol is a representative example per FDA Guidance for Industry: Pharmacokinetics in Patients with Impaired Renal/Hepatic Function. Protocol CER-SP-002 is fictional. All subject numbers and institutional details are hypothetical and for illustrative purposes only.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4"/>
      </w:pBdr>
      <w:tabs>
        <w:tab w:val="center" w:pos="4680"/>
        <w:tab w:val="right" w:pos="9360"/>
      </w:tabs>
    </w:pPr>
    <w:r>
      <w:rPr>
        <w:rFonts w:ascii="Arial" w:cs="Arial" w:eastAsia="Arial" w:hAnsi="Arial"/>
        <w:color w:val="666666"/>
        <w:sz w:val="16"/>
        <w:szCs w:val="16"/>
      </w:rPr>
      <w:t xml:space="preserve">NovaMed Biosciences, Inc.  |  CERVIMAB (PD-1 Inhibitor)</w:t>
    </w:r>
    <w:r>
      <w:rPr>
        <w:rFonts w:ascii="Arial" w:cs="Arial" w:eastAsia="Arial" w:hAnsi="Arial"/>
        <w:color w:val="666666"/>
        <w:sz w:val="16"/>
        <w:szCs w:val="16"/>
      </w:rPr>
      <w:t xml:space="preserve">	CER-SP-002 v1.0</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4"/>
      </w:pBdr>
    </w:pPr>
    <w:r>
      <w:rPr>
        <w:rFonts w:ascii="Arial" w:cs="Arial" w:eastAsia="Arial" w:hAnsi="Arial"/>
        <w:b/>
        <w:bCs/>
        <w:color w:val="2E5F9E"/>
        <w:sz w:val="16"/>
        <w:szCs w:val="16"/>
      </w:rPr>
      <w:t xml:space="preserve">CONFIDENTIAL — INVESTIGATIONAL NEW DRUG</w:t>
    </w:r>
    <w:r>
      <w:rPr>
        <w:rFonts w:ascii="Arial" w:cs="Arial" w:eastAsia="Arial" w:hAnsi="Arial"/>
        <w:color w:val="666666"/>
        <w:sz w:val="16"/>
        <w:szCs w:val="16"/>
      </w:rPr>
      <w:t xml:space="preserve">    |    Special Population PK/PD Protocol — Renal &amp; Hepatic Impairment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2026-03-16T14:11:36.097Z</dcterms:created>
  <dcterms:modified xsi:type="dcterms:W3CDTF">2026-03-16T14:11:36.097Z</dcterms:modified>
</cp:coreProperties>
</file>

<file path=docProps/custom.xml><?xml version="1.0" encoding="utf-8"?>
<Properties xmlns="http://schemas.openxmlformats.org/officeDocument/2006/custom-properties" xmlns:vt="http://schemas.openxmlformats.org/officeDocument/2006/docPropsVTypes"/>
</file>