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p>
    <w:p>
      <w:pPr>
        <w:spacing w:before="0" w:after="80"/>
        <w:jc w:val="center"/>
      </w:pPr>
      <w:r>
        <w:rPr>
          <w:rFonts w:ascii="Arial" w:cs="Arial" w:eastAsia="Arial" w:hAnsi="Arial"/>
          <w:b/>
          <w:bCs/>
          <w:color w:val="555555"/>
          <w:sz w:val="20"/>
          <w:szCs w:val="20"/>
        </w:rPr>
        <w:t xml:space="preserve">CERVI THERAPEUTICS, INC.</w:t>
      </w:r>
    </w:p>
    <w:p>
      <w:pPr>
        <w:spacing w:before="0" w:after="160"/>
      </w:pPr>
    </w:p>
    <w:p>
      <w:pPr>
        <w:spacing w:before="0" w:after="120"/>
        <w:jc w:val="center"/>
      </w:pPr>
      <w:r>
        <w:rPr>
          <w:rFonts w:ascii="Arial" w:cs="Arial" w:eastAsia="Arial" w:hAnsi="Arial"/>
          <w:b/>
          <w:bCs/>
          <w:color w:val="1F4E79"/>
          <w:sz w:val="48"/>
          <w:szCs w:val="48"/>
        </w:rPr>
        <w:t xml:space="preserve">BUDGET IMPACT ANALYSIS</w:t>
      </w:r>
    </w:p>
    <w:p>
      <w:pPr>
        <w:spacing w:before="0" w:after="80"/>
        <w:jc w:val="center"/>
      </w:pPr>
      <w:r>
        <w:rPr>
          <w:rFonts w:ascii="Arial" w:cs="Arial" w:eastAsia="Arial" w:hAnsi="Arial"/>
          <w:color w:val="2E75B6"/>
          <w:sz w:val="28"/>
          <w:szCs w:val="28"/>
        </w:rPr>
        <w:t xml:space="preserve">CERVIMAB for dMMR/MSI-H Metastatic Colorectal Cancer</w:t>
      </w:r>
    </w:p>
    <w:p>
      <w:pPr>
        <w:spacing w:before="0" w:after="240"/>
        <w:jc w:val="center"/>
      </w:pPr>
      <w:r>
        <w:rPr>
          <w:rFonts w:ascii="Arial" w:cs="Arial" w:eastAsia="Arial" w:hAnsi="Arial"/>
          <w:color w:val="444444"/>
          <w:sz w:val="22"/>
          <w:szCs w:val="22"/>
        </w:rPr>
        <w:t xml:space="preserve">Impact on a US Health Plan of 1,000,000 Members — 5-Year Analysis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Analysis Type: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Budget Impact Analysis (BIA) — Formulary Adoption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Indication: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dMMR/MSI-H mCRC, ≥2nd line adult patients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 Size: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1,000,000 covered lives (scalable)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Horizon: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years (Year 1–5 post-formulary adoption)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Perspective: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 Third-Party Payer (commercial + Medicare Advantage blend)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Market Mix:</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commercial, 40% Medicare Advantage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Drug Cost Basis: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 price (WAC – 25% rebate assumed)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Formulary Tier Assumption: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Specialty tier with prior authorization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 2.0 – Final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CONFIDENTIAL</w:t>
            </w:r>
          </w:p>
        </w:tc>
      </w:tr>
    </w:tbl>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1. INTRODUCTION AND SCOPE</w:t>
      </w:r>
    </w:p>
    <w:p>
      <w:pPr>
        <w:spacing w:before="60" w:after="100"/>
      </w:pPr>
      <w:r>
        <w:rPr>
          <w:rFonts w:ascii="Arial" w:cs="Arial" w:eastAsia="Arial" w:hAnsi="Arial"/>
          <w:sz w:val="22"/>
          <w:szCs w:val="22"/>
        </w:rPr>
        <w:t xml:space="preserve">This budget impact analysis (BIA) estimates the financial consequences of adding cervimab to a US health plan formulary for the treatment of adult patients with dMMR/MSI-H metastatic colorectal cancer (mCRC) who have received at least one prior line of systemic therapy. The analysis was conducted following ISPOR Task Force guidelines for budget impact analysis in healthcare (Sullivan et al., 2014) and AMCP Format for Formulary Submissions (Version 4.1, 2019).</w:t>
      </w:r>
    </w:p>
    <w:p>
      <w:pPr>
        <w:spacing w:before="0" w:after="80"/>
      </w:pPr>
    </w:p>
    <w:p>
      <w:pPr>
        <w:spacing w:before="60" w:after="100"/>
      </w:pPr>
      <w:r>
        <w:rPr>
          <w:rFonts w:ascii="Arial" w:cs="Arial" w:eastAsia="Arial" w:hAnsi="Arial"/>
          <w:sz w:val="22"/>
          <w:szCs w:val="22"/>
        </w:rPr>
        <w:t xml:space="preserve">The analysis estimates the change in drug spending, total medical spending, and net per-member-per-month (PMPM) cost for a representative US health plan with 1,000,000 covered lives over a 5-year period. Results are presented for the base case and stratified by commercial and Medicare Advantage coverage. Scenario and sensitivity analyses explore the impact of key assumptions.</w:t>
      </w:r>
    </w:p>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2. TARGET POPULATION</w:t>
      </w:r>
    </w:p>
    <w:p>
      <w:pPr>
        <w:pStyle w:val="Heading2"/>
        <w:spacing w:before="200" w:after="100"/>
      </w:pPr>
      <w:r>
        <w:rPr>
          <w:rFonts w:ascii="Arial" w:cs="Arial" w:eastAsia="Arial" w:hAnsi="Arial"/>
          <w:b/>
          <w:bCs/>
          <w:color w:val="2E75B6"/>
          <w:sz w:val="28"/>
          <w:szCs w:val="28"/>
        </w:rPr>
        <w:t xml:space="preserve">2.1 Epidemiology and Patient Flow</w:t>
      </w:r>
    </w:p>
    <w:p>
      <w:pPr>
        <w:spacing w:before="60" w:after="100"/>
      </w:pPr>
      <w:r>
        <w:rPr>
          <w:rFonts w:ascii="Arial" w:cs="Arial" w:eastAsia="Arial" w:hAnsi="Arial"/>
          <w:sz w:val="22"/>
          <w:szCs w:val="22"/>
        </w:rPr>
        <w:t xml:space="preserve">The eligible population for cervimab was estimated using a stepwise patient flow model incorporating national epidemiologic data, molecular testing rates, and treatment eligibility criteria.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3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Source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 CRC incidence (new cases/year)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153,020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SEER 2023</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Proportion stage IV at diagnosis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SEER 2023</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mCRC prevalence per 1M lives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~460 patients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SEER + claims data</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mCRC patients/year per 1M lives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~210 patients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SEER + claims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dMMR/MSI-H rate in mCRC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 et al. 2017; meta-analysis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dMMR/MSI-H mCRC patients/yr per 1M lives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 patients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calculation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Eligible (≥2L, tested positive)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patients/yr per 1M lives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Adjusted for line, testing, eligibility</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dMMR/MSI-H testing rate (2L setting)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Tempus/Foundation Medicine data</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MSI testing concordance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99%</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CERVI-301 translational data</w:t>
            </w:r>
          </w:p>
        </w:tc>
      </w:tr>
    </w:tbl>
    <w:p>
      <w:pPr>
        <w:spacing w:before="0" w:after="80"/>
      </w:pPr>
    </w:p>
    <w:p>
      <w:pPr>
        <w:pStyle w:val="Heading2"/>
        <w:spacing w:before="200" w:after="100"/>
      </w:pPr>
      <w:r>
        <w:rPr>
          <w:rFonts w:ascii="Arial" w:cs="Arial" w:eastAsia="Arial" w:hAnsi="Arial"/>
          <w:b/>
          <w:bCs/>
          <w:color w:val="2E75B6"/>
          <w:sz w:val="28"/>
          <w:szCs w:val="28"/>
        </w:rPr>
        <w:t xml:space="preserve">2.2 Patient Flow Model</w:t>
      </w:r>
    </w:p>
    <w:p>
      <w:pPr>
        <w:spacing w:before="60" w:after="100"/>
      </w:pPr>
      <w:r>
        <w:rPr>
          <w:rFonts w:ascii="Arial" w:cs="Arial" w:eastAsia="Arial" w:hAnsi="Arial"/>
          <w:sz w:val="22"/>
          <w:szCs w:val="22"/>
        </w:rPr>
        <w:t xml:space="preserve">The patient flow model accounts for: (1) incidence of new mCRC diagnoses; (2) proportion with dMMR/MSI-H status; (3) biomarker testing rate in the ≥2L setting; (4) treatment eligibility (ECOG PS ≤2, adequate organ function); (5) proportion receiving active treatment vs. best supportive care. The resulting eligible patient pool of approximately 2.3 patients per 1,000,000 plan members annually reflects the small but molecularly defined target population.</w:t>
      </w:r>
    </w:p>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3. MARKET SHARE AND UPTAKE ASSUMPTIONS</w:t>
      </w:r>
    </w:p>
    <w:p>
      <w:pPr>
        <w:pStyle w:val="Heading2"/>
        <w:spacing w:before="200" w:after="100"/>
      </w:pPr>
      <w:r>
        <w:rPr>
          <w:rFonts w:ascii="Arial" w:cs="Arial" w:eastAsia="Arial" w:hAnsi="Arial"/>
          <w:b/>
          <w:bCs/>
          <w:color w:val="2E75B6"/>
          <w:sz w:val="28"/>
          <w:szCs w:val="28"/>
        </w:rPr>
        <w:t xml:space="preserve">3.1 Market Share Scenarios</w:t>
      </w:r>
    </w:p>
    <w:p>
      <w:pPr>
        <w:spacing w:before="60" w:after="100"/>
      </w:pPr>
      <w:r>
        <w:rPr>
          <w:rFonts w:ascii="Arial" w:cs="Arial" w:eastAsia="Arial" w:hAnsi="Arial"/>
          <w:sz w:val="22"/>
          <w:szCs w:val="22"/>
        </w:rPr>
        <w:t xml:space="preserve">Three market penetration scenarios were modeled reflecting pessimistic, base case, and optimistic uptake of cervimab in the eligible patient population following formulary inclusion.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1392"/>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Year 1</w:t>
            </w:r>
          </w:p>
        </w:tc>
        <w:tc>
          <w:tcPr>
            <w:tcW w:type="dxa" w:w="1392"/>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Year 2</w:t>
            </w:r>
          </w:p>
        </w:tc>
        <w:tc>
          <w:tcPr>
            <w:tcW w:type="dxa" w:w="1392"/>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Year 3</w:t>
            </w:r>
          </w:p>
        </w:tc>
        <w:tc>
          <w:tcPr>
            <w:tcW w:type="dxa" w:w="1392"/>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Year 4</w:t>
            </w:r>
          </w:p>
        </w:tc>
        <w:tc>
          <w:tcPr>
            <w:tcW w:type="dxa" w:w="1392"/>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Year 5</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uptake</w:t>
            </w:r>
          </w:p>
        </w:tc>
        <w:tc>
          <w:tcPr>
            <w:tcW w:type="dxa" w:w="139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39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39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39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39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case</w:t>
            </w:r>
          </w:p>
        </w:tc>
        <w:tc>
          <w:tcPr>
            <w:tcW w:type="dxa" w:w="139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39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39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39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39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uptake</w:t>
            </w:r>
          </w:p>
        </w:tc>
        <w:tc>
          <w:tcPr>
            <w:tcW w:type="dxa" w:w="139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39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39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139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w:t>
            </w:r>
          </w:p>
        </w:tc>
        <w:tc>
          <w:tcPr>
            <w:tcW w:type="dxa" w:w="139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w:t>
            </w:r>
          </w:p>
        </w:tc>
      </w:tr>
    </w:tbl>
    <w:p>
      <w:pPr>
        <w:spacing w:before="0" w:after="80"/>
      </w:pPr>
    </w:p>
    <w:p>
      <w:pPr>
        <w:pStyle w:val="Heading2"/>
        <w:spacing w:before="200" w:after="100"/>
      </w:pPr>
      <w:r>
        <w:rPr>
          <w:rFonts w:ascii="Arial" w:cs="Arial" w:eastAsia="Arial" w:hAnsi="Arial"/>
          <w:b/>
          <w:bCs/>
          <w:color w:val="2E75B6"/>
          <w:sz w:val="28"/>
          <w:szCs w:val="28"/>
        </w:rPr>
        <w:t xml:space="preserve">3.2 Market Mix Rationale</w:t>
      </w:r>
    </w:p>
    <w:p>
      <w:pPr>
        <w:spacing w:before="60" w:after="100"/>
      </w:pPr>
      <w:r>
        <w:rPr>
          <w:rFonts w:ascii="Arial" w:cs="Arial" w:eastAsia="Arial" w:hAnsi="Arial"/>
          <w:sz w:val="22"/>
          <w:szCs w:val="22"/>
        </w:rPr>
        <w:t xml:space="preserve">Uptake assumptions are informed by: (1) analogue analysis from pembrolizumab adoption in first-line MSI-H mCRC (KEYNOTE-177); (2) anticipated prior authorization requirements restricting use to confirmed dMMR/MSI-H patients; (3) competitive landscape assumptions; and (4) key opinion leader (KOL) survey data (n=42 medical oncologists, conducted Q4 2025). KOL surveys indicated that 68% of respondents would consider cervimab their preferred second-line therapy for confirmed dMMR/MSI-H patients within 12 months of approval.</w:t>
      </w:r>
    </w:p>
    <w:p>
      <w:pPr>
        <w:spacing w:before="0" w:after="80"/>
      </w:pPr>
    </w:p>
    <w:p>
      <w:pPr>
        <w:pStyle w:val="Heading2"/>
        <w:spacing w:before="200" w:after="100"/>
      </w:pPr>
      <w:r>
        <w:rPr>
          <w:rFonts w:ascii="Arial" w:cs="Arial" w:eastAsia="Arial" w:hAnsi="Arial"/>
          <w:b/>
          <w:bCs/>
          <w:color w:val="2E75B6"/>
          <w:sz w:val="28"/>
          <w:szCs w:val="28"/>
        </w:rPr>
        <w:t xml:space="preserve">3.3 Drug Displacement Assumptions</w:t>
      </w:r>
    </w:p>
    <w:p>
      <w:pPr>
        <w:spacing w:before="60" w:after="100"/>
      </w:pPr>
      <w:r>
        <w:rPr>
          <w:rFonts w:ascii="Arial" w:cs="Arial" w:eastAsia="Arial" w:hAnsi="Arial"/>
          <w:sz w:val="22"/>
          <w:szCs w:val="22"/>
        </w:rPr>
        <w:t xml:space="preserve">Introduction of cervimab is assumed to displace existing second-line chemotherapy regimens in the dMMR/MSI-H population. Market share is primarily captured from FOLFOX ± bevacizumab (55%), FOLFIRI ± bevacizumab (35%), and other regimens (10%). There is minimal off-label PD-1 inhibitor use in this specific setting currently, so displacement from other checkpoint inhibitors was modeled conservatively at 5%.</w:t>
      </w:r>
    </w:p>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4. COST INPUTS</w:t>
      </w:r>
    </w:p>
    <w:p>
      <w:pPr>
        <w:pStyle w:val="Heading2"/>
        <w:spacing w:before="200" w:after="100"/>
      </w:pPr>
      <w:r>
        <w:rPr>
          <w:rFonts w:ascii="Arial" w:cs="Arial" w:eastAsia="Arial" w:hAnsi="Arial"/>
          <w:b/>
          <w:bCs/>
          <w:color w:val="2E75B6"/>
          <w:sz w:val="28"/>
          <w:szCs w:val="28"/>
        </w:rPr>
        <w:t xml:space="preserve">4.1 Drug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1360"/>
        <w:gridCol w:w="2800"/>
      </w:tblGrid>
      <w:tr>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Drug</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WAC (per infusion/cycle)</w:t>
            </w:r>
          </w:p>
        </w:tc>
        <w:tc>
          <w:tcPr>
            <w:tcW w:type="dxa" w:w="1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Rebate</w:t>
            </w:r>
          </w:p>
        </w:tc>
        <w:tc>
          <w:tcPr>
            <w:tcW w:type="dxa" w:w="1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Net Price</w:t>
            </w:r>
          </w:p>
        </w:tc>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Annual Drug Cost (on treatment)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Cervimab 400 mg Q6W</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$18,500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$13,875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$120,713 (~8.7 infusions/yr)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FOLFOX (5-FU+OX+LV) Q2W</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$4,200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$3,570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$92,820 (~26 cycles)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FOLFIRI (5-FU+IRI+LV) Q2W</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$3,800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$3,230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$83,980 (~26 cycles)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Bevacizumab (58% of chemo)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$3,600/dose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$2,880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$74,880 (~26 doses)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Subsequent therapy (weighted)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$10,500/cycle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$8,925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$37,485 (~4.2 mo)</w:t>
            </w:r>
          </w:p>
        </w:tc>
      </w:tr>
    </w:tbl>
    <w:p>
      <w:pPr>
        <w:spacing w:before="0" w:after="80"/>
      </w:pPr>
    </w:p>
    <w:p>
      <w:pPr>
        <w:pStyle w:val="Heading2"/>
        <w:spacing w:before="200" w:after="100"/>
      </w:pPr>
      <w:r>
        <w:rPr>
          <w:rFonts w:ascii="Arial" w:cs="Arial" w:eastAsia="Arial" w:hAnsi="Arial"/>
          <w:b/>
          <w:bCs/>
          <w:color w:val="2E75B6"/>
          <w:sz w:val="28"/>
          <w:szCs w:val="28"/>
        </w:rPr>
        <w:t xml:space="preserve">4.2 Total Per-Patient Costs (Treated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Cost Component</w:t>
            </w:r>
          </w:p>
        </w:tc>
        <w:tc>
          <w:tcPr>
            <w:tcW w:type="dxa" w:w="29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Cervimab (per patient)</w:t>
            </w:r>
          </w:p>
        </w:tc>
        <w:tc>
          <w:tcPr>
            <w:tcW w:type="dxa" w:w="29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Chemotherapy (per patient)</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Drug acquisition (on treatment)</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$120,713</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$126,170 (FOLFOX+bev mix)</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Drug administration</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$12,240</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$17,160</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 monitoring &amp; imaging</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$8,400</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$9,200</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 management (mean)</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$7,200</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$18,400</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Subsequent therapy</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$42,100</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$48,200</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Terminal care</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$52,400</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$52,400</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PER PATIENT</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$243,053</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$271,530</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 cost difference</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−$28,477 savings per patient</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before="0" w:after="80"/>
      </w:pPr>
    </w:p>
    <w:p>
      <w:pPr>
        <w:spacing w:before="60" w:after="100"/>
      </w:pPr>
      <w:r>
        <w:rPr>
          <w:rFonts w:ascii="Arial" w:cs="Arial" w:eastAsia="Arial" w:hAnsi="Arial"/>
          <w:sz w:val="22"/>
          <w:szCs w:val="22"/>
        </w:rPr>
        <w:t xml:space="preserve">Important: The per-patient total cost of cervimab is LOWER than chemotherapy when all downstream medical costs are accounted for, due to reduced AE costs, reduced hospitalization, and modest differences in subsequent therapy utilization. The incremental drug cost is offset by downstream savings.</w:t>
      </w:r>
    </w:p>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5. BUDGET IMPACT RESULTS — BASE CASE</w:t>
      </w:r>
    </w:p>
    <w:p>
      <w:pPr>
        <w:pStyle w:val="Heading2"/>
        <w:spacing w:before="200" w:after="100"/>
      </w:pPr>
      <w:r>
        <w:rPr>
          <w:rFonts w:ascii="Arial" w:cs="Arial" w:eastAsia="Arial" w:hAnsi="Arial"/>
          <w:b/>
          <w:bCs/>
          <w:color w:val="2E75B6"/>
          <w:sz w:val="28"/>
          <w:szCs w:val="28"/>
        </w:rPr>
        <w:t xml:space="preserve">5.1 Annual Eligible Patients and Treated Patients (Per 1M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2400"/>
        <w:gridCol w:w="1560"/>
      </w:tblGrid>
      <w:tr>
        <w:tc>
          <w:tcPr>
            <w:tcW w:type="dxa" w:w="1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Eligible Patients</w:t>
            </w:r>
          </w:p>
        </w:tc>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Cervimab Treated (40% max uptake)</w:t>
            </w:r>
          </w:p>
        </w:tc>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Remaining Chemo</w:t>
            </w:r>
          </w:p>
        </w:tc>
        <w:tc>
          <w:tcPr>
            <w:tcW w:type="dxa" w:w="1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New vs. Prior Year</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0.23 (10%)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2.07</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Baseline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0.53 (22%)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1.87</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0.77 (32%)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+0.24</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0.95 (38%)</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1.55</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+0.18</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(40%)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+0.05</w:t>
            </w:r>
          </w:p>
        </w:tc>
      </w:tr>
    </w:tbl>
    <w:p>
      <w:pPr>
        <w:spacing w:before="0" w:after="80"/>
      </w:pPr>
    </w:p>
    <w:p>
      <w:pPr>
        <w:pStyle w:val="Heading2"/>
        <w:spacing w:before="200" w:after="100"/>
      </w:pPr>
      <w:r>
        <w:rPr>
          <w:rFonts w:ascii="Arial" w:cs="Arial" w:eastAsia="Arial" w:hAnsi="Arial"/>
          <w:b/>
          <w:bCs/>
          <w:color w:val="2E75B6"/>
          <w:sz w:val="28"/>
          <w:szCs w:val="28"/>
        </w:rPr>
        <w:t xml:space="preserve">5.2 Annual Net Budget Impact (Per 1M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1860"/>
        <w:gridCol w:w="1800"/>
        <w:gridCol w:w="1200"/>
      </w:tblGrid>
      <w:tr>
        <w:tc>
          <w:tcPr>
            <w:tcW w:type="dxa" w:w="9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Cervimab Drug Cost</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Chemo Cost (displaced)</w:t>
            </w:r>
          </w:p>
        </w:tc>
        <w:tc>
          <w:tcPr>
            <w:tcW w:type="dxa" w:w="18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Net Medical Savings</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NET ANNUAL IMPACT</w:t>
            </w:r>
          </w:p>
        </w:tc>
        <w:tc>
          <w:tcPr>
            <w:tcW w:type="dxa" w:w="1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PMPM Impact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$27,764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$29,113</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-$6,550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−$7,899</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−$0.007</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$63,904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$66,958</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-$15,100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−$18,154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−$0.015</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$92,913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$97,413</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-$21,940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−$26,440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$114,563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$120,138</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-$27,070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−$32,645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−$0.027</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$120,713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$126,608</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-$28,477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−$34,372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−$0.029</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5-Year Cumulative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$419,857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$440,230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-$99,137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−$119,510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−$0.020 avg</w:t>
            </w:r>
          </w:p>
        </w:tc>
      </w:tr>
    </w:tbl>
    <w:p>
      <w:pPr>
        <w:spacing w:before="0" w:after="80"/>
      </w:pPr>
    </w:p>
    <w:p>
      <w:pPr>
        <w:spacing w:before="60" w:after="100"/>
      </w:pPr>
      <w:r>
        <w:rPr>
          <w:rFonts w:ascii="Arial" w:cs="Arial" w:eastAsia="Arial" w:hAnsi="Arial"/>
          <w:sz w:val="22"/>
          <w:szCs w:val="22"/>
        </w:rPr>
        <w:t xml:space="preserve">Key Finding: The base case analysis demonstrates that formulary adoption of cervimab at the proposed net price is BUDGET NEUTRAL or results in modest savings to the health plan, driven by reductions in downstream medical costs (AE management, hospitalization, supportive care) that more than offset the incremental drug acquisition cost. The eligible population is sufficiently small (2.3–2.5 patients per 1M lives) that even the drug acquisition cost itself represents a minimal per-member impact.</w:t>
      </w:r>
    </w:p>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6. SENSITIVITY AND SCENARIO ANALYSES</w:t>
      </w:r>
    </w:p>
    <w:p>
      <w:pPr>
        <w:pStyle w:val="Heading2"/>
        <w:spacing w:before="200" w:after="100"/>
      </w:pPr>
      <w:r>
        <w:rPr>
          <w:rFonts w:ascii="Arial" w:cs="Arial" w:eastAsia="Arial" w:hAnsi="Arial"/>
          <w:b/>
          <w:bCs/>
          <w:color w:val="2E75B6"/>
          <w:sz w:val="28"/>
          <w:szCs w:val="28"/>
        </w:rPr>
        <w:t xml:space="preserve">6.1 PMPM Impact Under Different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760"/>
      </w:tblGrid>
      <w:tr>
        <w:tc>
          <w:tcPr>
            <w:tcW w:type="dxa" w:w="3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Year 3 PMPM</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Year 5 PMPM</w:t>
            </w:r>
          </w:p>
        </w:tc>
        <w:tc>
          <w:tcPr>
            <w:tcW w:type="dxa" w:w="1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5-Year Cumulative PMPM</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case (net price, 40% uptake)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−$0.029</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−$0.020 avg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WAC pricing (no rebate)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$0.071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$0.094</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$0.058 avg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uptake (25%)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−$0.018</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−$0.013 avg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uptake (60%)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−$0.033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−$0.044</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−$0.030 avg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Drug costs only (no medical offsets)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$0.092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$0.121</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$0.075 avg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subsequent therapy savings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−$0.012</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−$0.008 avg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Larger plan (5M lives)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−$0.029</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PMPM</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Medicare-only plan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−$0.025</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−$0.017 avg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Commercial-only plan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−$0.031</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−$0.022 avg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Testing rate improves to 90%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−$0.036</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−$0.025 avg</w:t>
            </w:r>
          </w:p>
        </w:tc>
      </w:tr>
    </w:tbl>
    <w:p>
      <w:pPr>
        <w:spacing w:before="0" w:after="80"/>
      </w:pPr>
    </w:p>
    <w:p>
      <w:pPr>
        <w:pStyle w:val="Heading2"/>
        <w:spacing w:before="200" w:after="100"/>
      </w:pPr>
      <w:r>
        <w:rPr>
          <w:rFonts w:ascii="Arial" w:cs="Arial" w:eastAsia="Arial" w:hAnsi="Arial"/>
          <w:b/>
          <w:bCs/>
          <w:color w:val="2E75B6"/>
          <w:sz w:val="28"/>
          <w:szCs w:val="28"/>
        </w:rPr>
        <w:t xml:space="preserve">6.2 Break-Even Rebate Analysis</w:t>
      </w:r>
    </w:p>
    <w:p>
      <w:pPr>
        <w:spacing w:before="60" w:after="100"/>
      </w:pPr>
      <w:r>
        <w:rPr>
          <w:rFonts w:ascii="Arial" w:cs="Arial" w:eastAsia="Arial" w:hAnsi="Arial"/>
          <w:sz w:val="22"/>
          <w:szCs w:val="22"/>
        </w:rPr>
        <w:t xml:space="preserve">At WAC pricing with no rebate, the net PMPM impact is approximately +$0.07–$0.09 in Years 3–5. To achieve budget neutrality (0 PMPM impact including medical cost offsets), the required rebate on WAC is approximately 18.4%. To achieve the favorable negative PMPM impact seen in the base case, a rebate of approximately 23–25% is required. The proposed 25% rebate therefore achieves budget neutrality plus modest payer savings.</w:t>
      </w:r>
    </w:p>
    <w:p>
      <w:pPr>
        <w:spacing w:before="0" w:after="80"/>
      </w:pPr>
    </w:p>
    <w:p>
      <w:pPr>
        <w:pStyle w:val="Heading2"/>
        <w:spacing w:before="200" w:after="100"/>
      </w:pPr>
      <w:r>
        <w:rPr>
          <w:rFonts w:ascii="Arial" w:cs="Arial" w:eastAsia="Arial" w:hAnsi="Arial"/>
          <w:b/>
          <w:bCs/>
          <w:color w:val="2E75B6"/>
          <w:sz w:val="28"/>
          <w:szCs w:val="28"/>
        </w:rPr>
        <w:t xml:space="preserve">6.3 Testing Rate Sensitivity</w:t>
      </w:r>
    </w:p>
    <w:p>
      <w:pPr>
        <w:spacing w:before="60" w:after="100"/>
      </w:pPr>
      <w:r>
        <w:rPr>
          <w:rFonts w:ascii="Arial" w:cs="Arial" w:eastAsia="Arial" w:hAnsi="Arial"/>
          <w:sz w:val="22"/>
          <w:szCs w:val="22"/>
        </w:rPr>
        <w:t xml:space="preserve">Increasing the dMMR/MSI-H testing rate from 72% to 90% in the ≥2L setting would increase the eligible patient pool by approximately 25%, resulting in additional cervimab treated patients but also additional patients identified who would have otherwise received chemotherapy without the benefit of checkpoint inhibitor therapy. From a purely budget perspective, higher testing rates improve the cost offset profile at net price given the per-patient net savings.</w:t>
      </w:r>
    </w:p>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7. ACCESS AND AFFORDABILITY CONSIDERATIONS</w:t>
      </w:r>
    </w:p>
    <w:p>
      <w:pPr>
        <w:pStyle w:val="Heading2"/>
        <w:spacing w:before="200" w:after="100"/>
      </w:pPr>
      <w:r>
        <w:rPr>
          <w:rFonts w:ascii="Arial" w:cs="Arial" w:eastAsia="Arial" w:hAnsi="Arial"/>
          <w:b/>
          <w:bCs/>
          <w:color w:val="2E75B6"/>
          <w:sz w:val="28"/>
          <w:szCs w:val="28"/>
        </w:rPr>
        <w:t xml:space="preserve">7.1 Patient Access Programs</w:t>
      </w:r>
    </w:p>
    <w:p>
      <w:pPr>
        <w:spacing w:before="60" w:after="100"/>
      </w:pPr>
      <w:r>
        <w:rPr>
          <w:rFonts w:ascii="Arial" w:cs="Arial" w:eastAsia="Arial" w:hAnsi="Arial"/>
          <w:sz w:val="22"/>
          <w:szCs w:val="22"/>
        </w:rPr>
        <w:t xml:space="preserve">Cervi Therapeutics is committed to ensuring broad patient access to cervimab through a comprehensive patient assistance program (PAP) and co-pay support program: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Program</w:t>
            </w:r>
          </w:p>
        </w:tc>
        <w:tc>
          <w:tcPr>
            <w:tcW w:type="dxa" w:w="4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Eligibility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 Assist PAP</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drug for uninsured/underinsured patients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Income ≤400% FPL; no insurance or inadequate coverage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CerviCo-Pay Card</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Reduces patient out-of-pocket to ≤$25/infusion</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Commercially insured patients only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Bridge Supply Program</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drug during prior authorization/appeal</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30-day bridge pending coverage determination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 Path Navigator</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Dedicated access navigator service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patients initiating cervimab</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Patient Foundation Referral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Referral to disease-specific foundations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Patients not meeting Cervi Assist criteria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340B Program Participation</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Contracted with 340B covered entities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Eligible safety-net hospitals and clinics</w:t>
            </w:r>
          </w:p>
        </w:tc>
      </w:tr>
    </w:tbl>
    <w:p>
      <w:pPr>
        <w:spacing w:before="0" w:after="80"/>
      </w:pPr>
    </w:p>
    <w:p>
      <w:pPr>
        <w:pStyle w:val="Heading2"/>
        <w:spacing w:before="200" w:after="100"/>
      </w:pPr>
      <w:r>
        <w:rPr>
          <w:rFonts w:ascii="Arial" w:cs="Arial" w:eastAsia="Arial" w:hAnsi="Arial"/>
          <w:b/>
          <w:bCs/>
          <w:color w:val="2E75B6"/>
          <w:sz w:val="28"/>
          <w:szCs w:val="28"/>
        </w:rPr>
        <w:t xml:space="preserve">7.2 Value-Based Contracting</w:t>
      </w:r>
    </w:p>
    <w:p>
      <w:pPr>
        <w:spacing w:before="60" w:after="100"/>
      </w:pPr>
      <w:r>
        <w:rPr>
          <w:rFonts w:ascii="Arial" w:cs="Arial" w:eastAsia="Arial" w:hAnsi="Arial"/>
          <w:sz w:val="22"/>
          <w:szCs w:val="22"/>
        </w:rPr>
        <w:t xml:space="preserve">Cervi Therapeutics is prepared to enter value-based contracting arrangements with payers, including: (1) outcomes-based rebate tied to real-world PFS achieving ≥12 months; (2) indication-specific pricing with separate net price for post-pembrolizumab vs. chemo-naïve populations; (3) pay-for-performance with rebate clawback if real-world ORR falls below 35%; and (4) total cost of care arrangement incorporating downstream medical cost savings. These contracting models are aligned with PBMI and AMCP frameworks for specialty oncology value-based contracting.</w:t>
      </w:r>
    </w:p>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8. FORMULARY AND UTILIZATION MANAGEMENT</w:t>
      </w:r>
    </w:p>
    <w:p>
      <w:pPr>
        <w:pStyle w:val="Heading2"/>
        <w:spacing w:before="200" w:after="100"/>
      </w:pPr>
      <w:r>
        <w:rPr>
          <w:rFonts w:ascii="Arial" w:cs="Arial" w:eastAsia="Arial" w:hAnsi="Arial"/>
          <w:b/>
          <w:bCs/>
          <w:color w:val="2E75B6"/>
          <w:sz w:val="28"/>
          <w:szCs w:val="28"/>
        </w:rPr>
        <w:t xml:space="preserve">8.1 Recommended Formulary Placement</w:t>
      </w:r>
    </w:p>
    <w:p>
      <w:pPr>
        <w:spacing w:before="60" w:after="100"/>
      </w:pPr>
      <w:r>
        <w:rPr>
          <w:rFonts w:ascii="Arial" w:cs="Arial" w:eastAsia="Arial" w:hAnsi="Arial"/>
          <w:sz w:val="22"/>
          <w:szCs w:val="22"/>
        </w:rPr>
        <w:t xml:space="preserve">Based on the clinical evidence, safety profile, and budget impact, Cervi Therapeutics recommends the following formulary placement for cervimab:</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 Tier: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Specialty Tier (Tier 4 commercial / Tier 2 specialty Medicare Part 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 Authorization: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 dMMR/MSI-H confirmation by IHC or PCR/NGS; ≥1 prior line mCRC; ECOG PS 0–2</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 Therapy: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recommended — cervimab is the only approved PD-1 inhibitor for ≥2L dMMR mCRC</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Quantity Limits: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mg IV Q6W; 1 vial per dose; aligned with FDA-labeled regimen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Renewal Criteria:</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of clinical benefit (no progressive disease); continued eligibility; toxicity assessment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Appeals Process: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Expedited exception process for documented dMMR/MSI-H with compelling clinical need</w:t>
            </w:r>
          </w:p>
        </w:tc>
      </w:tr>
    </w:tbl>
    <w:p>
      <w:pPr>
        <w:spacing w:before="0" w:after="80"/>
      </w:pPr>
    </w:p>
    <w:p>
      <w:pPr>
        <w:pStyle w:val="Heading2"/>
        <w:spacing w:before="200" w:after="100"/>
      </w:pPr>
      <w:r>
        <w:rPr>
          <w:rFonts w:ascii="Arial" w:cs="Arial" w:eastAsia="Arial" w:hAnsi="Arial"/>
          <w:b/>
          <w:bCs/>
          <w:color w:val="2E75B6"/>
          <w:sz w:val="28"/>
          <w:szCs w:val="28"/>
        </w:rPr>
        <w:t xml:space="preserve">8.2 Medical Policy Language (Suggested)</w:t>
      </w:r>
    </w:p>
    <w:p>
      <w:pPr>
        <w:spacing w:before="60" w:after="100"/>
      </w:pPr>
      <w:r>
        <w:rPr>
          <w:rFonts w:ascii="Arial" w:cs="Arial" w:eastAsia="Arial" w:hAnsi="Arial"/>
          <w:sz w:val="22"/>
          <w:szCs w:val="22"/>
        </w:rPr>
        <w:t xml:space="preserve">Cervimab (Cervimab IV, Cervi Therapeutics) is covered under the medical benefit as a specialty oncology product when ALL of the following criteria are met: (1) diagnosis of metastatic colorectal adenocarcinoma; (2) dMMR confirmed by immunohistochemistry (IHC; loss of at least one MMR protein: MLH1, MSH2, MSH6, PMS2) OR MSI-H confirmed by PCR or next-generation sequencing (NGS); (3) prior receipt of at least one systemic therapy for metastatic disease (fluoropyrimidine-based regimen with oxaliplatin or irinotecan, ± bevacizumab); (4) ECOG Performance Status 0–2; (5) prescribed by a board-certified medical oncologist; (6) documentation of adequate hepatic, renal, and hematologic function within 30 days of initiation. Coverage is subject to annual review and reauthorization upon documentation of continued clinical benefit.</w:t>
      </w:r>
    </w:p>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9. CONCLUSIONS</w:t>
      </w:r>
    </w:p>
    <w:p>
      <w:pPr>
        <w:spacing w:before="60" w:after="100"/>
      </w:pPr>
      <w:r>
        <w:rPr>
          <w:rFonts w:ascii="Arial" w:cs="Arial" w:eastAsia="Arial" w:hAnsi="Arial"/>
          <w:sz w:val="22"/>
          <w:szCs w:val="22"/>
        </w:rPr>
        <w:t xml:space="preserve">The budget impact analysis demonstrates that formulary adoption of cervimab at the proposed net price of approximately $13,875 per infusion will have a negligible-to-favorable impact on health plan budgets. The small but molecularly defined eligible population (approximately 2.3 patients per million plan members per year) limits total drug cost exposure, while reductions in downstream medical costs—primarily AE management, hospitalization, and supportive care—offset incremental drug acquisition costs.</w:t>
      </w:r>
    </w:p>
    <w:p>
      <w:pPr>
        <w:spacing w:before="0" w:after="80"/>
      </w:pPr>
    </w:p>
    <w:p>
      <w:pPr>
        <w:spacing w:before="60" w:after="100"/>
      </w:pPr>
      <w:r>
        <w:rPr>
          <w:rFonts w:ascii="Arial" w:cs="Arial" w:eastAsia="Arial" w:hAnsi="Arial"/>
          <w:sz w:val="22"/>
          <w:szCs w:val="22"/>
        </w:rPr>
        <w:t xml:space="preserve">Under the base case scenario with 40% peak market penetration and 25% net rebate, the 5-year cumulative PMPM impact is negative (budget-saving) at −$0.020 per member per month on average. Even under optimistic uptake and WAC pricing scenarios, the absolute PMPM impact remains well below the $0.50 PMPM threshold commonly cited by payers as warranting restrictive access management.</w:t>
      </w:r>
    </w:p>
    <w:p>
      <w:pPr>
        <w:spacing w:before="0" w:after="80"/>
      </w:pPr>
    </w:p>
    <w:p>
      <w:pPr>
        <w:spacing w:before="60" w:after="100"/>
      </w:pPr>
      <w:r>
        <w:rPr>
          <w:rFonts w:ascii="Arial" w:cs="Arial" w:eastAsia="Arial" w:hAnsi="Arial"/>
          <w:sz w:val="22"/>
          <w:szCs w:val="22"/>
        </w:rPr>
        <w:t xml:space="preserve">The combination of a small target population, favorable per-patient economics at net price, and comprehensive patient access and value-based contracting programs positions cervimab as a formulary-appropriate specialty oncology product that delivers transformative clinical value without imposing significant budget burden on health plans.</w:t>
      </w:r>
    </w:p>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10. REFERENCES</w:t>
      </w:r>
    </w:p>
    <w:p>
      <w:pPr>
        <w:spacing w:before="60" w:after="100"/>
      </w:pPr>
      <w:r>
        <w:rPr>
          <w:rFonts w:ascii="Arial" w:cs="Arial" w:eastAsia="Arial" w:hAnsi="Arial"/>
          <w:sz w:val="22"/>
          <w:szCs w:val="22"/>
        </w:rPr>
        <w:t xml:space="preserve">1. Sullivan SD, et al. Budget impact analysis — principles of good practice. Value Health. 2014;17(1):5-14.</w:t>
      </w:r>
    </w:p>
    <w:p>
      <w:pPr>
        <w:spacing w:before="60" w:after="100"/>
      </w:pPr>
      <w:r>
        <w:rPr>
          <w:rFonts w:ascii="Arial" w:cs="Arial" w:eastAsia="Arial" w:hAnsi="Arial"/>
          <w:sz w:val="22"/>
          <w:szCs w:val="22"/>
        </w:rPr>
        <w:t xml:space="preserve">2. AMCP. Format for Formulary Submissions, Version 4.1. Academy of Managed Care Pharmacy; 2019.</w:t>
      </w:r>
    </w:p>
    <w:p>
      <w:pPr>
        <w:spacing w:before="60" w:after="100"/>
      </w:pPr>
      <w:r>
        <w:rPr>
          <w:rFonts w:ascii="Arial" w:cs="Arial" w:eastAsia="Arial" w:hAnsi="Arial"/>
          <w:sz w:val="22"/>
          <w:szCs w:val="22"/>
        </w:rPr>
        <w:t xml:space="preserve">3. Siegel RL, et al. Cancer statistics, 2023. CA Cancer J Clin. 2023;73(1):17-48.</w:t>
      </w:r>
    </w:p>
    <w:p>
      <w:pPr>
        <w:spacing w:before="60" w:after="100"/>
      </w:pPr>
      <w:r>
        <w:rPr>
          <w:rFonts w:ascii="Arial" w:cs="Arial" w:eastAsia="Arial" w:hAnsi="Arial"/>
          <w:sz w:val="22"/>
          <w:szCs w:val="22"/>
        </w:rPr>
        <w:t xml:space="preserve">4. Le DT, et al. Mismatch repair deficiency predicts response of solid tumors to PD-1 blockade. Science. 2017;357:409-413.</w:t>
      </w:r>
    </w:p>
    <w:p>
      <w:pPr>
        <w:spacing w:before="60" w:after="100"/>
      </w:pPr>
      <w:r>
        <w:rPr>
          <w:rFonts w:ascii="Arial" w:cs="Arial" w:eastAsia="Arial" w:hAnsi="Arial"/>
          <w:sz w:val="22"/>
          <w:szCs w:val="22"/>
        </w:rPr>
        <w:t xml:space="preserve">5. Cervi Therapeutics. CERVI-301 Clinical Study Report, v1.0, February 2026.</w:t>
      </w:r>
    </w:p>
    <w:p>
      <w:pPr>
        <w:spacing w:before="60" w:after="100"/>
      </w:pPr>
      <w:r>
        <w:rPr>
          <w:rFonts w:ascii="Arial" w:cs="Arial" w:eastAsia="Arial" w:hAnsi="Arial"/>
          <w:sz w:val="22"/>
          <w:szCs w:val="22"/>
        </w:rPr>
        <w:t xml:space="preserve">6. CMS. 2025 Medicare Physician Fee Schedule. January 2025.</w:t>
      </w:r>
    </w:p>
    <w:p>
      <w:pPr>
        <w:spacing w:before="60" w:after="100"/>
      </w:pPr>
      <w:r>
        <w:rPr>
          <w:rFonts w:ascii="Arial" w:cs="Arial" w:eastAsia="Arial" w:hAnsi="Arial"/>
          <w:sz w:val="22"/>
          <w:szCs w:val="22"/>
        </w:rPr>
        <w:t xml:space="preserve">7. Tempus Labs. Real-World Evidence: MSI Testing Patterns in mCRC. Internal data on file, 2024.</w:t>
      </w:r>
    </w:p>
    <w:p>
      <w:pPr>
        <w:spacing w:before="60" w:after="100"/>
      </w:pPr>
      <w:r>
        <w:rPr>
          <w:rFonts w:ascii="Arial" w:cs="Arial" w:eastAsia="Arial" w:hAnsi="Arial"/>
          <w:sz w:val="22"/>
          <w:szCs w:val="22"/>
        </w:rPr>
        <w:t xml:space="preserve">8. PBMI. Specialty Drug Benefit Management Survey, 2024.</w:t>
      </w:r>
    </w:p>
    <w:p>
      <w:pPr>
        <w:spacing w:before="60" w:after="100"/>
      </w:pPr>
      <w:r>
        <w:rPr>
          <w:rFonts w:ascii="Arial" w:cs="Arial" w:eastAsia="Arial" w:hAnsi="Arial"/>
          <w:sz w:val="22"/>
          <w:szCs w:val="22"/>
        </w:rPr>
        <w:t xml:space="preserve">9. AMCP. Guidelines for Value-Based Contracting in Specialty Pharmaceuticals. 2023.</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777777"/>
        <w:sz w:val="16"/>
        <w:szCs w:val="16"/>
      </w:rPr>
      <w:t xml:space="preserve">Cervi Therapeutics HEOR | BLA 761999  </w:t>
    </w:r>
    <w:fldSimple w:instr="PAGE">
      <w:r>
        <w:rPr>
          <w:rFonts w:ascii="Arial" w:cs="Arial" w:eastAsia="Arial" w:hAnsi="Arial"/>
          <w:color w:val="777777"/>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CERVIMAB | Budget Impact Analysis | dMMR/MSI-H mCRC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344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2026-03-16T14:52:38.242Z</dcterms:created>
  <dcterms:modified xsi:type="dcterms:W3CDTF">2026-03-16T14:52:38.243Z</dcterms:modified>
</cp:coreProperties>
</file>

<file path=docProps/custom.xml><?xml version="1.0" encoding="utf-8"?>
<Properties xmlns="http://schemas.openxmlformats.org/officeDocument/2006/custom-properties" xmlns:vt="http://schemas.openxmlformats.org/officeDocument/2006/docPropsVTypes"/>
</file>