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p>
    <w:p>
      <w:pPr>
        <w:spacing w:before="0" w:after="80"/>
        <w:jc w:val="center"/>
      </w:pPr>
      <w:r>
        <w:rPr>
          <w:rFonts w:ascii="Arial" w:cs="Arial" w:eastAsia="Arial" w:hAnsi="Arial"/>
          <w:b/>
          <w:bCs/>
          <w:color w:val="555555"/>
          <w:sz w:val="20"/>
          <w:szCs w:val="20"/>
        </w:rPr>
        <w:t xml:space="preserve">CERVI THERAPEUTICS, INC.</w:t>
      </w:r>
    </w:p>
    <w:p>
      <w:pPr>
        <w:spacing w:before="0" w:after="160"/>
      </w:pPr>
    </w:p>
    <w:p>
      <w:pPr>
        <w:spacing w:before="0" w:after="120"/>
        <w:jc w:val="center"/>
      </w:pPr>
      <w:r>
        <w:rPr>
          <w:rFonts w:ascii="Arial" w:cs="Arial" w:eastAsia="Arial" w:hAnsi="Arial"/>
          <w:b/>
          <w:bCs/>
          <w:color w:val="1F4E79"/>
          <w:sz w:val="48"/>
          <w:szCs w:val="48"/>
        </w:rPr>
        <w:t xml:space="preserve">PAYER VALUE DOSSIER</w:t>
      </w:r>
    </w:p>
    <w:p>
      <w:pPr>
        <w:spacing w:before="0" w:after="80"/>
        <w:jc w:val="center"/>
      </w:pPr>
      <w:r>
        <w:rPr>
          <w:rFonts w:ascii="Arial" w:cs="Arial" w:eastAsia="Arial" w:hAnsi="Arial"/>
          <w:color w:val="2E75B6"/>
          <w:sz w:val="28"/>
          <w:szCs w:val="28"/>
        </w:rPr>
        <w:t xml:space="preserve">CERVIMAB (Anti-PD-1 Monoclonal Antibody, 400 mg IV Q6W)</w:t>
      </w:r>
    </w:p>
    <w:p>
      <w:pPr>
        <w:spacing w:before="0" w:after="200"/>
        <w:jc w:val="center"/>
      </w:pPr>
      <w:r>
        <w:rPr>
          <w:rFonts w:ascii="Arial" w:cs="Arial" w:eastAsia="Arial" w:hAnsi="Arial"/>
          <w:color w:val="444444"/>
          <w:sz w:val="24"/>
          <w:szCs w:val="24"/>
        </w:rPr>
        <w:t xml:space="preserve">For Adult Patients with dMMR/MSI-H Metastatic Colorectal Cancer (≥2nd Line)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bottom w:val="single" w:color="2E75B6" w:sz="12"/>
              <w:right w:val="none"/>
            </w:tcBorders>
            <w:shd w:fill="D6E4F0" w:val="clear"/>
            <w:tcMar>
              <w:top w:type="dxa" w:w="160"/>
              <w:left w:type="dxa" w:w="200"/>
              <w:bottom w:type="dxa" w:w="160"/>
              <w:right w:type="dxa" w:w="200"/>
            </w:tcMar>
          </w:tcPr>
          <w:p>
            <w:r>
              <w:rPr>
                <w:rFonts w:ascii="Arial" w:cs="Arial" w:eastAsia="Arial" w:hAnsi="Arial"/>
                <w:b/>
                <w:bCs/>
                <w:color w:val="1F4E79"/>
                <w:sz w:val="22"/>
                <w:szCs w:val="22"/>
              </w:rPr>
              <w:t xml:space="preserve">AMCP Format for Formulary Submissions, Version 4.1 | Prepared for US Payer and Pharmacy &amp; Therapeutics (P&amp;T) Committees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Cervimab (cemiplimab-[cer])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Dosage Form/Route: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mg/20 mL IV infusion (20 mg/mL)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Proposed NDC:</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12345-0100-01</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Mechanism of Action: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human anti-PD-1 IgG4 monoclonal antibody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Indication: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dMMR/MSI-H mCRC; ≥1 prior line; adult patients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WAC per infusion: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$18,500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 Price (est.):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$13,875 per infusion (25% rebate)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 Number: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761999</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PDUFA Date: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August 2026 (Priority Review)</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Sponsor: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 Therapeutics, Inc., Cambridge, MA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Medical Affairs Contact: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medinfo@cervitherapeutics.com | 1-800-CERVI-TX</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Version: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 3.0 – Final</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AMCP Format: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 4.1 Compliant</w:t>
            </w:r>
          </w:p>
        </w:tc>
      </w:tr>
    </w:tbl>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1: PRODUCT OVERVIEW</w:t>
      </w:r>
    </w:p>
    <w:p>
      <w:pPr>
        <w:pStyle w:val="Heading2"/>
        <w:spacing w:before="200" w:after="100"/>
      </w:pPr>
      <w:r>
        <w:rPr>
          <w:rFonts w:ascii="Arial" w:cs="Arial" w:eastAsia="Arial" w:hAnsi="Arial"/>
          <w:b/>
          <w:bCs/>
          <w:color w:val="2E75B6"/>
          <w:sz w:val="28"/>
          <w:szCs w:val="28"/>
        </w:rPr>
        <w:t xml:space="preserve">1.1 Product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Generic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Cemiplimab-[cer] (cervimab)</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Brand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Cervimab® (proposed)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Drug Class: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Anti-PD-1 monoclonal antibody; Immune checkpoint inhibitor; Antineoplastic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Molecular Target: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Programmed cell death protein 1 (PD-1; CD279)</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Isotype: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human IgG4 with S228P Fc stabilization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Molecular Weight: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~147 kDa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Binding Affinity (PD-1):</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KD = 0.42 nM (sub-nanomolar; high selectivity)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Half-life: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 days (population PK analysis)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Formulation: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Sterile liquid for IV infusion; 400 mg/20 mL (20 mg/mL); no preservatives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Refrigerated (2–8°C); protect from light; do not freeze or shake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Administration: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IV infusion over 30 minutes via 0.2-μm in-line filter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Dosing Schedule: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mg IV Q6W (6-weekly; 8.7 infusions/year)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Until disease progression, unacceptable toxicity, or patient/physician decision (up to 2 years per label)</w:t>
            </w:r>
          </w:p>
        </w:tc>
      </w:tr>
    </w:tbl>
    <w:p>
      <w:pPr>
        <w:spacing w:before="0" w:after="80"/>
      </w:pPr>
    </w:p>
    <w:p>
      <w:pPr>
        <w:pStyle w:val="Heading2"/>
        <w:spacing w:before="200" w:after="100"/>
      </w:pPr>
      <w:r>
        <w:rPr>
          <w:rFonts w:ascii="Arial" w:cs="Arial" w:eastAsia="Arial" w:hAnsi="Arial"/>
          <w:b/>
          <w:bCs/>
          <w:color w:val="2E75B6"/>
          <w:sz w:val="28"/>
          <w:szCs w:val="28"/>
        </w:rPr>
        <w:t xml:space="preserve">1.2 Mechanism of Action</w:t>
      </w:r>
    </w:p>
    <w:p>
      <w:pPr>
        <w:spacing w:before="60" w:after="100"/>
      </w:pPr>
      <w:r>
        <w:rPr>
          <w:rFonts w:ascii="Arial" w:cs="Arial" w:eastAsia="Arial" w:hAnsi="Arial"/>
          <w:sz w:val="22"/>
          <w:szCs w:val="22"/>
        </w:rPr>
        <w:t xml:space="preserve">Cervimab is a fully human IgG4 anti-PD-1 monoclonal antibody that blocks the interaction between PD-1 and its ligands PD-L1 and PD-L2. PD-1 is an inhibitory receptor expressed on activated T cells; PD-L1 and PD-L2 are expressed on tumor cells and tumor-infiltrating immune cells in dMMR/MSI-H colorectal cancer. By blocking this checkpoint, cervimab restores anti-tumor T cell activity, enabling immune-mediated killing of tumor cells. The S228P Fc mutation prevents Fab-arm exchange, ensuring homogeneous antibody composition in vivo. Unlike IgG1 checkpoint inhibitors, the IgG4 isotype avoids complement activation and minimizes ADCC, reducing infusion-related reactions and off-target immune activation.</w:t>
      </w:r>
    </w:p>
    <w:p>
      <w:pPr>
        <w:spacing w:before="0" w:after="80"/>
      </w:pPr>
    </w:p>
    <w:p>
      <w:pPr>
        <w:pStyle w:val="Heading2"/>
        <w:spacing w:before="200" w:after="100"/>
      </w:pPr>
      <w:r>
        <w:rPr>
          <w:rFonts w:ascii="Arial" w:cs="Arial" w:eastAsia="Arial" w:hAnsi="Arial"/>
          <w:b/>
          <w:bCs/>
          <w:color w:val="2E75B6"/>
          <w:sz w:val="28"/>
          <w:szCs w:val="28"/>
        </w:rPr>
        <w:t xml:space="preserve">1.3 Pharmacokinetics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PK Parameter</w:t>
            </w:r>
          </w:p>
        </w:tc>
        <w:tc>
          <w:tcPr>
            <w:tcW w:type="dxa" w:w="6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Value (Population PK Analysis, n=387)</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concentration (Cmax)</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387 μg/mL (CV 28%)</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AUC0-inf</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21,400 μg·h/mL (CV 32%)</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Half-life (t1/2)</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26.2 days (CV 22%)</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Volume of distribution (Vss)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 L (CV 18%)</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Clearance (CL)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 L/day (CV 35%)</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Trough (Cmin) at steady state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 μg/mL (&gt;95% PD-1 saturation throughout Q6W interval)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Receptor occupancy (RO)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&gt;99% at Cmax; &gt;95% at trough throughout dosing interval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dose adjustment required for: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 (18–83y), sex, weight (40–150 kg), mild-moderate renal impairment, mild hepatic impairment</w:t>
            </w:r>
          </w:p>
        </w:tc>
      </w:tr>
    </w:tbl>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2: DISEASE AND CURRENT TREATMENT</w:t>
      </w:r>
    </w:p>
    <w:p>
      <w:pPr>
        <w:pStyle w:val="Heading2"/>
        <w:spacing w:before="200" w:after="100"/>
      </w:pPr>
      <w:r>
        <w:rPr>
          <w:rFonts w:ascii="Arial" w:cs="Arial" w:eastAsia="Arial" w:hAnsi="Arial"/>
          <w:b/>
          <w:bCs/>
          <w:color w:val="2E75B6"/>
          <w:sz w:val="28"/>
          <w:szCs w:val="28"/>
        </w:rPr>
        <w:t xml:space="preserve">2.1 Disease Overview</w:t>
      </w:r>
    </w:p>
    <w:p>
      <w:pPr>
        <w:spacing w:before="60" w:after="100"/>
      </w:pPr>
      <w:r>
        <w:rPr>
          <w:rFonts w:ascii="Arial" w:cs="Arial" w:eastAsia="Arial" w:hAnsi="Arial"/>
          <w:sz w:val="22"/>
          <w:szCs w:val="22"/>
        </w:rPr>
        <w:t xml:space="preserve">Colorectal cancer (CRC) is the third most common cancer and second leading cause of cancer death in the United States. The dMMR/MSI-H phenotype is identified in approximately 4–5% of metastatic CRC cases, corresponding to ~4,500–5,000 US patients annually. This subtype is characterized by deficient DNA mismatch repair leading to hypermutation (tumor mutational burden typically 40–50 mut/Mb), dense immune infiltration, and striking sensitivity to PD-1 checkpoint blockade—in contrast to the intrinsic chemotherapy resistance observed in this molecular subtype.</w:t>
      </w:r>
    </w:p>
    <w:p>
      <w:pPr>
        <w:spacing w:before="0" w:after="80"/>
      </w:pPr>
    </w:p>
    <w:p>
      <w:pPr>
        <w:pStyle w:val="Heading2"/>
        <w:spacing w:before="200" w:after="100"/>
      </w:pPr>
      <w:r>
        <w:rPr>
          <w:rFonts w:ascii="Arial" w:cs="Arial" w:eastAsia="Arial" w:hAnsi="Arial"/>
          <w:b/>
          <w:bCs/>
          <w:color w:val="2E75B6"/>
          <w:sz w:val="28"/>
          <w:szCs w:val="28"/>
        </w:rPr>
        <w:t xml:space="preserve">2.2 Current Treatment Algorithm (Second-Line dMMR/MSI-H mCRC)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3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Available Options</w:t>
            </w:r>
          </w:p>
        </w:tc>
        <w:tc>
          <w:tcPr>
            <w:tcW w:type="dxa" w:w="3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Limitations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2L dMMR/MSI-H (post-chemo)</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FOLFOX ± bev, FOLFIRI ± bev, ramucirumab, ziv-aflibercept; NO approved IO</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PD-1/PD-L1 approved in 2L; chemo offers limited benefit (mOS ~14.7 mo; ORR ~18%)</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2L dMMR/MSI-H (post-pembro)</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approved IO; limited chemo data in IO-exposed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research area; no standard of care established; substantial unmet need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3L+ dMMR/MSI-H</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Regorafenib, TAS-102; basket IO trials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limited efficacy; mOS ~5–7 months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bottom w:val="single" w:color="2E75B6" w:sz="12"/>
              <w:right w:val="none"/>
            </w:tcBorders>
            <w:shd w:fill="D6E4F0" w:val="clear"/>
            <w:tcMar>
              <w:top w:type="dxa" w:w="160"/>
              <w:left w:type="dxa" w:w="200"/>
              <w:bottom w:type="dxa" w:w="160"/>
              <w:right w:type="dxa" w:w="200"/>
            </w:tcMar>
          </w:tcPr>
          <w:p>
            <w:r>
              <w:rPr>
                <w:rFonts w:ascii="Arial" w:cs="Arial" w:eastAsia="Arial" w:hAnsi="Arial"/>
                <w:b/>
                <w:bCs/>
                <w:color w:val="1F4E79"/>
                <w:sz w:val="22"/>
                <w:szCs w:val="22"/>
              </w:rPr>
              <w:t xml:space="preserve">KEY UNMET NEED: No PD-1/PD-L1 inhibitor is currently approved for dMMR/MSI-H mCRC in the ≥2nd line setting. Pembrolizumab is approved ONLY for first-line treatment. Cervimab would be the FIRST approved immunotherapy for previously treated dMMR/MSI-H mCRC.</w:t>
            </w:r>
          </w:p>
        </w:tc>
      </w:tr>
    </w:tbl>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3: CLINICAL EVIDENCE</w:t>
      </w:r>
    </w:p>
    <w:p>
      <w:pPr>
        <w:pStyle w:val="Heading2"/>
        <w:spacing w:before="200" w:after="100"/>
      </w:pPr>
      <w:r>
        <w:rPr>
          <w:rFonts w:ascii="Arial" w:cs="Arial" w:eastAsia="Arial" w:hAnsi="Arial"/>
          <w:b/>
          <w:bCs/>
          <w:color w:val="2E75B6"/>
          <w:sz w:val="28"/>
          <w:szCs w:val="28"/>
        </w:rPr>
        <w:t xml:space="preserve">3.1 Summary of Evidence</w:t>
      </w:r>
    </w:p>
    <w:p>
      <w:pPr>
        <w:spacing w:before="60" w:after="100"/>
      </w:pPr>
      <w:r>
        <w:rPr>
          <w:rFonts w:ascii="Arial" w:cs="Arial" w:eastAsia="Arial" w:hAnsi="Arial"/>
          <w:sz w:val="22"/>
          <w:szCs w:val="22"/>
        </w:rPr>
        <w:t xml:space="preserve">The cervimab clinical evidence package includes a comprehensive Phase 1/2 dose-finding study (CERVI-101; n=87) and the pivotal Phase 3 randomized controlled trial (CERVI-301; n=522). All pivotal efficacy and safety evidence is derived from CERVI-301, with supportive evidence from CERVI-101 and population pharmacokinetic analyses.</w:t>
      </w:r>
    </w:p>
    <w:p>
      <w:pPr>
        <w:spacing w:before="0" w:after="80"/>
      </w:pPr>
    </w:p>
    <w:p>
      <w:pPr>
        <w:pStyle w:val="Heading2"/>
        <w:spacing w:before="200" w:after="100"/>
      </w:pPr>
      <w:r>
        <w:rPr>
          <w:rFonts w:ascii="Arial" w:cs="Arial" w:eastAsia="Arial" w:hAnsi="Arial"/>
          <w:b/>
          <w:bCs/>
          <w:color w:val="2E75B6"/>
          <w:sz w:val="28"/>
          <w:szCs w:val="28"/>
        </w:rPr>
        <w:t xml:space="preserve">3.2 CERVI-301 Phase 3 Pivotal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Design Element</w:t>
            </w:r>
          </w:p>
        </w:tc>
        <w:tc>
          <w:tcPr>
            <w:tcW w:type="dxa" w:w="6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Study Design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 multicenter, international, open-label, randomized 1:1 controlled trial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Population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Adult (≥18y), confirmed dMMR/MSI-H mCRC, ECOG PS 0–2, ≥1 prior line systemic therapy, measurable disease RECIST 1.1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Treatment Arms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Arm A: Cervimab 400 mg IV Q6W | Arm B: Investigator's choice FOLFOX ± bev OR FOLFIRI ± bev Q2W</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522 (261/261)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Endpoint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PFS per RECIST 1.1, BICR (blinded independent central review)</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Key Secondary Endpoints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ORR (BICR), DoR, DCR, PROs (EORTC QLQ-C30, EQ-5D-5L), caregiver burden (ZBI)</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Stratification Factors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Prior bevacizumab (Y/N), geographic region (US+EU vs. ROW), ECOG PS (0–1 vs. 2)</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Pre-specified interim OS analysis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Alpha spending per O'Brien-Fleming; interim boundary α=0.0025</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Cutoff</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15, 2025 (primary PFS); concurrent OS interim analysis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Median Follow-up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22.7 months</w:t>
            </w:r>
          </w:p>
        </w:tc>
      </w:tr>
    </w:tbl>
    <w:p>
      <w:pPr>
        <w:spacing w:before="0" w:after="80"/>
      </w:pPr>
    </w:p>
    <w:p>
      <w:pPr>
        <w:pStyle w:val="Heading2"/>
        <w:spacing w:before="200" w:after="100"/>
      </w:pPr>
      <w:r>
        <w:rPr>
          <w:rFonts w:ascii="Arial" w:cs="Arial" w:eastAsia="Arial" w:hAnsi="Arial"/>
          <w:b/>
          <w:bCs/>
          <w:color w:val="2E75B6"/>
          <w:sz w:val="28"/>
          <w:szCs w:val="28"/>
        </w:rPr>
        <w:t xml:space="preserve">3.3 Key Efficacy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80"/>
        <w:gridCol w:w="1480"/>
        <w:gridCol w:w="2200"/>
        <w:gridCol w:w="1000"/>
      </w:tblGrid>
      <w:t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1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Cervimab (n=261)</w:t>
            </w:r>
          </w:p>
        </w:tc>
        <w:tc>
          <w:tcPr>
            <w:tcW w:type="dxa" w:w="14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Chemotherapy (n=261)</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Effect Size (95% CI)</w:t>
            </w:r>
          </w:p>
        </w:tc>
        <w:tc>
          <w:tcPr>
            <w:tcW w:type="dxa" w:w="1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p-value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Median PFS (BICR)</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16.3 months</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6.2 months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 0.39 (0.31–0.50)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PFS HR interpretation</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 reduction in risk of progression or death</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PFS at 12 months</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58.4%</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Δ +30.3%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Median OS (interim)</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14.7 months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 0.51 (0.38–0.68)</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at 12 months</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74.3%</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Δ +16.2%</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at 18 months</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65.7%</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Δ +23.4%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ORR (BICR)</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43.7%</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Δ +25.3% (17.3–33.3%)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Response Rate</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11.5%</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Δ +9.2%</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Disease Control Rate</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78.5%</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Δ +16.8%</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Median DoR</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 (&gt;24 mo)</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 months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EORTC GHS/QoL change at wk12</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+8.4 points</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 points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Diff +12.5 pts (p=0.0003)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0.0003</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EQ-5D-5L utility at wk12</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0.74</w:t>
            </w:r>
          </w:p>
        </w:tc>
        <w:tc>
          <w:tcPr>
            <w:tcW w:type="dxa" w:w="1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Diff +0.10 (p=0.0001)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0.0001</w:t>
            </w:r>
          </w:p>
        </w:tc>
      </w:tr>
    </w:tbl>
    <w:p>
      <w:pPr>
        <w:spacing w:before="0" w:after="80"/>
      </w:pPr>
    </w:p>
    <w:p>
      <w:pPr>
        <w:pStyle w:val="Heading2"/>
        <w:spacing w:before="200" w:after="100"/>
      </w:pPr>
      <w:r>
        <w:rPr>
          <w:rFonts w:ascii="Arial" w:cs="Arial" w:eastAsia="Arial" w:hAnsi="Arial"/>
          <w:b/>
          <w:bCs/>
          <w:color w:val="2E75B6"/>
          <w:sz w:val="28"/>
          <w:szCs w:val="28"/>
        </w:rPr>
        <w:t xml:space="preserve">3.4 Safety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Safety Parameter</w:t>
            </w:r>
          </w:p>
        </w:tc>
        <w:tc>
          <w:tcPr>
            <w:tcW w:type="dxa" w:w="29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Cervimab (n=261)</w:t>
            </w:r>
          </w:p>
        </w:tc>
        <w:tc>
          <w:tcPr>
            <w:tcW w:type="dxa" w:w="29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Chemotherapy (n=261)</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TRAE</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71.3%</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94.3%</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 ≥3 TRAE</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18.2%</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47.3%</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Serious TRAE</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12.6%</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24.1%</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TRAE → Discontinuation</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Treatment-related deaths</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 (n=1)</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(n=3)</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 ≥3 immune-related AEs</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 ≥3 neutropenia</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34.1%</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 ≥3 anemia</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12.3%</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Peripheral neuropathy (any grade)</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38.7%</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Alopecia (any grade)</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28.4%</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Nausea (any grade)</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68.4%</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Fatigue (any grade)</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24.3%</w:t>
            </w:r>
          </w:p>
        </w:tc>
        <w:tc>
          <w:tcPr>
            <w:tcW w:type="dxa" w:w="2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52.1%</w:t>
            </w:r>
          </w:p>
        </w:tc>
      </w:tr>
    </w:tbl>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4: COMPARATIVE CLINICAL VALUE</w:t>
      </w:r>
    </w:p>
    <w:p>
      <w:pPr>
        <w:pStyle w:val="Heading2"/>
        <w:spacing w:before="200" w:after="100"/>
      </w:pPr>
      <w:r>
        <w:rPr>
          <w:rFonts w:ascii="Arial" w:cs="Arial" w:eastAsia="Arial" w:hAnsi="Arial"/>
          <w:b/>
          <w:bCs/>
          <w:color w:val="2E75B6"/>
          <w:sz w:val="28"/>
          <w:szCs w:val="28"/>
        </w:rPr>
        <w:t xml:space="preserve">4.1 Comparator Summary</w:t>
      </w:r>
    </w:p>
    <w:p>
      <w:pPr>
        <w:spacing w:before="60" w:after="100"/>
      </w:pPr>
      <w:r>
        <w:rPr>
          <w:rFonts w:ascii="Arial" w:cs="Arial" w:eastAsia="Arial" w:hAnsi="Arial"/>
          <w:sz w:val="22"/>
          <w:szCs w:val="22"/>
        </w:rPr>
        <w:t xml:space="preserve">Cervimab was directly compared against standard chemotherapy in CERVI-301. Indirect treatment comparisons (ITC/NMA) were conducted to provide context relative to other checkpoint inhibitors approved or in development for dMMR/MSI-H CRC:</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600"/>
        <w:gridCol w:w="17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Comparator</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1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PFS HR vs. Chemo</w:t>
            </w:r>
          </w:p>
        </w:tc>
        <w:tc>
          <w:tcPr>
            <w:tcW w:type="dxa" w:w="1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OS HR vs. Chemo</w:t>
            </w:r>
          </w:p>
        </w:tc>
        <w:tc>
          <w:tcPr>
            <w:tcW w:type="dxa" w:w="1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Head-to-Head vs. Cervimab</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Cervimab (cervimab)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2L+ dMMR mCRC (CERVI-301)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0.39 (0.31–0.50)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0.51 (0.38–0.68)</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Pembrolizumab (Keytruda)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1L dMMR mCRC (KEYNOTE-177)</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0.60 (0.45–0.80)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0.74 (0.53–1.03)</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NMA: HR 0.88 (0.61–1.27); 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Nivolumab (Opdivo)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2L+ dMMR mCRC (CM-142)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 vs. hist. control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 vs. hist. control</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NMA: HR 0.81 (0.52–1.26); 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Dostarlimab (Jemperli)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dMMR rectal (GARNET)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Single-arm; no RCT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Single-arm; no RCT</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 evidence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Chemotherapy (FOLFOX+bev)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2L mCRC (active control)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comparison</w:t>
            </w:r>
          </w:p>
        </w:tc>
      </w:tr>
    </w:tbl>
    <w:p>
      <w:pPr>
        <w:spacing w:before="0" w:after="80"/>
      </w:pPr>
    </w:p>
    <w:p>
      <w:pPr>
        <w:spacing w:before="60" w:after="100"/>
      </w:pPr>
      <w:r>
        <w:rPr>
          <w:rFonts w:ascii="Arial" w:cs="Arial" w:eastAsia="Arial" w:hAnsi="Arial"/>
          <w:sz w:val="22"/>
          <w:szCs w:val="22"/>
        </w:rPr>
        <w:t xml:space="preserve">NMA = network meta-analysis; NS = not statistically significant; HR = hazard ratio; NR = not reported/calculable. All indirect comparisons carry inherent uncertainty due to cross-trial heterogeneity. The direct evidence from CERVI-301 forms the primary basis for value assessment.</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5: FULL VALUE OF THE MONEY ASSESSMENT</w:t>
      </w:r>
    </w:p>
    <w:p>
      <w:pPr>
        <w:pStyle w:val="Heading2"/>
        <w:spacing w:before="200" w:after="100"/>
      </w:pPr>
      <w:r>
        <w:rPr>
          <w:rFonts w:ascii="Arial" w:cs="Arial" w:eastAsia="Arial" w:hAnsi="Arial"/>
          <w:b/>
          <w:bCs/>
          <w:color w:val="2E75B6"/>
          <w:sz w:val="28"/>
          <w:szCs w:val="28"/>
        </w:rPr>
        <w:t xml:space="preserve">5.1 ICER Extended Framework Domains</w:t>
      </w:r>
    </w:p>
    <w:p>
      <w:pPr>
        <w:spacing w:before="60" w:after="100"/>
      </w:pPr>
      <w:r>
        <w:rPr>
          <w:rFonts w:ascii="Arial" w:cs="Arial" w:eastAsia="Arial" w:hAnsi="Arial"/>
          <w:sz w:val="22"/>
          <w:szCs w:val="22"/>
        </w:rPr>
        <w:t xml:space="preserve">Consistent with ICER's 2020 updated framework, cervimab's value is assessed across the following domains beyond traditional QALY-based analysis: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Value Domain</w:t>
            </w:r>
          </w:p>
        </w:tc>
        <w:tc>
          <w:tcPr>
            <w:tcW w:type="dxa" w:w="3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Evidence</w:t>
            </w:r>
          </w:p>
        </w:tc>
        <w:tc>
          <w:tcPr>
            <w:tcW w:type="dxa" w:w="3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Assessment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Comparative Clinical Effectiveness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CERVI-301: PFS HR 0.39; OS HR 0.51; ORR 43.7%</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statistically and clinically significant improvement in all key endpoints vs. active comparator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Health-Related Quality of Life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EORTC QLQ-C30: +12.5-pt GHS advantage; EQ-5D: +0.10 utility advantage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clinically meaningful HRQoL benefit; confirmed by PRO-responder analyses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Severity of Disease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Unresectable mCRC; limited median OS ~14.7 mo without treatment; 4/5 ICER severity criteria met</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qualifies for modified ICER severity multiplier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Unmet Need</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approved IO in ≥2L dMMR mCRC; transformative improvement over SOC</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first PD-1 inhibitor with Phase 3 evidence in this setting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Wider Benefits to Patients &amp; Families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Reduced AE burden; caregiver ZBI improvement; preserved daily function</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MODERATE-HIGH — caregiver benefit objectively measured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Innovation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RCT-confirmed immunotherapy in ≥2L dMMR mCRC; novel Q6W schedule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 incremental innovation vs. pemb/nivo in 1L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Cobeneficiary effects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Reduced caregiver absenteeism; extended time with family (quantified in substudy)</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Real-world implementability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IV Q6W schedule; no dose adjustment needed; in-center infusion; clear biomarker criteria</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straightforward to integrate into oncology infusion practice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Insurance coverage &amp; access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 Assist PAP; co-pay support; 340B participation; VBC available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comprehensive access support programs in place</w:t>
            </w:r>
          </w:p>
        </w:tc>
      </w:tr>
    </w:tbl>
    <w:p>
      <w:pPr>
        <w:spacing w:before="0" w:after="80"/>
      </w:pPr>
    </w:p>
    <w:p>
      <w:pPr>
        <w:pStyle w:val="Heading2"/>
        <w:spacing w:before="200" w:after="100"/>
      </w:pPr>
      <w:r>
        <w:rPr>
          <w:rFonts w:ascii="Arial" w:cs="Arial" w:eastAsia="Arial" w:hAnsi="Arial"/>
          <w:b/>
          <w:bCs/>
          <w:color w:val="2E75B6"/>
          <w:sz w:val="28"/>
          <w:szCs w:val="28"/>
        </w:rPr>
        <w:t xml:space="preserve">5.2 Patient-Centered Value</w:t>
      </w:r>
    </w:p>
    <w:p>
      <w:pPr>
        <w:spacing w:before="60" w:after="100"/>
      </w:pPr>
      <w:r>
        <w:rPr>
          <w:rFonts w:ascii="Arial" w:cs="Arial" w:eastAsia="Arial" w:hAnsi="Arial"/>
          <w:sz w:val="22"/>
          <w:szCs w:val="22"/>
        </w:rPr>
        <w:t xml:space="preserve">Structured patient interviews and focus groups (n=42 patients, n=18 caregivers) conducted in partnership with Colorectal Cancer Alliance and Fight Colorectal Cancer identified the following patient-centered value drivers: (1) time with family and ability to maintain daily activities; (2) avoiding alopecia, nausea, and peripheral neuropathy; (3) convenience of less-frequent clinic visits (Q6W vs. Q2W); (4) hope for durable disease control ('staying stable'); and (5) transparency about immune-related risks. Cervimab directly addresses items 1–4, which were ranked as highest priority by patients. The incidence of immune-related AEs (irAEs) was acknowledged but patients expressed acceptance of this risk profile when clearly communicated by their oncologist.</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6: ECONOMIC VALUE SUMMARY</w:t>
      </w:r>
    </w:p>
    <w:p>
      <w:pPr>
        <w:pStyle w:val="Heading2"/>
        <w:spacing w:before="200" w:after="100"/>
      </w:pPr>
      <w:r>
        <w:rPr>
          <w:rFonts w:ascii="Arial" w:cs="Arial" w:eastAsia="Arial" w:hAnsi="Arial"/>
          <w:b/>
          <w:bCs/>
          <w:color w:val="2E75B6"/>
          <w:sz w:val="28"/>
          <w:szCs w:val="28"/>
        </w:rPr>
        <w:t xml:space="preserve">6.1 Cost-Effectiveness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Value (Net Price)</w:t>
            </w:r>
          </w:p>
        </w:tc>
        <w:tc>
          <w:tcPr>
            <w:tcW w:type="dxa" w:w="28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Value (WAC)</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Case ICER</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$84,200/QALY</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$142,300/QALY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Cost per Life-Year Gained</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$72,980/LY</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$123,600/LY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evLYG ICER (ICER framework)</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$91,400/evLYG</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$154,800/evLYG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Societal perspective ICER</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$78,900/QALY</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$133,500/QALY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Incremental QALYs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2.21 QALYs/patient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2.21 QALYs/patient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Incremental Life-Years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2.55 LY/patient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2.55 LY/patient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Probability CE at $150K WTP</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79% (net price)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54% (WAC)</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Probability CE at $200K WTP</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 (net price)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79% (WAC)</w:t>
            </w:r>
          </w:p>
        </w:tc>
      </w:tr>
    </w:tbl>
    <w:p>
      <w:pPr>
        <w:spacing w:before="0" w:after="80"/>
      </w:pPr>
    </w:p>
    <w:p>
      <w:pPr>
        <w:pStyle w:val="Heading2"/>
        <w:spacing w:before="200" w:after="100"/>
      </w:pPr>
      <w:r>
        <w:rPr>
          <w:rFonts w:ascii="Arial" w:cs="Arial" w:eastAsia="Arial" w:hAnsi="Arial"/>
          <w:b/>
          <w:bCs/>
          <w:color w:val="2E75B6"/>
          <w:sz w:val="28"/>
          <w:szCs w:val="28"/>
        </w:rPr>
        <w:t xml:space="preserve">6.2 Budget Impact (1M Lives, 5-Year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100"/>
        <w:gridCol w:w="2280"/>
        <w:gridCol w:w="2280"/>
      </w:tblGrid>
      <w:tr>
        <w:tc>
          <w:tcPr>
            <w:tcW w:type="dxa" w:w="1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1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Eligible Pts</w:t>
            </w:r>
          </w:p>
        </w:tc>
        <w:tc>
          <w:tcPr>
            <w:tcW w:type="dxa" w:w="21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Cervimab Treated (BC)</w:t>
            </w:r>
          </w:p>
        </w:tc>
        <w:tc>
          <w:tcPr>
            <w:tcW w:type="dxa" w:w="22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Net PMPM Impact</w:t>
            </w:r>
          </w:p>
        </w:tc>
        <w:tc>
          <w:tcPr>
            <w:tcW w:type="dxa" w:w="22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Cumulative PMPM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 (10%)</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−$0.007</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0.53 (22%)</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−$0.015</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0.77 (32%)</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−$0.022</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0.95 (38%)</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−$0.027</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−$0.018</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 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(40%)</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−$0.029</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−$0.020</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bottom w:val="single" w:color="2E75B6" w:sz="12"/>
              <w:right w:val="none"/>
            </w:tcBorders>
            <w:shd w:fill="D6E4F0" w:val="clear"/>
            <w:tcMar>
              <w:top w:type="dxa" w:w="160"/>
              <w:left w:type="dxa" w:w="200"/>
              <w:bottom w:type="dxa" w:w="160"/>
              <w:right w:type="dxa" w:w="200"/>
            </w:tcMar>
          </w:tcPr>
          <w:p>
            <w:r>
              <w:rPr>
                <w:rFonts w:ascii="Arial" w:cs="Arial" w:eastAsia="Arial" w:hAnsi="Arial"/>
                <w:b/>
                <w:bCs/>
                <w:color w:val="1F4E79"/>
                <w:sz w:val="22"/>
                <w:szCs w:val="22"/>
              </w:rPr>
              <w:t xml:space="preserve">BUDGET IMPACT SUMMARY: Formulary adoption of cervimab at net price results in budget-neutral to modestly budget-saving outcomes for health plans, driven by downstream medical cost reductions that offset incremental drug acquisition costs. Peak PMPM impact is −$0.029 (savings) at Year 5 under base case assumptions.</w:t>
            </w:r>
          </w:p>
        </w:tc>
      </w:tr>
    </w:tbl>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7: PATIENT-REPORTED OUTCOMES</w:t>
      </w:r>
    </w:p>
    <w:p>
      <w:pPr>
        <w:pStyle w:val="Heading2"/>
        <w:spacing w:before="200" w:after="100"/>
      </w:pPr>
      <w:r>
        <w:rPr>
          <w:rFonts w:ascii="Arial" w:cs="Arial" w:eastAsia="Arial" w:hAnsi="Arial"/>
          <w:b/>
          <w:bCs/>
          <w:color w:val="2E75B6"/>
          <w:sz w:val="28"/>
          <w:szCs w:val="28"/>
        </w:rPr>
        <w:t xml:space="preserve">7.1 PRO Instruments and Collection</w:t>
      </w:r>
    </w:p>
    <w:p>
      <w:pPr>
        <w:spacing w:before="60" w:after="100"/>
      </w:pPr>
      <w:r>
        <w:rPr>
          <w:rFonts w:ascii="Arial" w:cs="Arial" w:eastAsia="Arial" w:hAnsi="Arial"/>
          <w:sz w:val="22"/>
          <w:szCs w:val="22"/>
        </w:rPr>
        <w:t xml:space="preserve">Patient-reported outcomes were prospectively collected in CERVI-301 at baseline, weeks 6, 12, 18, 24, and every 12 weeks thereafter. Instruments used: EORTC QLQ-C30 (version 3.0); EQ-5D-5L with UK tariff crosswalk to US norms; Zarit Burden Interview (ZBI) for caregivers; Patient Global Impression of Change (PGIC). PRO questionnaire completion rates were &gt;88% through week 24 in both arms.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1800"/>
        <w:gridCol w:w="1000"/>
      </w:tblGrid>
      <w:tr>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PRO Measure</w:t>
            </w:r>
          </w:p>
        </w:tc>
        <w:tc>
          <w:tcPr>
            <w:tcW w:type="dxa" w:w="16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Cervimab (Change from BL at Wk12)</w:t>
            </w:r>
          </w:p>
        </w:tc>
        <w:tc>
          <w:tcPr>
            <w:tcW w:type="dxa" w:w="16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Chemotherapy (Change from BL at Wk12)</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Diff (95% CI)</w:t>
            </w:r>
          </w:p>
        </w:tc>
        <w:tc>
          <w:tcPr>
            <w:tcW w:type="dxa" w:w="1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p-value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EORTC GHS/QoL (0–100)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+ 8.4 points</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− 4.1 points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 (7.1–17.9)</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0.0003</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EORTC Physical Function</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+ 5.2</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− 8.7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+13.9 (9.1–18.7)</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EORTC Fatigue</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− 7.1 (improvement)</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+ 14.3 (worsening)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−21.4 (−27.8–−15.0)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EORTC Pain</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− 4.8</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+ 8.2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−13.0 (−17.4–−8.6)</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EQ-5D-5L Utility</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+ 0.10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+0.10 (0.06–0.14)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EQ VAS</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+ 9.1</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− 6.4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+15.5 (9.8–21.2)</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to HRQoL deterioration</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 months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 0.41 (0.31–0.54)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&lt;0.0001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Caregiver ZBI (wk24)</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18.4</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 (−14.8–−3.6)</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0.002</w:t>
            </w:r>
          </w:p>
        </w:tc>
      </w:tr>
    </w:tbl>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8: COMPANION DIAGNOSTICS AND BIOMARKERS</w:t>
      </w:r>
    </w:p>
    <w:p>
      <w:pPr>
        <w:pStyle w:val="Heading2"/>
        <w:spacing w:before="200" w:after="100"/>
      </w:pPr>
      <w:r>
        <w:rPr>
          <w:rFonts w:ascii="Arial" w:cs="Arial" w:eastAsia="Arial" w:hAnsi="Arial"/>
          <w:b/>
          <w:bCs/>
          <w:color w:val="2E75B6"/>
          <w:sz w:val="28"/>
          <w:szCs w:val="28"/>
        </w:rPr>
        <w:t xml:space="preserve">8.1 Biomarker Testing Requirements</w:t>
      </w:r>
    </w:p>
    <w:p>
      <w:pPr>
        <w:spacing w:before="60" w:after="100"/>
      </w:pPr>
      <w:r>
        <w:rPr>
          <w:rFonts w:ascii="Arial" w:cs="Arial" w:eastAsia="Arial" w:hAnsi="Arial"/>
          <w:sz w:val="22"/>
          <w:szCs w:val="22"/>
        </w:rPr>
        <w:t xml:space="preserve">Cervimab requires confirmation of dMMR or MSI-H status prior to treatment. Both IHC-based MMR testing and molecular MSI testing are acceptable. The sponsor has entered into partnerships with leading diagnostic companies and supports both central and local testing paradigms.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40"/>
        <w:gridCol w:w="1440"/>
        <w:gridCol w:w="1680"/>
      </w:tblGrid>
      <w:tr>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Testing Method</w:t>
            </w:r>
          </w:p>
        </w:tc>
        <w:tc>
          <w:tcPr>
            <w:tcW w:type="dxa" w:w="2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144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Analytical Sensitivity</w:t>
            </w:r>
          </w:p>
        </w:tc>
        <w:tc>
          <w:tcPr>
            <w:tcW w:type="dxa" w:w="144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Analytical Specificity</w:t>
            </w:r>
          </w:p>
        </w:tc>
        <w:tc>
          <w:tcPr>
            <w:tcW w:type="dxa" w:w="168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Regulatory Status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IHC (MMR proteins)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Ventana MMR IHC Panel (MLH1/MSH2/MSH6/PMS2)</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97.8%</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99.2%</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FDA-cleared; CDx status pending for cervimab</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PCR-based MSI</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Promega MSI Analysis System v1.2</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94.2%</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98.7%</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FDA-cleared; research use only for CDx pending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NGS MSI (tumor-only)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Foundation Medicine F1CDx; Tempus xT</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96.1%</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99.4%</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FDA-approved CDx for multiple indications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NGS MSI (tumor+blood)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Guardant360 CDx (liquid biopsy; exploratory)</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88.4%</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99.1%</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FDA-approved for different context of use</w:t>
            </w:r>
          </w:p>
        </w:tc>
      </w:tr>
    </w:tbl>
    <w:p>
      <w:pPr>
        <w:spacing w:before="0" w:after="80"/>
      </w:pPr>
    </w:p>
    <w:p>
      <w:pPr>
        <w:pStyle w:val="Heading2"/>
        <w:spacing w:before="200" w:after="100"/>
      </w:pPr>
      <w:r>
        <w:rPr>
          <w:rFonts w:ascii="Arial" w:cs="Arial" w:eastAsia="Arial" w:hAnsi="Arial"/>
          <w:b/>
          <w:bCs/>
          <w:color w:val="2E75B6"/>
          <w:sz w:val="28"/>
          <w:szCs w:val="28"/>
        </w:rPr>
        <w:t xml:space="preserve">8.2 Testing Algorithm Recommendation</w:t>
      </w:r>
    </w:p>
    <w:p>
      <w:pPr>
        <w:spacing w:before="60" w:after="100"/>
      </w:pPr>
      <w:r>
        <w:rPr>
          <w:rFonts w:ascii="Arial" w:cs="Arial" w:eastAsia="Arial" w:hAnsi="Arial"/>
          <w:sz w:val="22"/>
          <w:szCs w:val="22"/>
        </w:rPr>
        <w:t xml:space="preserve">Universal MMR/MSI testing at diagnosis of all CRC tumors is recommended per NCCN Guidelines (Version 2.2025) and ASCO/CAP/AMP/ASC joint consensus guidelines. Reflex testing from initial pathology block is the preferred approach to minimize turnaround time and ensure timely treatment planning. For patients who were not tested at initial diagnosis, repeat testing from archived tumor tissue or fresh biopsy is recommended at progression. ctDNA-based MSI testing may be considered in cases where adequate tumor tissue is unavailable, though standard tissue-based testing remains the regulatory-supported standard.</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9: CONTRACTING AND ACCESS</w:t>
      </w:r>
    </w:p>
    <w:p>
      <w:pPr>
        <w:pStyle w:val="Heading2"/>
        <w:spacing w:before="200" w:after="100"/>
      </w:pPr>
      <w:r>
        <w:rPr>
          <w:rFonts w:ascii="Arial" w:cs="Arial" w:eastAsia="Arial" w:hAnsi="Arial"/>
          <w:b/>
          <w:bCs/>
          <w:color w:val="2E75B6"/>
          <w:sz w:val="28"/>
          <w:szCs w:val="28"/>
        </w:rPr>
        <w:t xml:space="preserve">9.1 Proposed Contracting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00"/>
        <w:gridCol w:w="1660"/>
      </w:tblGrid>
      <w:tr>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Contract Type</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Metrics</w:t>
            </w:r>
          </w:p>
        </w:tc>
        <w:tc>
          <w:tcPr>
            <w:tcW w:type="dxa" w:w="16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Risk to Payer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Rebate Agreement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rebate % off WAC; standard formulary inclusion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conventional model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Outcomes-Based Rebate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rebate if real-world PFS &lt;12 months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Median PFS by 6-month cohort analysis</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rebate refunded if underperformance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Cost of Care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budget including drug + downstream medical costs; shared savings if below benchmark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12-month TCOC per treated patient</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shared risk with potential savings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Indication-Specific Pricing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Different net prices for post-pembro vs. chemo-naïve populations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 of therapy, prior IO exposure</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risk-stratified access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Utilization Cap/Stop-Loss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Rebate escalates above pre-specified volume threshold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treated patients per plan</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budget certainty above threshold</w:t>
            </w:r>
          </w:p>
        </w:tc>
      </w:tr>
    </w:tbl>
    <w:p>
      <w:pPr>
        <w:spacing w:before="0" w:after="80"/>
      </w:pPr>
    </w:p>
    <w:p>
      <w:pPr>
        <w:pStyle w:val="Heading2"/>
        <w:spacing w:before="200" w:after="100"/>
      </w:pPr>
      <w:r>
        <w:rPr>
          <w:rFonts w:ascii="Arial" w:cs="Arial" w:eastAsia="Arial" w:hAnsi="Arial"/>
          <w:b/>
          <w:bCs/>
          <w:color w:val="2E75B6"/>
          <w:sz w:val="28"/>
          <w:szCs w:val="28"/>
        </w:rPr>
        <w:t xml:space="preserve">9.2 Patient Assistance and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 Assist PAP:</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drug for patients ≤400% FPL; no insurance coverage or inadequate coverage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CerviCoPay Card: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Commercial insured patients; reduces OOP to ≤$25 per infusion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Bridge Supply Program:</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30-day free supply pending prior authorization determination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Cervi Path Navigator: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Dedicated trained access navigator; PA assistance; appeals support; 1-800-CERVI-TX</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Patient Foundation Referrals: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Partnerships with PAN Foundation, HealthWell Foundation for Medicare patients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Site Support: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Reimbursement hotline (24h); infusion suite coordination; patient materials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340B Eligibility: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Contracted with all eligible 340B covered entities (safety-net hospitals, FQHCs)</w:t>
            </w:r>
          </w:p>
        </w:tc>
      </w:tr>
    </w:tbl>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10: PRODUCT DIFFERENTIATION</w:t>
      </w:r>
    </w:p>
    <w:p>
      <w:pPr>
        <w:pStyle w:val="Heading2"/>
        <w:spacing w:before="200" w:after="100"/>
      </w:pPr>
      <w:r>
        <w:rPr>
          <w:rFonts w:ascii="Arial" w:cs="Arial" w:eastAsia="Arial" w:hAnsi="Arial"/>
          <w:b/>
          <w:bCs/>
          <w:color w:val="2E75B6"/>
          <w:sz w:val="28"/>
          <w:szCs w:val="28"/>
        </w:rPr>
        <w:t xml:space="preserve">10.1 Cervimab vs. Pembrolizumab</w:t>
      </w:r>
    </w:p>
    <w:p>
      <w:pPr>
        <w:spacing w:before="60" w:after="100"/>
      </w:pPr>
      <w:r>
        <w:rPr>
          <w:rFonts w:ascii="Arial" w:cs="Arial" w:eastAsia="Arial" w:hAnsi="Arial"/>
          <w:sz w:val="22"/>
          <w:szCs w:val="22"/>
        </w:rPr>
        <w:t xml:space="preserve">Pembrolizumab (Keytruda, Merck) is approved for first-line dMMR/MSI-H mCRC; it is NOT approved for ≥2nd line treatment. Cervimab is the first anti-PD-1 agent with Phase 3 RCT data in the ≥2nd line setting. In the absence of head-to-head data, the NMA suggests comparable efficacy in patients with no prior checkpoint inhibitor exposure. Key differentiating features of cervimab include: (1) convenient Q6W dosing vs. pembrolizumab Q3W or Q6W (label does not permit Q6W in CRC); (2) IgG4 isotype with S228P stabilization ensuring structural homogeneity; (3) evidence in chemotherapy-pretreated population (no pembrolizumab Phase 3 data in this setting).</w:t>
      </w:r>
    </w:p>
    <w:p>
      <w:pPr>
        <w:spacing w:before="0" w:after="80"/>
      </w:pPr>
    </w:p>
    <w:p>
      <w:pPr>
        <w:pStyle w:val="Heading2"/>
        <w:spacing w:before="200" w:after="100"/>
      </w:pPr>
      <w:r>
        <w:rPr>
          <w:rFonts w:ascii="Arial" w:cs="Arial" w:eastAsia="Arial" w:hAnsi="Arial"/>
          <w:b/>
          <w:bCs/>
          <w:color w:val="2E75B6"/>
          <w:sz w:val="28"/>
          <w:szCs w:val="28"/>
        </w:rPr>
        <w:t xml:space="preserve">10.2 Cervimab vs. Nivolumab</w:t>
      </w:r>
    </w:p>
    <w:p>
      <w:pPr>
        <w:spacing w:before="60" w:after="100"/>
      </w:pPr>
      <w:r>
        <w:rPr>
          <w:rFonts w:ascii="Arial" w:cs="Arial" w:eastAsia="Arial" w:hAnsi="Arial"/>
          <w:sz w:val="22"/>
          <w:szCs w:val="22"/>
        </w:rPr>
        <w:t xml:space="preserve">Nivolumab (Opdivo, BMS) has single-arm Phase 2 data (CheckMate 142) supporting off-label use in dMMR mCRC but no Phase 3 RCT in this setting. Cervimab is the first agent with a randomized controlled Phase 3 trial with a chemotherapy active comparator in this indication, providing the highest-quality evidence for clinical decision-making and formulary review. The CERVI-301 trial design and endpoint selection align with FDA guidance for this indication.</w:t>
      </w:r>
    </w:p>
    <w:p>
      <w:pPr>
        <w:spacing w:before="0" w:after="80"/>
      </w:pPr>
    </w:p>
    <w:p>
      <w:pPr>
        <w:pStyle w:val="Heading2"/>
        <w:spacing w:before="200" w:after="100"/>
      </w:pPr>
      <w:r>
        <w:rPr>
          <w:rFonts w:ascii="Arial" w:cs="Arial" w:eastAsia="Arial" w:hAnsi="Arial"/>
          <w:b/>
          <w:bCs/>
          <w:color w:val="2E75B6"/>
          <w:sz w:val="28"/>
          <w:szCs w:val="28"/>
        </w:rPr>
        <w:t xml:space="preserve">10.3 Q6W Dosing Schedule</w:t>
      </w:r>
    </w:p>
    <w:p>
      <w:pPr>
        <w:spacing w:before="60" w:after="100"/>
      </w:pPr>
      <w:r>
        <w:rPr>
          <w:rFonts w:ascii="Arial" w:cs="Arial" w:eastAsia="Arial" w:hAnsi="Arial"/>
          <w:sz w:val="22"/>
          <w:szCs w:val="22"/>
        </w:rPr>
        <w:t xml:space="preserve">The 400 mg Q6W dosing schedule was selected based on pharmacokinetic modeling demonstrating &gt;95% PD-1 receptor occupancy throughout the 6-week interval. This schedule offers important practical advantages: (1) fewer clinic visits per year (~8.7 vs. ~26 for chemotherapy and ~17 for Q3W regimens); (2) reduced patient travel burden and time away from work/family; (3) reduced infusion suite utilization and scheduling burden for healthcare providers; (4) alignment with common chemotherapy combination cycles, facilitating future combination studies.</w:t>
      </w:r>
    </w:p>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11: PROPOSED PLACE IN THERAPY AND P&amp;T RECOMMENDATIONS</w:t>
      </w:r>
    </w:p>
    <w:p>
      <w:pPr>
        <w:pStyle w:val="Heading2"/>
        <w:spacing w:before="200" w:after="100"/>
      </w:pPr>
      <w:r>
        <w:rPr>
          <w:rFonts w:ascii="Arial" w:cs="Arial" w:eastAsia="Arial" w:hAnsi="Arial"/>
          <w:b/>
          <w:bCs/>
          <w:color w:val="2E75B6"/>
          <w:sz w:val="28"/>
          <w:szCs w:val="28"/>
        </w:rPr>
        <w:t xml:space="preserve">11.1 Recommended Place in Therapy</w:t>
      </w:r>
    </w:p>
    <w:p>
      <w:pPr>
        <w:spacing w:before="60" w:after="100"/>
      </w:pPr>
      <w:r>
        <w:rPr>
          <w:rFonts w:ascii="Arial" w:cs="Arial" w:eastAsia="Arial" w:hAnsi="Arial"/>
          <w:sz w:val="22"/>
          <w:szCs w:val="22"/>
        </w:rPr>
        <w:t xml:space="preserve">Based on the totality of evidence, cervimab is positioned as the preferred second-line treatment option for all adult patients with confirmed dMMR/MSI-H mCRC who have received at least one prior systemic therapy. This positioning is supported by: the only Phase 3 RCT evidence in this line of therapy; statistically significant and clinically meaningful improvements in PFS, OS, ORR, and HRQoL; substantially improved tolerability vs. chemotherapy; and a manageable irAE profile with established management guidelines.</w:t>
      </w:r>
    </w:p>
    <w:p>
      <w:pPr>
        <w:spacing w:before="0" w:after="80"/>
      </w:pPr>
    </w:p>
    <w:p>
      <w:pPr>
        <w:pStyle w:val="Heading2"/>
        <w:spacing w:before="200" w:after="100"/>
      </w:pPr>
      <w:r>
        <w:rPr>
          <w:rFonts w:ascii="Arial" w:cs="Arial" w:eastAsia="Arial" w:hAnsi="Arial"/>
          <w:b/>
          <w:bCs/>
          <w:color w:val="2E75B6"/>
          <w:sz w:val="28"/>
          <w:szCs w:val="28"/>
        </w:rPr>
        <w:t xml:space="preserve">11.2 Formulary Recommendation for P&amp;T Committees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none"/>
              <w:bottom w:val="single" w:color="2E75B6" w:sz="12"/>
              <w:right w:val="none"/>
            </w:tcBorders>
            <w:shd w:fill="D6E4F0" w:val="clear"/>
            <w:tcMar>
              <w:top w:type="dxa" w:w="160"/>
              <w:left w:type="dxa" w:w="200"/>
              <w:bottom w:type="dxa" w:w="160"/>
              <w:right w:type="dxa" w:w="200"/>
            </w:tcMar>
          </w:tcPr>
          <w:p>
            <w:r>
              <w:rPr>
                <w:rFonts w:ascii="Arial" w:cs="Arial" w:eastAsia="Arial" w:hAnsi="Arial"/>
                <w:b/>
                <w:bCs/>
                <w:color w:val="1F4E79"/>
                <w:sz w:val="22"/>
                <w:szCs w:val="22"/>
              </w:rPr>
              <w:t xml:space="preserve">FORMULARY RECOMMENDATION: Cervi Therapeutics recommends cervimab for inclusion on formulary as PREFERRED SPECIALTY AGENT in the second-line dMMR/MSI-H mCRC setting, with prior authorization requiring laboratory-confirmed dMMR or MSI-H status and ≥1 prior line of systemic therapy for metastatic disease.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P&amp;T Consideration</w:t>
            </w:r>
          </w:p>
        </w:tc>
        <w:tc>
          <w:tcPr>
            <w:tcW w:type="dxa" w:w="4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Evidence Summary</w:t>
            </w:r>
          </w:p>
        </w:tc>
        <w:tc>
          <w:tcPr>
            <w:tcW w:type="dxa" w:w="2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tcPr>
          <w:p>
            <w:r>
              <w:rPr>
                <w:rFonts w:ascii="Arial" w:cs="Arial" w:eastAsia="Arial" w:hAnsi="Arial"/>
                <w:b/>
                <w:bCs/>
                <w:sz w:val="20"/>
                <w:szCs w:val="20"/>
              </w:rPr>
              <w:t xml:space="preserve">Recommendation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Clinical Efficacy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PFS HR 0.39; OS HR 0.51; ORR 43.7% — statistically significant improvement across all endpoints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FAVORABLE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Safety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Grade 3-4 TRAE 18.2% vs. 47.3%; lower discontinuation rate; no new safety signals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FAVORABLE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HRQoL</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 EORTC GHS points; +0.10 EQ-5D utility — clinically meaningful improvement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FAVORABLE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Cost-Effectiveness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$84,200/QALY (net); $142,300/QALY (WAC) — within acceptable range for high unmet need oncology</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FAVORABLE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Budget Impact</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 to −$0.03 PMPM at net price — budget neutral to savings at plan level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FAVORABLE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Access/Equity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Comprehensive PAP; 340B; VBC available; no test coverage barriers anticipated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FAVORABLE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Comparator Advantage</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RCT evidence in ≥2L dMMR mCRC; superior to chemotherapy; comparable to IO analogues (NMA)</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FAVORABLE</w:t>
            </w:r>
          </w:p>
        </w:tc>
      </w:tr>
    </w:tbl>
    <w:p>
      <w:r>
        <w:br w:type="page"/>
      </w:r>
    </w:p>
    <w:p>
      <w:pPr>
        <w:pStyle w:val="Heading1"/>
        <w:pBdr>
          <w:bottom w:val="single" w:color="2E75B6" w:sz="6" w:space="1"/>
        </w:pBdr>
        <w:spacing w:before="360" w:after="100"/>
      </w:pPr>
      <w:r>
        <w:rPr>
          <w:rFonts w:ascii="Arial" w:cs="Arial" w:eastAsia="Arial" w:hAnsi="Arial"/>
          <w:b/>
          <w:bCs/>
          <w:color w:val="1F4E79"/>
          <w:sz w:val="32"/>
          <w:szCs w:val="32"/>
        </w:rPr>
        <w:t xml:space="preserve">SECTION 12: REFERENCES</w:t>
      </w:r>
    </w:p>
    <w:p>
      <w:pPr>
        <w:spacing w:before="60" w:after="100"/>
      </w:pPr>
      <w:r>
        <w:rPr>
          <w:rFonts w:ascii="Arial" w:cs="Arial" w:eastAsia="Arial" w:hAnsi="Arial"/>
          <w:sz w:val="22"/>
          <w:szCs w:val="22"/>
        </w:rPr>
        <w:t xml:space="preserve">1. Cervi Therapeutics. CERVI-301 Clinical Study Report v1.0. February 2026.</w:t>
      </w:r>
    </w:p>
    <w:p>
      <w:pPr>
        <w:spacing w:before="60" w:after="100"/>
      </w:pPr>
      <w:r>
        <w:rPr>
          <w:rFonts w:ascii="Arial" w:cs="Arial" w:eastAsia="Arial" w:hAnsi="Arial"/>
          <w:sz w:val="22"/>
          <w:szCs w:val="22"/>
        </w:rPr>
        <w:t xml:space="preserve">2. André T, et al. Pembrolizumab in MSI-H advanced colorectal cancer. N Engl J Med. 2020;383(23):2207-2218.</w:t>
      </w:r>
    </w:p>
    <w:p>
      <w:pPr>
        <w:spacing w:before="60" w:after="100"/>
      </w:pPr>
      <w:r>
        <w:rPr>
          <w:rFonts w:ascii="Arial" w:cs="Arial" w:eastAsia="Arial" w:hAnsi="Arial"/>
          <w:sz w:val="22"/>
          <w:szCs w:val="22"/>
        </w:rPr>
        <w:t xml:space="preserve">3. Overman MJ, et al. Nivolumab in dMMR/MSI-H mCRC. Lancet Oncol. 2017;18(9):1182-1191.</w:t>
      </w:r>
    </w:p>
    <w:p>
      <w:pPr>
        <w:spacing w:before="60" w:after="100"/>
      </w:pPr>
      <w:r>
        <w:rPr>
          <w:rFonts w:ascii="Arial" w:cs="Arial" w:eastAsia="Arial" w:hAnsi="Arial"/>
          <w:sz w:val="22"/>
          <w:szCs w:val="22"/>
        </w:rPr>
        <w:t xml:space="preserve">4. Le DT, et al. Mismatch repair deficiency predicts solid tumor response to PD-1 blockade. Science. 2017;357:409-413.</w:t>
      </w:r>
    </w:p>
    <w:p>
      <w:pPr>
        <w:spacing w:before="60" w:after="100"/>
      </w:pPr>
      <w:r>
        <w:rPr>
          <w:rFonts w:ascii="Arial" w:cs="Arial" w:eastAsia="Arial" w:hAnsi="Arial"/>
          <w:sz w:val="22"/>
          <w:szCs w:val="22"/>
        </w:rPr>
        <w:t xml:space="preserve">5. Siegel RL, et al. Cancer statistics 2023. CA Cancer J Clin. 2023;73:17-48.</w:t>
      </w:r>
    </w:p>
    <w:p>
      <w:pPr>
        <w:spacing w:before="60" w:after="100"/>
      </w:pPr>
      <w:r>
        <w:rPr>
          <w:rFonts w:ascii="Arial" w:cs="Arial" w:eastAsia="Arial" w:hAnsi="Arial"/>
          <w:sz w:val="22"/>
          <w:szCs w:val="22"/>
        </w:rPr>
        <w:t xml:space="preserve">6. ICER. Framework for Health Technology Assessment v2.0. June 2020.</w:t>
      </w:r>
    </w:p>
    <w:p>
      <w:pPr>
        <w:spacing w:before="60" w:after="100"/>
      </w:pPr>
      <w:r>
        <w:rPr>
          <w:rFonts w:ascii="Arial" w:cs="Arial" w:eastAsia="Arial" w:hAnsi="Arial"/>
          <w:sz w:val="22"/>
          <w:szCs w:val="22"/>
        </w:rPr>
        <w:t xml:space="preserve">7. AMCP. Format for Formulary Submissions v4.1. 2019.</w:t>
      </w:r>
    </w:p>
    <w:p>
      <w:pPr>
        <w:spacing w:before="60" w:after="100"/>
      </w:pPr>
      <w:r>
        <w:rPr>
          <w:rFonts w:ascii="Arial" w:cs="Arial" w:eastAsia="Arial" w:hAnsi="Arial"/>
          <w:sz w:val="22"/>
          <w:szCs w:val="22"/>
        </w:rPr>
        <w:t xml:space="preserve">8. Sullivan SD, et al. Budget impact analysis — principles of good practice. Value Health. 2014;17:5-14.</w:t>
      </w:r>
    </w:p>
    <w:p>
      <w:pPr>
        <w:spacing w:before="60" w:after="100"/>
      </w:pPr>
      <w:r>
        <w:rPr>
          <w:rFonts w:ascii="Arial" w:cs="Arial" w:eastAsia="Arial" w:hAnsi="Arial"/>
          <w:sz w:val="22"/>
          <w:szCs w:val="22"/>
        </w:rPr>
        <w:t xml:space="preserve">9. NCCN. Clinical Practice Guidelines: Colon Cancer v2.2025.</w:t>
      </w:r>
    </w:p>
    <w:p>
      <w:pPr>
        <w:spacing w:before="60" w:after="100"/>
      </w:pPr>
      <w:r>
        <w:rPr>
          <w:rFonts w:ascii="Arial" w:cs="Arial" w:eastAsia="Arial" w:hAnsi="Arial"/>
          <w:sz w:val="22"/>
          <w:szCs w:val="22"/>
        </w:rPr>
        <w:t xml:space="preserve">10. Cervi Therapeutics. Integrated Summary of Efficacy (ISE). BLA 761999. October 2025.</w:t>
      </w:r>
    </w:p>
    <w:p>
      <w:pPr>
        <w:spacing w:before="60" w:after="100"/>
      </w:pPr>
      <w:r>
        <w:rPr>
          <w:rFonts w:ascii="Arial" w:cs="Arial" w:eastAsia="Arial" w:hAnsi="Arial"/>
          <w:sz w:val="22"/>
          <w:szCs w:val="22"/>
        </w:rPr>
        <w:t xml:space="preserve">11. Cervi Therapeutics. HEOR Technical Report v2.1. January 2026.</w:t>
      </w:r>
    </w:p>
    <w:p>
      <w:pPr>
        <w:spacing w:before="60" w:after="100"/>
      </w:pPr>
      <w:r>
        <w:rPr>
          <w:rFonts w:ascii="Arial" w:cs="Arial" w:eastAsia="Arial" w:hAnsi="Arial"/>
          <w:sz w:val="22"/>
          <w:szCs w:val="22"/>
        </w:rPr>
        <w:t xml:space="preserve">12. Cervi Therapeutics. Patient-Centered Outcomes Research Summary. December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777777"/>
        <w:sz w:val="16"/>
        <w:szCs w:val="16"/>
      </w:rPr>
      <w:t xml:space="preserve">Cervi Therapeutics HEOR | BLA 761999  </w:t>
    </w:r>
    <w:fldSimple w:instr="PAGE">
      <w:r>
        <w:rPr>
          <w:rFonts w:ascii="Arial" w:cs="Arial" w:eastAsia="Arial" w:hAnsi="Arial"/>
          <w:color w:val="777777"/>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CERVIMAB | Payer Value Dossier | dMMR/MSI-H mCRC | AMCP Format 4.1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344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2026-03-16T14:55:54.397Z</dcterms:created>
  <dcterms:modified xsi:type="dcterms:W3CDTF">2026-03-16T14:55:54.398Z</dcterms:modified>
</cp:coreProperties>
</file>

<file path=docProps/custom.xml><?xml version="1.0" encoding="utf-8"?>
<Properties xmlns="http://schemas.openxmlformats.org/officeDocument/2006/custom-properties" xmlns:vt="http://schemas.openxmlformats.org/officeDocument/2006/docPropsVTypes"/>
</file>