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rPr>
          <w:rFonts w:ascii="Arial" w:cs="Arial" w:eastAsia="Arial" w:hAnsi="Arial"/>
          <w:b w:val="false"/>
          <w:bCs w:val="false"/>
          <w:i w:val="false"/>
          <w:iCs w:val="false"/>
          <w:color w:val="000000"/>
          <w:sz w:val="22"/>
          <w:szCs w:val="22"/>
        </w:rPr>
        <w:t xml:space="preserve"> </w:t>
      </w:r>
    </w:p>
    <w:p>
      <w:pPr>
        <w:spacing w:before="0" w:after="120"/>
        <w:jc w:val="center"/>
      </w:pPr>
      <w:r>
        <w:rPr>
          <w:rFonts w:ascii="Arial" w:cs="Arial" w:eastAsia="Arial" w:hAnsi="Arial"/>
          <w:b/>
          <w:bCs/>
          <w:i w:val="false"/>
          <w:iCs w:val="false"/>
          <w:color w:val="2E5FAC"/>
          <w:sz w:val="20"/>
          <w:szCs w:val="20"/>
        </w:rPr>
        <w:t xml:space="preserve">INVESTIGATIONAL NEW DRUG — POST-LAUNCH REGULATORY DOSSIER</w:t>
      </w:r>
    </w:p>
    <w:p>
      <w:pPr>
        <w:spacing w:before="0" w:after="60"/>
        <w:jc w:val="center"/>
      </w:pPr>
      <w:r>
        <w:rPr>
          <w:rFonts w:ascii="Arial" w:cs="Arial" w:eastAsia="Arial" w:hAnsi="Arial"/>
          <w:b/>
          <w:bCs/>
          <w:i w:val="false"/>
          <w:iCs w:val="false"/>
          <w:color w:val="1B3A6B"/>
          <w:sz w:val="72"/>
          <w:szCs w:val="72"/>
        </w:rPr>
        <w:t xml:space="preserve">CERVIMAB</w:t>
      </w:r>
    </w:p>
    <w:p>
      <w:pPr>
        <w:spacing w:before="0" w:after="240"/>
        <w:jc w:val="center"/>
      </w:pPr>
      <w:r>
        <w:rPr>
          <w:rFonts w:ascii="Arial" w:cs="Arial" w:eastAsia="Arial" w:hAnsi="Arial"/>
          <w:b w:val="false"/>
          <w:bCs w:val="false"/>
          <w:i/>
          <w:iCs/>
          <w:color w:val="2E5FAC"/>
          <w:sz w:val="28"/>
          <w:szCs w:val="28"/>
        </w:rPr>
        <w:t xml:space="preserve">Anti-PD-1 Monoclonal Antibody</w:t>
      </w:r>
    </w:p>
    <w:p>
      <w:pPr>
        <w:spacing w:before="0" w:after="480"/>
        <w:jc w:val="center"/>
      </w:pPr>
      <w:r>
        <w:rPr>
          <w:rFonts w:ascii="Arial" w:cs="Arial" w:eastAsia="Arial" w:hAnsi="Arial"/>
          <w:b/>
          <w:bCs/>
          <w:i w:val="false"/>
          <w:iCs w:val="false"/>
          <w:color w:val="1B3A6B"/>
          <w:sz w:val="26"/>
          <w:szCs w:val="26"/>
        </w:rPr>
        <w:t xml:space="preserve">dMMR/MSI-H Metastatic Colorectal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Document</w:t>
            </w:r>
          </w:p>
        </w:tc>
        <w:tc>
          <w:tcPr>
            <w:tcW w:type="dxa" w:w="41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Regulatory Framework</w:t>
            </w:r>
          </w:p>
        </w:tc>
        <w:tc>
          <w:tcPr>
            <w:tcW w:type="dxa" w:w="26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Reporting Period / Version</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PSUR / PBRER</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ICH E2C(R2) · 21 CFR 312.32 · EU GVP Module VII</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Months 1–6 Post-Approval</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PADER</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 CFR 314.81(b)(2) · FDA Guidance 2021</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Annual Report Year 1</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ICSRs (MedWatch / EudraVigilance)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 CFR 314.81(b)(1) · ICH E2B(R3)</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Selected SAE Case Series</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Risk Management Plan (RMP)</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EU GVP Module V · FDA REMS Guidance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Version 2.0 — Post-Approval Update</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REMS Assessment Report</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 CFR 505-1 · FDAAA Section 909</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18-Month Post-Approval Assessment</w:t>
            </w:r>
          </w:p>
        </w:tc>
      </w:tr>
    </w:tbl>
    <w:p>
      <w:pPr>
        <w:spacing w:before="0" w:after="48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val="false"/>
          <w:bCs w:val="false"/>
          <w:i w:val="false"/>
          <w:iCs w:val="false"/>
          <w:color w:val="666666"/>
          <w:sz w:val="20"/>
          <w:szCs w:val="20"/>
        </w:rPr>
        <w:t xml:space="preserve">Prepared by: Cervimab Global Pharmacovigilance &amp; Regulatory Affairs</w:t>
      </w:r>
    </w:p>
    <w:p>
      <w:pPr>
        <w:spacing w:before="0" w:after="60"/>
        <w:jc w:val="center"/>
      </w:pPr>
      <w:r>
        <w:rPr>
          <w:rFonts w:ascii="Arial" w:cs="Arial" w:eastAsia="Arial" w:hAnsi="Arial"/>
          <w:b w:val="false"/>
          <w:bCs w:val="false"/>
          <w:i w:val="false"/>
          <w:iCs w:val="false"/>
          <w:color w:val="666666"/>
          <w:sz w:val="20"/>
          <w:szCs w:val="20"/>
        </w:rPr>
        <w:t xml:space="preserve">Sponsor: PharmaNova Oncology, Inc. · NDA 221-847</w:t>
      </w:r>
    </w:p>
    <w:p>
      <w:pPr>
        <w:spacing w:before="0" w:after="60"/>
        <w:jc w:val="center"/>
      </w:pPr>
      <w:r>
        <w:rPr>
          <w:rFonts w:ascii="Arial" w:cs="Arial" w:eastAsia="Arial" w:hAnsi="Arial"/>
          <w:b w:val="false"/>
          <w:bCs w:val="false"/>
          <w:i w:val="false"/>
          <w:iCs w:val="false"/>
          <w:color w:val="666666"/>
          <w:sz w:val="20"/>
          <w:szCs w:val="20"/>
        </w:rPr>
        <w:t xml:space="preserve">Data Lock Point: 30 September 2025 · Compiled: October 2025</w:t>
      </w:r>
    </w:p>
    <w:p>
      <w:pPr>
        <w:spacing w:before="240" w:after="0"/>
        <w:jc w:val="center"/>
      </w:pPr>
      <w:r>
        <w:rPr>
          <w:rFonts w:ascii="Arial" w:cs="Arial" w:eastAsia="Arial" w:hAnsi="Arial"/>
          <w:b/>
          <w:bCs/>
          <w:i w:val="false"/>
          <w:iCs w:val="false"/>
          <w:color w:val="8B1A1A"/>
          <w:sz w:val="18"/>
          <w:szCs w:val="18"/>
        </w:rPr>
        <w:t xml:space="preserve">CONFIDENTIAL — FOR REGULATORY SUBMISSION PURPOSES ONLY</w:t>
      </w:r>
    </w:p>
    <w:p>
      <w:pPr>
        <w:spacing w:before="0" w:after="0"/>
      </w:pPr>
      <w:r>
        <w:br w:type="page"/>
      </w:r>
    </w:p>
    <w:p>
      <w:pPr>
        <w:shd w:fill="1B3A6B" w:val="clear"/>
        <w:spacing w:before="0" w:after="0"/>
      </w:pPr>
      <w:r>
        <w:rPr>
          <w:rFonts w:ascii="Arial" w:cs="Arial" w:eastAsia="Arial" w:hAnsi="Arial"/>
          <w:b w:val="false"/>
          <w:bCs w:val="false"/>
          <w:i w:val="false"/>
          <w:iCs w:val="false"/>
          <w:color w:val="000000"/>
          <w:sz w:val="22"/>
          <w:szCs w:val="22"/>
        </w:rPr>
        <w:t xml:space="preserve"> </w:t>
      </w:r>
    </w:p>
    <w:p>
      <w:pPr>
        <w:spacing w:before="600" w:after="60"/>
        <w:jc w:val="center"/>
      </w:pPr>
      <w:r>
        <w:rPr>
          <w:rFonts w:ascii="Arial" w:cs="Arial" w:eastAsia="Arial" w:hAnsi="Arial"/>
          <w:b/>
          <w:bCs/>
          <w:i w:val="false"/>
          <w:iCs w:val="false"/>
          <w:color w:val="9BBDE8"/>
          <w:sz w:val="20"/>
          <w:szCs w:val="20"/>
        </w:rPr>
        <w:t xml:space="preserve">DOCUMENT 1</w:t>
      </w:r>
    </w:p>
    <w:p>
      <w:pPr>
        <w:spacing w:before="0" w:after="120"/>
        <w:jc w:val="center"/>
      </w:pPr>
      <w:r>
        <w:rPr>
          <w:rFonts w:ascii="Arial" w:cs="Arial" w:eastAsia="Arial" w:hAnsi="Arial"/>
          <w:b/>
          <w:bCs/>
          <w:i w:val="false"/>
          <w:iCs w:val="false"/>
          <w:color w:val="FFFFFF"/>
          <w:sz w:val="44"/>
          <w:szCs w:val="44"/>
        </w:rPr>
        <w:t xml:space="preserve">PSUR / PBRER</w:t>
      </w:r>
    </w:p>
    <w:p>
      <w:pPr>
        <w:spacing w:before="0" w:after="600"/>
        <w:jc w:val="center"/>
      </w:pPr>
      <w:r>
        <w:rPr>
          <w:rFonts w:ascii="Arial" w:cs="Arial" w:eastAsia="Arial" w:hAnsi="Arial"/>
          <w:b w:val="false"/>
          <w:bCs w:val="false"/>
          <w:i w:val="false"/>
          <w:iCs w:val="false"/>
          <w:color w:val="D6E4F7"/>
          <w:sz w:val="22"/>
          <w:szCs w:val="22"/>
        </w:rPr>
        <w:t xml:space="preserve">Periodic Safety Update Report / Periodic Benefit-Risk Evaluation Report</w:t>
      </w:r>
    </w:p>
    <w:p>
      <w:pPr>
        <w:spacing w:before="0" w:after="24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bCs/>
          <w:i w:val="false"/>
          <w:iCs w:val="false"/>
          <w:color w:val="1B3A6B"/>
          <w:sz w:val="28"/>
          <w:szCs w:val="28"/>
        </w:rPr>
        <w:t xml:space="preserve">PERIODIC BENEFIT-RISK EVALUATION REPORT (PBRER)</w:t>
      </w:r>
    </w:p>
    <w:p>
      <w:pPr>
        <w:spacing w:before="0" w:after="60"/>
        <w:jc w:val="center"/>
      </w:pPr>
      <w:r>
        <w:rPr>
          <w:rFonts w:ascii="Arial" w:cs="Arial" w:eastAsia="Arial" w:hAnsi="Arial"/>
          <w:b w:val="false"/>
          <w:bCs w:val="false"/>
          <w:i w:val="false"/>
          <w:iCs w:val="false"/>
          <w:color w:val="666666"/>
          <w:sz w:val="22"/>
          <w:szCs w:val="22"/>
        </w:rPr>
        <w:t xml:space="preserve">Cervimab (anti-PD-1 mAb) · dMMR/MSI-H Metastatic Colorectal Cancer</w:t>
      </w:r>
    </w:p>
    <w:p>
      <w:pPr>
        <w:spacing w:before="0" w:after="240"/>
        <w:jc w:val="center"/>
      </w:pPr>
      <w:r>
        <w:rPr>
          <w:rFonts w:ascii="Arial" w:cs="Arial" w:eastAsia="Arial" w:hAnsi="Arial"/>
          <w:b w:val="false"/>
          <w:bCs w:val="false"/>
          <w:i w:val="false"/>
          <w:iCs w:val="false"/>
          <w:color w:val="666666"/>
          <w:sz w:val="20"/>
          <w:szCs w:val="20"/>
        </w:rPr>
        <w:t xml:space="preserve">NDA 221-847 | INN: Cervimab | Data Lock Point: 30 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Administrative Field</w:t>
            </w:r>
          </w:p>
        </w:tc>
        <w:tc>
          <w:tcPr>
            <w:tcW w:type="dxa" w:w="624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INN / Proprietary Name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 / CERVILUX®</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Drug Class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PD-1 Checkpoint Inhibitor — Humanized IgG4 Monoclonal Antibody</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Indication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Treatment of adult patients with dMMR/MSI-H metastatic colorectal cancer (mCRC) that has progressed after prior treatment with fluoropyrimidine, oxaliplatin, and irinotecan</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Approval Date (US)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18, 2025</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Reporting Period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April 1, 2025 – September 30, 2025 (6 months)</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PBRER Version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Version 1.0</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Cumulative Subject Exposure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Clinical trials: ~1,840 patient-years; Post-marketing: ~312 patient-years (est.)</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Sponsor / MAH</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PharmaNova Oncology, Inc., 1 Innovation Drive, Cambridge, MA 02139</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QPPV</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Dr. Miriam Caldwell, MD, MPH | +1-617-555-0100 | m.caldwell@pharmanova.com</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1. Executive Summary</w:t>
      </w:r>
    </w:p>
    <w:p>
      <w:pPr>
        <w:spacing w:before="0" w:after="60"/>
        <w:jc w:val="left"/>
      </w:pPr>
      <w:r>
        <w:rPr>
          <w:rFonts w:ascii="Arial" w:cs="Arial" w:eastAsia="Arial" w:hAnsi="Arial"/>
          <w:b w:val="false"/>
          <w:bCs w:val="false"/>
          <w:i w:val="false"/>
          <w:iCs w:val="false"/>
          <w:color w:val="000000"/>
          <w:sz w:val="22"/>
          <w:szCs w:val="22"/>
        </w:rPr>
        <w:t xml:space="preserve">Cervimab (CERVILUX®) is a humanized IgG4 anti-PD-1 monoclonal antibody approved for the treatment of adult patients with dMMR/MSI-H metastatic colorectal cancer (mCRC) following prior fluoropyrimidine-, oxaliplatin-, and irinotecan-based chemotherapy. This Periodic Benefit-Risk Evaluation Report (PBRER) covers the first six months of post-marketing experience, spanning April 1 through September 30, 2025.</w:t>
      </w:r>
    </w:p>
    <w:p>
      <w:pPr>
        <w:spacing w:before="0" w:after="60"/>
        <w:jc w:val="left"/>
      </w:pPr>
      <w:r>
        <w:rPr>
          <w:rFonts w:ascii="Arial" w:cs="Arial" w:eastAsia="Arial" w:hAnsi="Arial"/>
          <w:b w:val="false"/>
          <w:bCs w:val="false"/>
          <w:i w:val="false"/>
          <w:iCs w:val="false"/>
          <w:color w:val="000000"/>
          <w:sz w:val="22"/>
          <w:szCs w:val="22"/>
        </w:rPr>
        <w:t xml:space="preserve">During this reporting period, an estimated 2,100 patients in the United States received at least one dose of Cervimab in the commercial setting. The cumulative post-marketing exposure represents approximately 312 patient-years. No new safety signals have been identified that were not previously characterized in the Reference Safety Information (RSI). The overall benefit-risk profile of Cervimab for the approved indication remains positive and unchanged.</w:t>
      </w:r>
    </w:p>
    <w:p>
      <w:pPr>
        <w:spacing w:before="0" w:after="60"/>
        <w:jc w:val="left"/>
      </w:pPr>
      <w:r>
        <w:rPr>
          <w:rFonts w:ascii="Arial" w:cs="Arial" w:eastAsia="Arial" w:hAnsi="Arial"/>
          <w:b w:val="false"/>
          <w:bCs w:val="false"/>
          <w:i w:val="false"/>
          <w:iCs w:val="false"/>
          <w:color w:val="000000"/>
          <w:sz w:val="22"/>
          <w:szCs w:val="22"/>
        </w:rPr>
        <w:t xml:space="preserve">The most commonly reported immune-mediated adverse events (imAEs) — including immune-mediated colitis (7.2%), pneumonitis (3.8%), and hepatitis (2.6%) — are consistent with the established class-effect safety profile of PD-1 inhibitors and are reflected in the current Prescribing Information (USPI). No new or unexpected patterns of serious adverse events were identified in spontaneous post-marketing reports.</w:t>
      </w:r>
    </w:p>
    <w:p>
      <w:pPr>
        <w:spacing w:before="0" w:after="60"/>
        <w:jc w:val="left"/>
      </w:pPr>
      <w:r>
        <w:rPr>
          <w:rFonts w:ascii="Arial" w:cs="Arial" w:eastAsia="Arial" w:hAnsi="Arial"/>
          <w:b w:val="false"/>
          <w:bCs w:val="false"/>
          <w:i w:val="false"/>
          <w:iCs w:val="false"/>
          <w:color w:val="000000"/>
          <w:sz w:val="22"/>
          <w:szCs w:val="22"/>
        </w:rPr>
        <w:t xml:space="preserve">The PBRER concludes that no changes to the USPI, Risk Evaluation and Mitigation Strategy (REMS), or Risk Management Plan (RMP) are warranted at this time. Ongoing pharmacovigilance and the long-term safety registry (CERVIMAB-LTS-01) continue to operate as planned.</w:t>
      </w:r>
    </w:p>
    <w:p>
      <w:pPr>
        <w:pStyle w:val="Heading2"/>
        <w:spacing w:before="240" w:after="120"/>
      </w:pPr>
      <w:r>
        <w:rPr>
          <w:rFonts w:ascii="Arial" w:cs="Arial" w:eastAsia="Arial" w:hAnsi="Arial"/>
          <w:b/>
          <w:bCs/>
          <w:color w:val="1B3A6B"/>
          <w:sz w:val="26"/>
          <w:szCs w:val="26"/>
        </w:rPr>
        <w:t xml:space="preserve">2. Worldwide Marketing Authorization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Country / Region</w:t>
            </w:r>
          </w:p>
        </w:tc>
        <w:tc>
          <w:tcPr>
            <w:tcW w:type="dxa" w:w="18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c>
          <w:tcPr>
            <w:tcW w:type="dxa" w:w="18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Approval Date</w:t>
            </w:r>
          </w:p>
        </w:tc>
        <w:tc>
          <w:tcPr>
            <w:tcW w:type="dxa" w:w="356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Indication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United States</w:t>
            </w:r>
          </w:p>
        </w:tc>
        <w:tc>
          <w:tcPr>
            <w:tcW w:type="dxa" w:w="18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Approved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18, 2025</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dMMR/MSI-H mCRC, 3rd line+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European Union</w:t>
            </w:r>
          </w:p>
        </w:tc>
        <w:tc>
          <w:tcPr>
            <w:tcW w:type="dxa" w:w="1800"/>
            <w:gridSpan w:val="1"/>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7A5200"/>
                <w:sz w:val="20"/>
                <w:szCs w:val="20"/>
              </w:rPr>
              <w:t xml:space="preserve">Under Review</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CHMP Opinion Expected Q1 2026</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Same indication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Japan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Pre-submission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PMDA consultation ongoing</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Same indication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Canada</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Filed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Health Canada review ongoing</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Same indication</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3. Actions Taken for Safety Reasons</w:t>
      </w:r>
    </w:p>
    <w:p>
      <w:pPr>
        <w:spacing w:before="0" w:after="60"/>
        <w:jc w:val="left"/>
      </w:pPr>
      <w:r>
        <w:rPr>
          <w:rFonts w:ascii="Arial" w:cs="Arial" w:eastAsia="Arial" w:hAnsi="Arial"/>
          <w:b w:val="false"/>
          <w:bCs w:val="false"/>
          <w:i w:val="false"/>
          <w:iCs w:val="false"/>
          <w:color w:val="000000"/>
          <w:sz w:val="22"/>
          <w:szCs w:val="22"/>
        </w:rPr>
        <w:t xml:space="preserve">No regulatory actions affecting product authorization, labeling, or distribution were taken during the reporting period for safety reasons. One Dear Healthcare Provider (DHCP) letter was distributed in July 2025 clarifying the recommended management algorithm for Grade 3 immune-mediated colitis, consistent with existing USPI guidance. This letter was coordinated with the FDA Office of Oncology Products.</w:t>
      </w:r>
    </w:p>
    <w:p>
      <w:pPr>
        <w:pStyle w:val="Heading2"/>
        <w:spacing w:before="240" w:after="120"/>
      </w:pPr>
      <w:r>
        <w:rPr>
          <w:rFonts w:ascii="Arial" w:cs="Arial" w:eastAsia="Arial" w:hAnsi="Arial"/>
          <w:b/>
          <w:bCs/>
          <w:color w:val="1B3A6B"/>
          <w:sz w:val="26"/>
          <w:szCs w:val="26"/>
        </w:rPr>
        <w:t xml:space="preserve">4. Changes to the Reference Safety Information</w:t>
      </w:r>
    </w:p>
    <w:p>
      <w:pPr>
        <w:spacing w:before="0" w:after="60"/>
        <w:jc w:val="left"/>
      </w:pPr>
      <w:r>
        <w:rPr>
          <w:rFonts w:ascii="Arial" w:cs="Arial" w:eastAsia="Arial" w:hAnsi="Arial"/>
          <w:b w:val="false"/>
          <w:bCs w:val="false"/>
          <w:i w:val="false"/>
          <w:iCs w:val="false"/>
          <w:color w:val="000000"/>
          <w:sz w:val="22"/>
          <w:szCs w:val="22"/>
        </w:rPr>
        <w:t xml:space="preserve">No changes to the Reference Safety Information (RSI) or USPI were implemented during this reporting period. The initial Prescribing Information approved March 18, 2025 remains current and in force.</w:t>
      </w:r>
    </w:p>
    <w:p>
      <w:pPr>
        <w:pStyle w:val="Heading2"/>
        <w:spacing w:before="240" w:after="120"/>
      </w:pPr>
      <w:r>
        <w:rPr>
          <w:rFonts w:ascii="Arial" w:cs="Arial" w:eastAsia="Arial" w:hAnsi="Arial"/>
          <w:b/>
          <w:bCs/>
          <w:color w:val="1B3A6B"/>
          <w:sz w:val="26"/>
          <w:szCs w:val="26"/>
        </w:rPr>
        <w:t xml:space="preserve">5. Cumulative Subject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Source</w:t>
            </w:r>
          </w:p>
        </w:tc>
        <w:tc>
          <w:tcPr>
            <w:tcW w:type="dxa" w:w="212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Patients (N)</w:t>
            </w:r>
          </w:p>
        </w:tc>
        <w:tc>
          <w:tcPr>
            <w:tcW w:type="dxa" w:w="212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Patient-Years</w:t>
            </w:r>
          </w:p>
        </w:tc>
        <w:tc>
          <w:tcPr>
            <w:tcW w:type="dxa" w:w="212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Median Duration (months)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Phase II (CERVI-201)</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127</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~189</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14.8</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Phase III (CERVI-301)</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492</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~1,251</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Expanded Access Program</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138</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~112</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Named Patient / Compassionate Use</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87</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~89</w:t>
            </w:r>
          </w:p>
        </w:tc>
        <w:tc>
          <w:tcPr>
            <w:tcW w:type="dxa" w:w="2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8.9</w:t>
            </w:r>
          </w:p>
        </w:tc>
      </w:tr>
      <w:tr>
        <w:tc>
          <w:tcPr>
            <w:tcW w:type="dxa" w:w="30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Post-Marketing (Commercial)</w:t>
            </w:r>
          </w:p>
        </w:tc>
        <w:tc>
          <w:tcPr>
            <w:tcW w:type="dxa" w:w="2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~2,100</w:t>
            </w:r>
          </w:p>
        </w:tc>
        <w:tc>
          <w:tcPr>
            <w:tcW w:type="dxa" w:w="2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~312</w:t>
            </w:r>
          </w:p>
        </w:tc>
        <w:tc>
          <w:tcPr>
            <w:tcW w:type="dxa" w:w="212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1.8 (est.)</w:t>
            </w:r>
          </w:p>
        </w:tc>
      </w:tr>
      <w:tr>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TOTAL</w:t>
            </w:r>
          </w:p>
        </w:tc>
        <w:tc>
          <w:tcPr>
            <w:tcW w:type="dxa" w:w="2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~2,944</w:t>
            </w:r>
          </w:p>
        </w:tc>
        <w:tc>
          <w:tcPr>
            <w:tcW w:type="dxa" w:w="2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~1,953</w:t>
            </w:r>
          </w:p>
        </w:tc>
        <w:tc>
          <w:tcPr>
            <w:tcW w:type="dxa" w:w="2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6. Data in Summary Tabulations</w:t>
      </w:r>
    </w:p>
    <w:p>
      <w:pPr>
        <w:pStyle w:val="Heading3"/>
        <w:spacing w:before="240" w:after="120"/>
      </w:pPr>
      <w:r>
        <w:rPr>
          <w:rFonts w:ascii="Arial" w:cs="Arial" w:eastAsia="Arial" w:hAnsi="Arial"/>
          <w:b/>
          <w:bCs/>
          <w:color w:val="1B3A6B"/>
          <w:sz w:val="24"/>
          <w:szCs w:val="24"/>
        </w:rPr>
        <w:t xml:space="preserve">6.1 Serious Adverse Events from Post-Marketing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600"/>
        <w:gridCol w:w="1600"/>
        <w:gridCol w:w="2200"/>
      </w:tblGrid>
      <w:tr>
        <w:tc>
          <w:tcPr>
            <w:tcW w:type="dxa" w:w="39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System Organ Class / Preferred Term</w:t>
            </w:r>
          </w:p>
        </w:tc>
        <w:tc>
          <w:tcPr>
            <w:tcW w:type="dxa" w:w="16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n (Reports)</w:t>
            </w:r>
          </w:p>
        </w:tc>
        <w:tc>
          <w:tcPr>
            <w:tcW w:type="dxa" w:w="16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 of Reports</w:t>
            </w:r>
          </w:p>
        </w:tc>
        <w:tc>
          <w:tcPr>
            <w:tcW w:type="dxa" w:w="22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Serious (%)</w:t>
            </w:r>
          </w:p>
        </w:tc>
      </w:tr>
      <w:tr>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IMMUNE SYSTEM DISORDERS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Immune-mediated colitis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31.4%</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Immune-mediated pneumonitis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27</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44.4%</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Immune-mediated hepatitis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27.8%</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Hypothyroidism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5.9%</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Adrenal insufficiency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66.7%</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Type 1 Diabetes / DKA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SKIN / SUBCUTANEOUS DISORDERS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Rash / Pruritus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29</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6.9%</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Severe cutaneous adverse reaction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NERVOUS SYSTEM DISORDERS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Immune-mediated neuropathy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60.0%</w:t>
            </w:r>
          </w:p>
        </w:tc>
      </w:tr>
      <w:tr>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CARDIAC DISORDERS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Immune-mediated myocarditis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3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INFUSION-RELATED REACTIONS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  Infusion-related reaction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13.6%</w:t>
            </w:r>
          </w:p>
        </w:tc>
      </w:tr>
      <w:tr>
        <w:tc>
          <w:tcPr>
            <w:tcW w:type="dxa" w:w="3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TOTAL REPORTS</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278</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100%</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~32.7%</w:t>
            </w:r>
          </w:p>
        </w:tc>
      </w:tr>
    </w:tbl>
    <w:p>
      <w:pPr>
        <w:spacing w:before="0" w:after="120"/>
      </w:pPr>
      <w:r>
        <w:rPr>
          <w:rFonts w:ascii="Arial" w:cs="Arial" w:eastAsia="Arial" w:hAnsi="Arial"/>
          <w:b w:val="false"/>
          <w:bCs w:val="false"/>
          <w:i w:val="false"/>
          <w:iCs w:val="false"/>
          <w:color w:val="000000"/>
          <w:sz w:val="22"/>
          <w:szCs w:val="22"/>
        </w:rPr>
        <w:t xml:space="preserve"> </w:t>
      </w:r>
    </w:p>
    <w:p>
      <w:pPr>
        <w:spacing w:before="0" w:after="60"/>
        <w:jc w:val="left"/>
      </w:pPr>
      <w:r>
        <w:rPr>
          <w:rFonts w:ascii="Arial" w:cs="Arial" w:eastAsia="Arial" w:hAnsi="Arial"/>
          <w:b w:val="false"/>
          <w:bCs w:val="false"/>
          <w:i/>
          <w:iCs/>
          <w:color w:val="666666"/>
          <w:sz w:val="19"/>
          <w:szCs w:val="19"/>
        </w:rPr>
        <w:t xml:space="preserve">Note: Reports include spontaneous post-marketing reports, literature cases, and non-interventional study reports. MedDRA version 28.1 was used for coding. Double-counting across SOCs is not possible in this summary; cases with multiple PTs appear in the most clinically relevant SOC.</w:t>
      </w:r>
    </w:p>
    <w:p>
      <w:pPr>
        <w:pStyle w:val="Heading2"/>
        <w:spacing w:before="240" w:after="120"/>
      </w:pPr>
      <w:r>
        <w:rPr>
          <w:rFonts w:ascii="Arial" w:cs="Arial" w:eastAsia="Arial" w:hAnsi="Arial"/>
          <w:b/>
          <w:bCs/>
          <w:color w:val="1B3A6B"/>
          <w:sz w:val="26"/>
          <w:szCs w:val="26"/>
        </w:rPr>
        <w:t xml:space="preserve">7. Cumulative Summary Tabulations from Clinical Trials</w:t>
      </w:r>
    </w:p>
    <w:p>
      <w:pPr>
        <w:spacing w:before="0" w:after="60"/>
        <w:jc w:val="left"/>
      </w:pPr>
      <w:r>
        <w:rPr>
          <w:rFonts w:ascii="Arial" w:cs="Arial" w:eastAsia="Arial" w:hAnsi="Arial"/>
          <w:b w:val="false"/>
          <w:bCs w:val="false"/>
          <w:i w:val="false"/>
          <w:iCs w:val="false"/>
          <w:color w:val="000000"/>
          <w:sz w:val="22"/>
          <w:szCs w:val="22"/>
        </w:rPr>
        <w:t xml:space="preserve">For detailed clinical trial adverse event tabulations, refer to the Clinical Study Reports for CERVI-201 (NCT03112847) and CERVI-301 (NCT03589456). Key safety findings from the integrated clinical dataset (N=619; 492 Cervimab, 127 control)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Adverse Event Category</w:t>
            </w:r>
          </w:p>
        </w:tc>
        <w:tc>
          <w:tcPr>
            <w:tcW w:type="dxa" w:w="27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Cervimab (N=492) %</w:t>
            </w:r>
          </w:p>
        </w:tc>
        <w:tc>
          <w:tcPr>
            <w:tcW w:type="dxa" w:w="27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Comparator (N=127) %</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Any Treatment-Emergent AE</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97.8</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95.3</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Any Grade ≥3 AE</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42.7</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38.6</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Serious AE (SAE)</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28.5</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24.4</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AE Leading to Discontinuation</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8.9</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4.7</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AE Leading to Death</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2.2</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3.1</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Any Immune-Mediated AE</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30.3</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4.7</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Grade ≥3 Immune-Mediated AE</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9.6</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0.8</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8. Benefit Assessment</w:t>
      </w:r>
    </w:p>
    <w:p>
      <w:pPr>
        <w:pStyle w:val="Heading3"/>
        <w:spacing w:before="240" w:after="120"/>
      </w:pPr>
      <w:r>
        <w:rPr>
          <w:rFonts w:ascii="Arial" w:cs="Arial" w:eastAsia="Arial" w:hAnsi="Arial"/>
          <w:b/>
          <w:bCs/>
          <w:color w:val="1B3A6B"/>
          <w:sz w:val="24"/>
          <w:szCs w:val="24"/>
        </w:rPr>
        <w:t xml:space="preserve">8.1 Efficacy in the Approved Indication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Endpoint</w:t>
            </w:r>
          </w:p>
        </w:tc>
        <w:tc>
          <w:tcPr>
            <w:tcW w:type="dxa" w:w="318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CERVI-301 Result</w:t>
            </w:r>
          </w:p>
        </w:tc>
        <w:tc>
          <w:tcPr>
            <w:tcW w:type="dxa" w:w="318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Clinical Significance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Objective Response Rate (ORR)</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46.3% (95% CI: 41.7–50.9%)</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Significantly higher than SOC chemotherapy (18.9%)</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Median Progression-Free Survival</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 months (95% CI: 8.2–11.4)</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HR 0.42 (0.35–0.51); p&lt;0.0001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Median Overall Survival</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Not reached (median follow-up 22 months)</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HR 0.58 (0.46–0.73); p&lt;0.0001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Complete Response Rate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9.1%</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Durable CRs observed; MSS patients excluded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Duration of Response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Not reached (median follow-up 22 months)</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66% of responders remained on treatment at 18 months</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9. Integrated Benefit-Risk Assessment</w:t>
      </w:r>
    </w:p>
    <w:p>
      <w:pPr>
        <w:spacing w:before="0" w:after="60"/>
        <w:jc w:val="left"/>
      </w:pPr>
      <w:r>
        <w:rPr>
          <w:rFonts w:ascii="Arial" w:cs="Arial" w:eastAsia="Arial" w:hAnsi="Arial"/>
          <w:b w:val="false"/>
          <w:bCs w:val="false"/>
          <w:i w:val="false"/>
          <w:iCs w:val="false"/>
          <w:color w:val="000000"/>
          <w:sz w:val="22"/>
          <w:szCs w:val="22"/>
        </w:rPr>
        <w:t xml:space="preserve">The benefit-risk balance for Cervimab in the approved indication of dMMR/MSI-H mCRC remains clearly favorable. The unmet medical need in this population—who have exhausted standard-of-care options—is high, with historical median OS of approximately 6 months on BSC. Cervimab's durable response rates and OS benefit, combined with a manageable immune-mediated safety profile, support continued use in the approved indication.</w:t>
      </w:r>
    </w:p>
    <w:p>
      <w:pPr>
        <w:spacing w:before="0" w:after="60"/>
        <w:jc w:val="left"/>
      </w:pPr>
      <w:r>
        <w:rPr>
          <w:rFonts w:ascii="Arial" w:cs="Arial" w:eastAsia="Arial" w:hAnsi="Arial"/>
          <w:b w:val="false"/>
          <w:bCs w:val="false"/>
          <w:i w:val="false"/>
          <w:iCs w:val="false"/>
          <w:color w:val="000000"/>
          <w:sz w:val="22"/>
          <w:szCs w:val="22"/>
        </w:rPr>
        <w:t xml:space="preserve">Identified risks (immune-mediated adverse events, infusion-related reactions) are class-effects of PD-1 inhibitors, are addressed in the USPI with comprehensive monitoring and management guidance, and are well-understood by treating oncologists. No new safety concerns have emerged during the first six post-marketing months.</w:t>
      </w:r>
    </w:p>
    <w:p>
      <w:pPr>
        <w:pStyle w:val="Heading2"/>
        <w:spacing w:before="240" w:after="120"/>
      </w:pPr>
      <w:r>
        <w:rPr>
          <w:rFonts w:ascii="Arial" w:cs="Arial" w:eastAsia="Arial" w:hAnsi="Arial"/>
          <w:b/>
          <w:bCs/>
          <w:color w:val="1B3A6B"/>
          <w:sz w:val="26"/>
          <w:szCs w:val="26"/>
        </w:rPr>
        <w:t xml:space="preserve">10. Conclusions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Assessment</w:t>
            </w:r>
          </w:p>
        </w:tc>
        <w:tc>
          <w:tcPr>
            <w:tcW w:type="dxa" w:w="54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Finding / Recommendation</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Benefit-Risk</w:t>
            </w:r>
          </w:p>
        </w:tc>
        <w:tc>
          <w:tcPr>
            <w:tcW w:type="dxa" w:w="54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FAVORABLE — No change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USPI Update Required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Modification Required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 — current REMS remains appropriate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New Pharmacovigilance Activity Required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 — existing registry (CERVIMAB-LTS-01) continues</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New Risk Minimization Activity Required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Next PBRER Submission Due</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April 30, 2026 (covering October 2025 – March 2026)</w:t>
            </w:r>
          </w:p>
        </w:tc>
      </w:tr>
    </w:tbl>
    <w:p>
      <w:pPr>
        <w:spacing w:before="0" w:after="240"/>
      </w:pPr>
      <w:r>
        <w:rPr>
          <w:rFonts w:ascii="Arial" w:cs="Arial" w:eastAsia="Arial" w:hAnsi="Arial"/>
          <w:b w:val="false"/>
          <w:bCs w:val="false"/>
          <w:i w:val="false"/>
          <w:iCs w:val="false"/>
          <w:color w:val="000000"/>
          <w:sz w:val="22"/>
          <w:szCs w:val="22"/>
        </w:rPr>
        <w:t xml:space="preserve"> </w:t>
      </w:r>
    </w:p>
    <w:p>
      <w:pPr>
        <w:spacing w:before="0" w:after="0"/>
      </w:pPr>
      <w:r>
        <w:br w:type="page"/>
      </w:r>
    </w:p>
    <w:p>
      <w:pPr>
        <w:shd w:fill="1A6B5A" w:val="clear"/>
        <w:spacing w:before="0" w:after="0"/>
      </w:pPr>
      <w:r>
        <w:rPr>
          <w:rFonts w:ascii="Arial" w:cs="Arial" w:eastAsia="Arial" w:hAnsi="Arial"/>
          <w:b w:val="false"/>
          <w:bCs w:val="false"/>
          <w:i w:val="false"/>
          <w:iCs w:val="false"/>
          <w:color w:val="000000"/>
          <w:sz w:val="22"/>
          <w:szCs w:val="22"/>
        </w:rPr>
        <w:t xml:space="preserve"> </w:t>
      </w:r>
    </w:p>
    <w:p>
      <w:pPr>
        <w:spacing w:before="600" w:after="60"/>
        <w:jc w:val="center"/>
      </w:pPr>
      <w:r>
        <w:rPr>
          <w:rFonts w:ascii="Arial" w:cs="Arial" w:eastAsia="Arial" w:hAnsi="Arial"/>
          <w:b/>
          <w:bCs/>
          <w:i w:val="false"/>
          <w:iCs w:val="false"/>
          <w:color w:val="9BBDE8"/>
          <w:sz w:val="20"/>
          <w:szCs w:val="20"/>
        </w:rPr>
        <w:t xml:space="preserve">DOCUMENT 2</w:t>
      </w:r>
    </w:p>
    <w:p>
      <w:pPr>
        <w:spacing w:before="0" w:after="120"/>
        <w:jc w:val="center"/>
      </w:pPr>
      <w:r>
        <w:rPr>
          <w:rFonts w:ascii="Arial" w:cs="Arial" w:eastAsia="Arial" w:hAnsi="Arial"/>
          <w:b/>
          <w:bCs/>
          <w:i w:val="false"/>
          <w:iCs w:val="false"/>
          <w:color w:val="FFFFFF"/>
          <w:sz w:val="44"/>
          <w:szCs w:val="44"/>
        </w:rPr>
        <w:t xml:space="preserve">PADER</w:t>
      </w:r>
    </w:p>
    <w:p>
      <w:pPr>
        <w:spacing w:before="0" w:after="600"/>
        <w:jc w:val="center"/>
      </w:pPr>
      <w:r>
        <w:rPr>
          <w:rFonts w:ascii="Arial" w:cs="Arial" w:eastAsia="Arial" w:hAnsi="Arial"/>
          <w:b w:val="false"/>
          <w:bCs w:val="false"/>
          <w:i w:val="false"/>
          <w:iCs w:val="false"/>
          <w:color w:val="D6E4F7"/>
          <w:sz w:val="22"/>
          <w:szCs w:val="22"/>
        </w:rPr>
        <w:t xml:space="preserve">Postmarketing Adverse Drug Experience Report</w:t>
      </w:r>
    </w:p>
    <w:p>
      <w:pPr>
        <w:spacing w:before="0" w:after="24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bCs/>
          <w:i w:val="false"/>
          <w:iCs w:val="false"/>
          <w:color w:val="1A6B5A"/>
          <w:sz w:val="28"/>
          <w:szCs w:val="28"/>
        </w:rPr>
        <w:t xml:space="preserve">POSTMARKETING ADVERSE DRUG EXPERIENCE REPORT (PADER)</w:t>
      </w:r>
    </w:p>
    <w:p>
      <w:pPr>
        <w:spacing w:before="0" w:after="60"/>
        <w:jc w:val="center"/>
      </w:pPr>
      <w:r>
        <w:rPr>
          <w:rFonts w:ascii="Arial" w:cs="Arial" w:eastAsia="Arial" w:hAnsi="Arial"/>
          <w:b w:val="false"/>
          <w:bCs w:val="false"/>
          <w:i w:val="false"/>
          <w:iCs w:val="false"/>
          <w:color w:val="666666"/>
          <w:sz w:val="22"/>
          <w:szCs w:val="22"/>
        </w:rPr>
        <w:t xml:space="preserve">Annual Summary — Year 1 Post-Approval</w:t>
      </w:r>
    </w:p>
    <w:p>
      <w:pPr>
        <w:spacing w:before="0" w:after="240"/>
        <w:jc w:val="center"/>
      </w:pPr>
      <w:r>
        <w:rPr>
          <w:rFonts w:ascii="Arial" w:cs="Arial" w:eastAsia="Arial" w:hAnsi="Arial"/>
          <w:b w:val="false"/>
          <w:bCs w:val="false"/>
          <w:i w:val="false"/>
          <w:iCs w:val="false"/>
          <w:color w:val="666666"/>
          <w:sz w:val="20"/>
          <w:szCs w:val="20"/>
        </w:rPr>
        <w:t xml:space="preserve">Cervimab (CERVILUX®) | NDA 221-847 | Submitted pursuant to 21 CFR 314.81(b)(2)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Field</w:t>
            </w:r>
          </w:p>
        </w:tc>
        <w:tc>
          <w:tcPr>
            <w:tcW w:type="dxa" w:w="636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Information</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NDA Number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NDA 221-847</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Product Name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CERVILUX® (cervimab injection, 200 mg/4 mL [50 mg/mL])</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Applicant</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PharmaNova Oncology, Inc.</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Applicant Contact</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Dr. Miriam Caldwell, VP Global Safety | m.caldwell@pharmanova.com | +1-617-555-0100</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Report Period</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18, 2025 – March 17, 2026 (Year 1 post-approval)</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Submission Date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May 17, 2026 (within 60 days of period end)</w:t>
            </w:r>
          </w:p>
        </w:tc>
      </w:tr>
      <w:tr>
        <w:tc>
          <w:tcPr>
            <w:tcW w:type="dxa" w:w="3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Regulatory Framework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 CFR 314.81(b)(2); FDA Guidance for Industry: Postmarketing Safety Reporting (2021)</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A6B5A"/>
          <w:sz w:val="32"/>
          <w:szCs w:val="32"/>
        </w:rPr>
        <w:t xml:space="preserve">Section I: Distribution Data</w:t>
      </w:r>
    </w:p>
    <w:p>
      <w:pPr>
        <w:pStyle w:val="Heading2"/>
        <w:spacing w:before="240" w:after="120"/>
      </w:pPr>
      <w:r>
        <w:rPr>
          <w:rFonts w:ascii="Arial" w:cs="Arial" w:eastAsia="Arial" w:hAnsi="Arial"/>
          <w:b/>
          <w:bCs/>
          <w:color w:val="1A6B5A"/>
          <w:sz w:val="26"/>
          <w:szCs w:val="26"/>
        </w:rPr>
        <w:t xml:space="preserve">I.A. Patient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46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Value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Total Patients Dispensed (Year 1)</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~5,340 unique patients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Total Units Distributed (200 mg vials)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~63,200 vials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Estimated Patient-Years of Exposure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~2,890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Median Duration of Therapy</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6.1 months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Male / Female Distribution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52.1% / 47.9%</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Median Patient Age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61 years (range: 24–84)</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Geographic Distribution (Top States)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 (12%), TX (9%), NY (8%), FL (7%), OH (5%)</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A6B5A"/>
          <w:sz w:val="32"/>
          <w:szCs w:val="32"/>
        </w:rPr>
        <w:t xml:space="preserve">Section II: Adverse Drug Experience Summary</w:t>
      </w:r>
    </w:p>
    <w:p>
      <w:pPr>
        <w:pStyle w:val="Heading2"/>
        <w:spacing w:before="240" w:after="120"/>
      </w:pPr>
      <w:r>
        <w:rPr>
          <w:rFonts w:ascii="Arial" w:cs="Arial" w:eastAsia="Arial" w:hAnsi="Arial"/>
          <w:b/>
          <w:bCs/>
          <w:color w:val="1A6B5A"/>
          <w:sz w:val="26"/>
          <w:szCs w:val="26"/>
        </w:rPr>
        <w:t xml:space="preserve">II.A. Total Reports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Report Category</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Serious</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Non-Serious</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Total</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 15-day Reports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Spontaneous (US)</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84</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219</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303</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Literature</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19</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From Studies (Non-IND)</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Health Authority (foreign)</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Consumer / Patient</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14</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62</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76</w:t>
            </w:r>
          </w:p>
        </w:tc>
        <w:tc>
          <w:tcPr>
            <w:tcW w:type="dxa" w:w="1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r>
      <w:tr>
        <w:tc>
          <w:tcPr>
            <w:tcW w:type="dxa" w:w="28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TOTAL</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125</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295</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420</w:t>
            </w:r>
          </w:p>
        </w:tc>
        <w:tc>
          <w:tcPr>
            <w:tcW w:type="dxa" w:w="164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100%</w:t>
            </w:r>
          </w:p>
        </w:tc>
      </w:tr>
    </w:tbl>
    <w:p>
      <w:pPr>
        <w:spacing w:before="0" w:after="120"/>
      </w:pPr>
      <w:r>
        <w:rPr>
          <w:rFonts w:ascii="Arial" w:cs="Arial" w:eastAsia="Arial" w:hAnsi="Arial"/>
          <w:b w:val="false"/>
          <w:bCs w:val="false"/>
          <w:i w:val="false"/>
          <w:iCs w:val="false"/>
          <w:color w:val="000000"/>
          <w:sz w:val="22"/>
          <w:szCs w:val="22"/>
        </w:rPr>
        <w:t xml:space="preserve"> </w:t>
      </w:r>
    </w:p>
    <w:p>
      <w:pPr>
        <w:spacing w:before="0" w:after="60"/>
        <w:jc w:val="left"/>
      </w:pPr>
      <w:r>
        <w:rPr>
          <w:rFonts w:ascii="Arial" w:cs="Arial" w:eastAsia="Arial" w:hAnsi="Arial"/>
          <w:b w:val="false"/>
          <w:bCs w:val="false"/>
          <w:i/>
          <w:iCs/>
          <w:color w:val="666666"/>
          <w:sz w:val="20"/>
          <w:szCs w:val="20"/>
        </w:rPr>
        <w:t xml:space="preserve">All 125 serious adverse drug experience (SADE) reports were submitted to FDA within 15 calendar days of receipt and initial determination of seriousness, in compliance with 21 CFR 314.81(b)(1). No reportable delayed submissions occurred during Year 1.</w:t>
      </w:r>
    </w:p>
    <w:p>
      <w:pPr>
        <w:pStyle w:val="Heading2"/>
        <w:spacing w:before="240" w:after="120"/>
      </w:pPr>
      <w:r>
        <w:rPr>
          <w:rFonts w:ascii="Arial" w:cs="Arial" w:eastAsia="Arial" w:hAnsi="Arial"/>
          <w:b/>
          <w:bCs/>
          <w:color w:val="1A6B5A"/>
          <w:sz w:val="26"/>
          <w:szCs w:val="26"/>
        </w:rPr>
        <w:t xml:space="preserve">II.B. Serious Adverse Experiences by System Organ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1880"/>
        <w:gridCol w:w="2000"/>
      </w:tblGrid>
      <w:tr>
        <w:tc>
          <w:tcPr>
            <w:tcW w:type="dxa" w:w="36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System Organ Class (MedDRA 28.1)</w:t>
            </w:r>
          </w:p>
        </w:tc>
        <w:tc>
          <w:tcPr>
            <w:tcW w:type="dxa" w:w="18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Serious Reports</w:t>
            </w:r>
          </w:p>
        </w:tc>
        <w:tc>
          <w:tcPr>
            <w:tcW w:type="dxa" w:w="18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 of SAE Total</w:t>
            </w:r>
          </w:p>
        </w:tc>
        <w:tc>
          <w:tcPr>
            <w:tcW w:type="dxa" w:w="20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Fatal</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 System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48</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38.4%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 (myocarditis)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Gastrointestinal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27</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21.6%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Respiratory, Thoracic &amp; Mediastinal</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19</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15.2%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Hepatobiliary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11</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Endocrine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Cardiac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 (myocarditis)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Nervous System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Skin / Subcutaneous Disorders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36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TOTAL</w:t>
            </w:r>
          </w:p>
        </w:tc>
        <w:tc>
          <w:tcPr>
            <w:tcW w:type="dxa" w:w="18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125</w:t>
            </w:r>
          </w:p>
        </w:tc>
        <w:tc>
          <w:tcPr>
            <w:tcW w:type="dxa" w:w="188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100%</w:t>
            </w:r>
          </w:p>
        </w:tc>
        <w:tc>
          <w:tcPr>
            <w:tcW w:type="dxa" w:w="20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2</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A6B5A"/>
          <w:sz w:val="26"/>
          <w:szCs w:val="26"/>
        </w:rPr>
        <w:t xml:space="preserve">II.C. Death Reports</w:t>
      </w:r>
    </w:p>
    <w:p>
      <w:pPr>
        <w:spacing w:before="0" w:after="60"/>
        <w:jc w:val="left"/>
      </w:pPr>
      <w:r>
        <w:rPr>
          <w:rFonts w:ascii="Arial" w:cs="Arial" w:eastAsia="Arial" w:hAnsi="Arial"/>
          <w:b w:val="false"/>
          <w:bCs w:val="false"/>
          <w:i w:val="false"/>
          <w:iCs w:val="false"/>
          <w:color w:val="000000"/>
          <w:sz w:val="22"/>
          <w:szCs w:val="22"/>
        </w:rPr>
        <w:t xml:space="preserve">Two fatal cases were reported during Year 1. Both underwent full causality assessment and were submitted to FDA as expedited 15-day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1800"/>
        <w:gridCol w:w="1960"/>
      </w:tblGrid>
      <w:tr>
        <w:tc>
          <w:tcPr>
            <w:tcW w:type="dxa" w:w="18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Case ID</w:t>
            </w:r>
          </w:p>
        </w:tc>
        <w:tc>
          <w:tcPr>
            <w:tcW w:type="dxa" w:w="1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Age/Sex</w:t>
            </w:r>
          </w:p>
        </w:tc>
        <w:tc>
          <w:tcPr>
            <w:tcW w:type="dxa" w:w="2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Event</w:t>
            </w:r>
          </w:p>
        </w:tc>
        <w:tc>
          <w:tcPr>
            <w:tcW w:type="dxa" w:w="18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Causality</w:t>
            </w:r>
          </w:p>
        </w:tc>
        <w:tc>
          <w:tcPr>
            <w:tcW w:type="dxa" w:w="1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Outcome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CERV-PM-2025-00047</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67M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myocarditis with fatal arrhythmia. Onset Day 28 after Cycle 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Related (probable)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 (Day 36)</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CERV-PM-2025-00183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71F</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Grade 4 pneumonitis; intubated; palliative withdrawal. Onset Day 14 after Cycle 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Related (possible)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 (Day 22)</w:t>
            </w:r>
          </w:p>
        </w:tc>
      </w:tr>
    </w:tbl>
    <w:p>
      <w:pPr>
        <w:spacing w:before="0" w:after="120"/>
      </w:pPr>
      <w:r>
        <w:rPr>
          <w:rFonts w:ascii="Arial" w:cs="Arial" w:eastAsia="Arial" w:hAnsi="Arial"/>
          <w:b w:val="false"/>
          <w:bCs w:val="false"/>
          <w:i w:val="false"/>
          <w:iCs w:val="false"/>
          <w:color w:val="000000"/>
          <w:sz w:val="22"/>
          <w:szCs w:val="22"/>
        </w:rPr>
        <w:t xml:space="preserve"> </w:t>
      </w:r>
    </w:p>
    <w:p>
      <w:pPr>
        <w:spacing w:before="0" w:after="60"/>
        <w:jc w:val="left"/>
      </w:pPr>
      <w:r>
        <w:rPr>
          <w:rFonts w:ascii="Arial" w:cs="Arial" w:eastAsia="Arial" w:hAnsi="Arial"/>
          <w:b w:val="false"/>
          <w:bCs w:val="false"/>
          <w:i/>
          <w:iCs/>
          <w:color w:val="666666"/>
          <w:sz w:val="20"/>
          <w:szCs w:val="20"/>
        </w:rPr>
        <w:t xml:space="preserve">Both cases involved known, labeled risks of Cervimab. Myocarditis and severe pneumonitis are described in the USPI Warnings and Precautions section with associated black-box warning language. No pattern inconsistent with labeled risks was identified.</w:t>
      </w:r>
    </w:p>
    <w:p>
      <w:pPr>
        <w:pStyle w:val="Heading1"/>
        <w:pBdr>
          <w:bottom w:val="single" w:color="2E5FAC" w:sz="6" w:space="1"/>
        </w:pBdr>
        <w:spacing w:before="360" w:after="120"/>
      </w:pPr>
      <w:r>
        <w:rPr>
          <w:rFonts w:ascii="Arial" w:cs="Arial" w:eastAsia="Arial" w:hAnsi="Arial"/>
          <w:b/>
          <w:bCs/>
          <w:color w:val="1A6B5A"/>
          <w:sz w:val="32"/>
          <w:szCs w:val="32"/>
        </w:rPr>
        <w:t xml:space="preserve">Section III: 15-Day Report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Compliance Metric</w:t>
            </w:r>
          </w:p>
        </w:tc>
        <w:tc>
          <w:tcPr>
            <w:tcW w:type="dxa" w:w="396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Result</w:t>
            </w:r>
          </w:p>
        </w:tc>
      </w:tr>
      <w:tr>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Total 15-day (expedited) reports submitted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125</w:t>
            </w:r>
          </w:p>
        </w:tc>
      </w:tr>
      <w:tr>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Submitted within 15 calendar days</w:t>
            </w:r>
          </w:p>
        </w:tc>
        <w:tc>
          <w:tcPr>
            <w:tcW w:type="dxa" w:w="39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125 (100.0%)</w:t>
            </w:r>
          </w:p>
        </w:tc>
      </w:tr>
      <w:tr>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Late submissions (&gt;15 days)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r>
      <w:tr>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Follow-up reports submitted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38</w:t>
            </w:r>
          </w:p>
        </w:tc>
      </w:tr>
      <w:tr>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Cases with incomplete information at initial report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22 (17.6%) — all followed up within 30 days</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A6B5A"/>
          <w:sz w:val="32"/>
          <w:szCs w:val="32"/>
        </w:rPr>
        <w:t xml:space="preserve">Section IV: New Safety Information Identified</w:t>
      </w:r>
    </w:p>
    <w:p>
      <w:pPr>
        <w:spacing w:before="0" w:after="60"/>
        <w:jc w:val="left"/>
      </w:pPr>
      <w:r>
        <w:rPr>
          <w:rFonts w:ascii="Arial" w:cs="Arial" w:eastAsia="Arial" w:hAnsi="Arial"/>
          <w:b w:val="false"/>
          <w:bCs w:val="false"/>
          <w:i w:val="false"/>
          <w:iCs w:val="false"/>
          <w:color w:val="000000"/>
          <w:sz w:val="22"/>
          <w:szCs w:val="22"/>
        </w:rPr>
        <w:t xml:space="preserve">No new safety signals or unexpected adverse drug experiences were identified during Year 1 that require changes to the USPI, Medication Guide, or REMS. The following potential signals were evaluated by the PharmaNova Signal Management Committee (SMC) and closed as expected class-effects within labeled frequency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Potential Signal</w:t>
            </w:r>
          </w:p>
        </w:tc>
        <w:tc>
          <w:tcPr>
            <w:tcW w:type="dxa" w:w="240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Evaluation Method</w:t>
            </w:r>
          </w:p>
        </w:tc>
        <w:tc>
          <w:tcPr>
            <w:tcW w:type="dxa" w:w="3360"/>
            <w:gridSpan w:val="1"/>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Conclusion</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colitis cluster (Q2 2025)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EBGM / PRR disproportionality + case review</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Labeled; no change required</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Infusion reaction severity reports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 series review + CIOMS analysis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Consistent with label; DHCP letter issued</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Type 1 diabetes / DKA (4 cases)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Targeted literature search + comparator analysis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Known class risk; surveillance continues</w:t>
            </w:r>
          </w:p>
        </w:tc>
      </w:tr>
    </w:tbl>
    <w:p>
      <w:pPr>
        <w:spacing w:before="0" w:after="240"/>
      </w:pPr>
      <w:r>
        <w:rPr>
          <w:rFonts w:ascii="Arial" w:cs="Arial" w:eastAsia="Arial" w:hAnsi="Arial"/>
          <w:b w:val="false"/>
          <w:bCs w:val="false"/>
          <w:i w:val="false"/>
          <w:iCs w:val="false"/>
          <w:color w:val="000000"/>
          <w:sz w:val="22"/>
          <w:szCs w:val="22"/>
        </w:rPr>
        <w:t xml:space="preserve"> </w:t>
      </w:r>
    </w:p>
    <w:p>
      <w:pPr>
        <w:spacing w:before="0" w:after="0"/>
      </w:pPr>
      <w:r>
        <w:br w:type="page"/>
      </w:r>
    </w:p>
    <w:p>
      <w:pPr>
        <w:shd w:fill="8B1A1A" w:val="clear"/>
        <w:spacing w:before="0" w:after="0"/>
      </w:pPr>
      <w:r>
        <w:rPr>
          <w:rFonts w:ascii="Arial" w:cs="Arial" w:eastAsia="Arial" w:hAnsi="Arial"/>
          <w:b w:val="false"/>
          <w:bCs w:val="false"/>
          <w:i w:val="false"/>
          <w:iCs w:val="false"/>
          <w:color w:val="000000"/>
          <w:sz w:val="22"/>
          <w:szCs w:val="22"/>
        </w:rPr>
        <w:t xml:space="preserve"> </w:t>
      </w:r>
    </w:p>
    <w:p>
      <w:pPr>
        <w:spacing w:before="600" w:after="60"/>
        <w:jc w:val="center"/>
      </w:pPr>
      <w:r>
        <w:rPr>
          <w:rFonts w:ascii="Arial" w:cs="Arial" w:eastAsia="Arial" w:hAnsi="Arial"/>
          <w:b/>
          <w:bCs/>
          <w:i w:val="false"/>
          <w:iCs w:val="false"/>
          <w:color w:val="9BBDE8"/>
          <w:sz w:val="20"/>
          <w:szCs w:val="20"/>
        </w:rPr>
        <w:t xml:space="preserve">DOCUMENT 3</w:t>
      </w:r>
    </w:p>
    <w:p>
      <w:pPr>
        <w:spacing w:before="0" w:after="120"/>
        <w:jc w:val="center"/>
      </w:pPr>
      <w:r>
        <w:rPr>
          <w:rFonts w:ascii="Arial" w:cs="Arial" w:eastAsia="Arial" w:hAnsi="Arial"/>
          <w:b/>
          <w:bCs/>
          <w:i w:val="false"/>
          <w:iCs w:val="false"/>
          <w:color w:val="FFFFFF"/>
          <w:sz w:val="44"/>
          <w:szCs w:val="44"/>
        </w:rPr>
        <w:t xml:space="preserve">Individual Case Safety Reports</w:t>
      </w:r>
    </w:p>
    <w:p>
      <w:pPr>
        <w:spacing w:before="0" w:after="600"/>
        <w:jc w:val="center"/>
      </w:pPr>
      <w:r>
        <w:rPr>
          <w:rFonts w:ascii="Arial" w:cs="Arial" w:eastAsia="Arial" w:hAnsi="Arial"/>
          <w:b w:val="false"/>
          <w:bCs w:val="false"/>
          <w:i w:val="false"/>
          <w:iCs w:val="false"/>
          <w:color w:val="D6E4F7"/>
          <w:sz w:val="22"/>
          <w:szCs w:val="22"/>
        </w:rPr>
        <w:t xml:space="preserve">MedWatch 3500A / EudraVigilance (ICH E2B(R3))</w:t>
      </w:r>
    </w:p>
    <w:p>
      <w:pPr>
        <w:spacing w:before="0" w:after="24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bCs/>
          <w:i w:val="false"/>
          <w:iCs w:val="false"/>
          <w:color w:val="8B1A1A"/>
          <w:sz w:val="28"/>
          <w:szCs w:val="28"/>
        </w:rPr>
        <w:t xml:space="preserve">INDIVIDUAL CASE SAFETY REPORTS (ICSRs)</w:t>
      </w:r>
    </w:p>
    <w:p>
      <w:pPr>
        <w:spacing w:before="0" w:after="240"/>
        <w:jc w:val="center"/>
      </w:pPr>
      <w:r>
        <w:rPr>
          <w:rFonts w:ascii="Arial" w:cs="Arial" w:eastAsia="Arial" w:hAnsi="Arial"/>
          <w:b w:val="false"/>
          <w:bCs w:val="false"/>
          <w:i w:val="false"/>
          <w:iCs w:val="false"/>
          <w:color w:val="666666"/>
          <w:sz w:val="22"/>
          <w:szCs w:val="22"/>
        </w:rPr>
        <w:t xml:space="preserve">US MedWatch 3500A Format | EudraVigilance ICH E2B(R3) Compatible</w:t>
      </w:r>
    </w:p>
    <w:p>
      <w:pPr>
        <w:pStyle w:val="Heading2"/>
        <w:spacing w:before="240" w:after="120"/>
      </w:pPr>
      <w:r>
        <w:rPr>
          <w:rFonts w:ascii="Arial" w:cs="Arial" w:eastAsia="Arial" w:hAnsi="Arial"/>
          <w:b/>
          <w:bCs/>
          <w:color w:val="8B1A1A"/>
          <w:sz w:val="26"/>
          <w:szCs w:val="26"/>
        </w:rPr>
        <w:t xml:space="preserve">Prefatory Note</w:t>
      </w:r>
    </w:p>
    <w:p>
      <w:pPr>
        <w:spacing w:before="0" w:after="60"/>
        <w:jc w:val="left"/>
      </w:pPr>
      <w:r>
        <w:rPr>
          <w:rFonts w:ascii="Arial" w:cs="Arial" w:eastAsia="Arial" w:hAnsi="Arial"/>
          <w:b w:val="false"/>
          <w:bCs w:val="false"/>
          <w:i w:val="false"/>
          <w:iCs w:val="false"/>
          <w:color w:val="000000"/>
          <w:sz w:val="22"/>
          <w:szCs w:val="22"/>
        </w:rPr>
        <w:t xml:space="preserve">The three ICSRs presented in this section are representative examples of the serious adverse event cases reported to FDA via MedWatch Form 3500A and transmitted to EudraVigilance via ICH E2B(R3) XML. Each report includes all mandatory data elements required under 21 CFR 314.81(b)(1), 21 CFR 310.305, and ICH E2B(R3) guidelines. Patient and healthcare provider identifiers have been de-identified for dossier purposes; actual submissions contained full identifiable information as required.</w:t>
      </w:r>
    </w:p>
    <w:p>
      <w:pPr>
        <w:spacing w:before="0" w:after="120"/>
      </w:pPr>
      <w:r>
        <w:rPr>
          <w:rFonts w:ascii="Arial" w:cs="Arial" w:eastAsia="Arial" w:hAnsi="Arial"/>
          <w:b w:val="false"/>
          <w:bCs w:val="false"/>
          <w:i w:val="false"/>
          <w:iCs w:val="false"/>
          <w:color w:val="000000"/>
          <w:sz w:val="22"/>
          <w:szCs w:val="22"/>
        </w:rPr>
        <w:t xml:space="preserve"> </w:t>
      </w:r>
    </w:p>
    <w:p>
      <w:pPr>
        <w:shd w:fill="8B1A1A" w:val="clear"/>
        <w:spacing w:before="120" w:after="120"/>
        <w:ind w:left="120"/>
        <w:jc w:val="left"/>
      </w:pPr>
      <w:r>
        <w:rPr>
          <w:rFonts w:ascii="Arial" w:cs="Arial" w:eastAsia="Arial" w:hAnsi="Arial"/>
          <w:b/>
          <w:bCs/>
          <w:i w:val="false"/>
          <w:iCs w:val="false"/>
          <w:color w:val="FFFFFF"/>
          <w:sz w:val="24"/>
          <w:szCs w:val="24"/>
        </w:rPr>
        <w:t xml:space="preserve">ICSR #1 — Immune-Mediated Myocarditis (Fatal)</w:t>
      </w:r>
    </w:p>
    <w:p>
      <w:pPr>
        <w:pStyle w:val="Heading3"/>
        <w:spacing w:before="240" w:after="120"/>
      </w:pPr>
      <w:r>
        <w:rPr>
          <w:rFonts w:ascii="Arial" w:cs="Arial" w:eastAsia="Arial" w:hAnsi="Arial"/>
          <w:b/>
          <w:bCs/>
          <w:color w:val="8B1A1A"/>
          <w:sz w:val="24"/>
          <w:szCs w:val="24"/>
        </w:rPr>
        <w:t xml:space="preserve">A. Identification and Administrative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Data Element</w:t>
            </w:r>
          </w:p>
        </w:tc>
        <w:tc>
          <w:tcPr>
            <w:tcW w:type="dxa" w:w="5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Entry</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 ID / World Safety Number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CERV-PM-2025-00047 / PHARMANOVA-US-2025-047</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of Report Generation</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May 12, 2025</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Type of Report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Spontaneous / 15-day Expedited</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Received by Sponsor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April 28, 2025</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Initial / Follow-up</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Initial (no follow-up required; fatal)</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Reporter Type</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Physician (Cardiologist) / Hospital</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Reporter Country</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United States</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Regulatory Authority (primary)</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FDA CDER — MedWatch 3500A + E2B(R3) XML to EudraVigilance</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3"/>
        <w:spacing w:before="240" w:after="120"/>
      </w:pPr>
      <w:r>
        <w:rPr>
          <w:rFonts w:ascii="Arial" w:cs="Arial" w:eastAsia="Arial" w:hAnsi="Arial"/>
          <w:b/>
          <w:bCs/>
          <w:color w:val="8B1A1A"/>
          <w:sz w:val="24"/>
          <w:szCs w:val="24"/>
        </w:rPr>
        <w:t xml:space="preserve">B. Patient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Field</w:t>
            </w:r>
          </w:p>
        </w:tc>
        <w:tc>
          <w:tcPr>
            <w:tcW w:type="dxa" w:w="5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Value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 ID (de-identified)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PM-2025-047-PT</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Age</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67 years</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Sex</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Male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Weight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82 kg</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Indication for Cervimab</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dMMR/MSI-H mCRC (3rd line — prior FOLFOX, FOLFIRI)</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Relevant Medical History</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Hypertension (controlled), Stage IVA mCRC diagnosed 2022, ECOG PS 1 at treatment initiation</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Concomitant Medications</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Lisinopril 10 mg QD, Atorvastatin 40 mg QD (both pre-dating Cervimab)</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Prior Oncologic Therapy</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FOLFOX × 6 cycles (progressive disease), FOLFIRI + bevacizumab × 4 cycles (progressive disease)</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3"/>
        <w:spacing w:before="240" w:after="120"/>
      </w:pPr>
      <w:r>
        <w:rPr>
          <w:rFonts w:ascii="Arial" w:cs="Arial" w:eastAsia="Arial" w:hAnsi="Arial"/>
          <w:b/>
          <w:bCs/>
          <w:color w:val="8B1A1A"/>
          <w:sz w:val="24"/>
          <w:szCs w:val="24"/>
        </w:rPr>
        <w:t xml:space="preserve">C. Suspect Drug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Field</w:t>
            </w:r>
          </w:p>
        </w:tc>
        <w:tc>
          <w:tcPr>
            <w:tcW w:type="dxa" w:w="5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Value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Medicinal Product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CERVILUX® (cervimab) 200 mg/4 mL IV</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NDA / NDC</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NDA 221-847 / 71234-221-01</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Batch / Lot Number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CVB-25A-004412</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Dose Administered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200 mg IV every 3 weeks</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of First Administration</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25, 2025</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Cycles Administered Before Event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Cycle 1: March 25; Cycle 2: April 15 (event onset April 22)</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of Last Administration</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April 15, 2025 (Cycle 2)</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Drug Discontinued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permanently discontinued due to SAE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Dechallenge Effect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Event progressed to fatal outcome despite discontinuation and treatment</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3"/>
        <w:spacing w:before="240" w:after="120"/>
      </w:pPr>
      <w:r>
        <w:rPr>
          <w:rFonts w:ascii="Arial" w:cs="Arial" w:eastAsia="Arial" w:hAnsi="Arial"/>
          <w:b/>
          <w:bCs/>
          <w:color w:val="8B1A1A"/>
          <w:sz w:val="24"/>
          <w:szCs w:val="24"/>
        </w:rPr>
        <w:t xml:space="preserve">D. Adverse Event Narrative</w:t>
      </w:r>
    </w:p>
    <w:p>
      <w:pPr>
        <w:spacing w:before="0" w:after="60"/>
        <w:jc w:val="left"/>
      </w:pPr>
      <w:r>
        <w:rPr>
          <w:rFonts w:ascii="Arial" w:cs="Arial" w:eastAsia="Arial" w:hAnsi="Arial"/>
          <w:b w:val="false"/>
          <w:bCs w:val="false"/>
          <w:i w:val="false"/>
          <w:iCs w:val="false"/>
          <w:color w:val="000000"/>
          <w:sz w:val="22"/>
          <w:szCs w:val="22"/>
        </w:rPr>
        <w:t xml:space="preserve">A 67-year-old male with dMMR/MSI-H mCRC initiated Cervimab 200 mg IV on March 25, 2025 (Cycle 1). Seven days after Cycle 2 administration (April 22, 2025), the patient presented to the emergency department with chest pain, dyspnea, and fatigue. Troponin-I was markedly elevated (18.4 ng/mL; ULN 0.04 ng/mL). ECG showed new diffuse ST-segment changes. Echocardiogram demonstrated reduced LVEF (30%, baseline unknown but prior echocardiogram 3 months prior was normal).</w:t>
      </w:r>
    </w:p>
    <w:p>
      <w:pPr>
        <w:spacing w:before="0" w:after="60"/>
        <w:jc w:val="left"/>
      </w:pPr>
      <w:r>
        <w:rPr>
          <w:rFonts w:ascii="Arial" w:cs="Arial" w:eastAsia="Arial" w:hAnsi="Arial"/>
          <w:b w:val="false"/>
          <w:bCs w:val="false"/>
          <w:i w:val="false"/>
          <w:iCs w:val="false"/>
          <w:color w:val="000000"/>
          <w:sz w:val="22"/>
          <w:szCs w:val="22"/>
        </w:rPr>
        <w:t xml:space="preserve">Cardiac MRI confirmed diffuse myocardial inflammation consistent with immune-mediated myocarditis. CMR showed late gadolinium enhancement in a non-ischemic distribution involving &gt;50% of the myocardium. Endomyocardial biopsy demonstrated lymphocytic infiltrate with CD8+ T-cell predominance on immunohistochemistry, consistent with immune-checkpoint inhibitor-associated myocarditis.</w:t>
      </w:r>
    </w:p>
    <w:p>
      <w:pPr>
        <w:spacing w:before="0" w:after="60"/>
        <w:jc w:val="left"/>
      </w:pPr>
      <w:r>
        <w:rPr>
          <w:rFonts w:ascii="Arial" w:cs="Arial" w:eastAsia="Arial" w:hAnsi="Arial"/>
          <w:b w:val="false"/>
          <w:bCs w:val="false"/>
          <w:i w:val="false"/>
          <w:iCs w:val="false"/>
          <w:color w:val="000000"/>
          <w:sz w:val="22"/>
          <w:szCs w:val="22"/>
        </w:rPr>
        <w:t xml:space="preserve">Cervimab was permanently discontinued. High-dose methylprednisolone 1,000 mg IV was initiated on Day 1 of hospitalization. Despite aggressive immunosuppression and hemodynamic support, the patient developed complete heart block requiring temporary pacemaker insertion. On Day 8 of hospitalization (April 30, 2025), the patient developed ventricular fibrillation refractory to defibrillation and expired. Cause of death: fatal arrhythmia secondary to immune-mediated myocarditis.</w:t>
      </w:r>
    </w:p>
    <w:p>
      <w:pPr>
        <w:spacing w:before="0" w:after="60"/>
        <w:jc w:val="left"/>
      </w:pPr>
      <w:r>
        <w:rPr>
          <w:rFonts w:ascii="Arial" w:cs="Arial" w:eastAsia="Arial" w:hAnsi="Arial"/>
          <w:b w:val="false"/>
          <w:bCs w:val="false"/>
          <w:i w:val="false"/>
          <w:iCs w:val="false"/>
          <w:color w:val="000000"/>
          <w:sz w:val="22"/>
          <w:szCs w:val="22"/>
        </w:rPr>
        <w:t xml:space="preserve">Causality Assessment: Related (Probable). This case is consistent with the known rare but serious risk of immune-mediated myocarditis associated with PD-1 inhibitors. This event is described in the Cervimab USPI under Warnings and Precautions (Section 5.1 — Immune-Mediated Adverse Reactions) and carries a BLACK BOX WARNING. Reporting obligation: 15-day expedited report to FDA. Case submitted April 28, 2025 (Day 0 = date of receipt of complete information).</w:t>
      </w:r>
    </w:p>
    <w:p>
      <w:pPr>
        <w:pStyle w:val="Heading3"/>
        <w:spacing w:before="240" w:after="120"/>
      </w:pPr>
      <w:r>
        <w:rPr>
          <w:rFonts w:ascii="Arial" w:cs="Arial" w:eastAsia="Arial" w:hAnsi="Arial"/>
          <w:b/>
          <w:bCs/>
          <w:color w:val="8B1A1A"/>
          <w:sz w:val="24"/>
          <w:szCs w:val="24"/>
        </w:rPr>
        <w:t xml:space="preserve">E. MedWatch / E2B Coded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MedDRA Field</w:t>
            </w:r>
          </w:p>
        </w:tc>
        <w:tc>
          <w:tcPr>
            <w:tcW w:type="dxa" w:w="468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Term / Code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Primary Adverse Event PT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Myocarditis (10028606) — Grade 4 (fatal)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Secondary PT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Ventricular fibrillation (10047302), Heart block complete (10019447)</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Seriousness Criteria</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 (ICSR Element C.1.2); Hospitalization; Life-threatening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Causality (E2B C.1.6.1)</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Related (Probable)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Listedness (RSI)</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Listed / Expected (USPI Section 5.1; Black Box Warning)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MedWatch Outcome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w:t>
            </w:r>
          </w:p>
        </w:tc>
      </w:tr>
    </w:tbl>
    <w:p>
      <w:pPr>
        <w:spacing w:before="0" w:after="240"/>
      </w:pPr>
      <w:r>
        <w:rPr>
          <w:rFonts w:ascii="Arial" w:cs="Arial" w:eastAsia="Arial" w:hAnsi="Arial"/>
          <w:b w:val="false"/>
          <w:bCs w:val="false"/>
          <w:i w:val="false"/>
          <w:iCs w:val="false"/>
          <w:color w:val="000000"/>
          <w:sz w:val="22"/>
          <w:szCs w:val="22"/>
        </w:rPr>
        <w:t xml:space="preserve"> </w:t>
      </w:r>
    </w:p>
    <w:p>
      <w:pPr>
        <w:shd w:fill="8B1A1A" w:val="clear"/>
        <w:spacing w:before="120" w:after="120"/>
        <w:ind w:left="120"/>
        <w:jc w:val="left"/>
      </w:pPr>
      <w:r>
        <w:rPr>
          <w:rFonts w:ascii="Arial" w:cs="Arial" w:eastAsia="Arial" w:hAnsi="Arial"/>
          <w:b/>
          <w:bCs/>
          <w:i w:val="false"/>
          <w:iCs w:val="false"/>
          <w:color w:val="FFFFFF"/>
          <w:sz w:val="24"/>
          <w:szCs w:val="24"/>
        </w:rPr>
        <w:t xml:space="preserve">ICSR #2 — Grade 3 Immune-Mediated Colitis</w:t>
      </w:r>
    </w:p>
    <w:p>
      <w:pPr>
        <w:pStyle w:val="Heading3"/>
        <w:spacing w:before="240" w:after="120"/>
      </w:pPr>
      <w:r>
        <w:rPr>
          <w:rFonts w:ascii="Arial" w:cs="Arial" w:eastAsia="Arial" w:hAnsi="Arial"/>
          <w:b/>
          <w:bCs/>
          <w:color w:val="8B1A1A"/>
          <w:sz w:val="24"/>
          <w:szCs w:val="24"/>
        </w:rPr>
        <w:t xml:space="preserve">A–B. Administration &amp; Patient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Field</w:t>
            </w:r>
          </w:p>
        </w:tc>
        <w:tc>
          <w:tcPr>
            <w:tcW w:type="dxa" w:w="5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Value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 ID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CERV-PM-2025-00089</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Received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June 3, 2025</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Reporter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Gastroenterologist, academic medical center</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54F; dMMR mCRC Cycle 4 (Day 22 after Cycle 3)</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Suspect Drug</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 200 mg IV Q3W — Lot CVB-25B-007891</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3"/>
        <w:spacing w:before="240" w:after="120"/>
      </w:pPr>
      <w:r>
        <w:rPr>
          <w:rFonts w:ascii="Arial" w:cs="Arial" w:eastAsia="Arial" w:hAnsi="Arial"/>
          <w:b/>
          <w:bCs/>
          <w:color w:val="8B1A1A"/>
          <w:sz w:val="24"/>
          <w:szCs w:val="24"/>
        </w:rPr>
        <w:t xml:space="preserve">C. Narrative</w:t>
      </w:r>
    </w:p>
    <w:p>
      <w:pPr>
        <w:spacing w:before="0" w:after="60"/>
        <w:jc w:val="left"/>
      </w:pPr>
      <w:r>
        <w:rPr>
          <w:rFonts w:ascii="Arial" w:cs="Arial" w:eastAsia="Arial" w:hAnsi="Arial"/>
          <w:b w:val="false"/>
          <w:bCs w:val="false"/>
          <w:i w:val="false"/>
          <w:iCs w:val="false"/>
          <w:color w:val="000000"/>
          <w:sz w:val="22"/>
          <w:szCs w:val="22"/>
        </w:rPr>
        <w:t xml:space="preserve">A 54-year-old female receiving Cervimab for dMMR mCRC presented on Day 22 after Cycle 3 with a 5-day history of watery diarrhea (10+ stools/day), lower abdominal cramping, and blood in stool. She was hospitalized for IV fluid resuscitation and evaluation. Colonoscopy revealed diffuse ulcerative colitis affecting the entire colon with loss of haustral markings (Mayo Score 3). Histopathology showed diffuse cryptitis with intraepithelial lymphocytes consistent with immune-mediated colitis (Grade 3 per CTCAE v5.0). Infectious causes (C. difficile, CMV, bacterial culture) were negative.</w:t>
      </w:r>
    </w:p>
    <w:p>
      <w:pPr>
        <w:spacing w:before="0" w:after="60"/>
        <w:jc w:val="left"/>
      </w:pPr>
      <w:r>
        <w:rPr>
          <w:rFonts w:ascii="Arial" w:cs="Arial" w:eastAsia="Arial" w:hAnsi="Arial"/>
          <w:b w:val="false"/>
          <w:bCs w:val="false"/>
          <w:i w:val="false"/>
          <w:iCs w:val="false"/>
          <w:color w:val="000000"/>
          <w:sz w:val="22"/>
          <w:szCs w:val="22"/>
        </w:rPr>
        <w:t xml:space="preserve">Cervimab was withheld. IV methylprednisolone 1 mg/kg/day was initiated. The patient did not improve after 5 days, and infliximab 5 mg/kg IV was administered (Day 6 of hospitalization). Symptoms improved substantially within 48 hours of infliximab. Patient was discharged on oral prednisone taper (Day 11). Colonoscopy performed 6 weeks post-discharge showed resolution of mucosal inflammation. Cervimab was permanently discontinued per protocol. Patient subsequently enrolled in long-term safety registry.</w:t>
      </w:r>
    </w:p>
    <w:p>
      <w:pPr>
        <w:spacing w:before="0" w:after="60"/>
        <w:jc w:val="left"/>
      </w:pPr>
      <w:r>
        <w:rPr>
          <w:rFonts w:ascii="Arial" w:cs="Arial" w:eastAsia="Arial" w:hAnsi="Arial"/>
          <w:b w:val="false"/>
          <w:bCs w:val="false"/>
          <w:i w:val="false"/>
          <w:iCs w:val="false"/>
          <w:color w:val="000000"/>
          <w:sz w:val="22"/>
          <w:szCs w:val="22"/>
        </w:rPr>
        <w:t xml:space="preserve">Causality: Related (Definite). Outcome: Recovered with sequelae (permanent Cervimab discontinuation). Seriousness: Hospitalization, medically significant. MedDRA PT: Colitis (10009888), Grade 3. Listed in USPI Section 5.2.</w:t>
      </w:r>
    </w:p>
    <w:p>
      <w:pPr>
        <w:spacing w:before="0" w:after="240"/>
      </w:pPr>
      <w:r>
        <w:rPr>
          <w:rFonts w:ascii="Arial" w:cs="Arial" w:eastAsia="Arial" w:hAnsi="Arial"/>
          <w:b w:val="false"/>
          <w:bCs w:val="false"/>
          <w:i w:val="false"/>
          <w:iCs w:val="false"/>
          <w:color w:val="000000"/>
          <w:sz w:val="22"/>
          <w:szCs w:val="22"/>
        </w:rPr>
        <w:t xml:space="preserve"> </w:t>
      </w:r>
    </w:p>
    <w:p>
      <w:pPr>
        <w:shd w:fill="9B2020" w:val="clear"/>
        <w:spacing w:before="120" w:after="120"/>
        <w:ind w:left="120"/>
        <w:jc w:val="left"/>
      </w:pPr>
      <w:r>
        <w:rPr>
          <w:rFonts w:ascii="Arial" w:cs="Arial" w:eastAsia="Arial" w:hAnsi="Arial"/>
          <w:b/>
          <w:bCs/>
          <w:i w:val="false"/>
          <w:iCs w:val="false"/>
          <w:color w:val="FFFFFF"/>
          <w:sz w:val="24"/>
          <w:szCs w:val="24"/>
        </w:rPr>
        <w:t xml:space="preserve">ICSR #3 — Grade 2 Infusion-Related Reaction (IRR)</w:t>
      </w:r>
    </w:p>
    <w:p>
      <w:pPr>
        <w:pStyle w:val="Heading3"/>
        <w:spacing w:before="240" w:after="120"/>
      </w:pPr>
      <w:r>
        <w:rPr>
          <w:rFonts w:ascii="Arial" w:cs="Arial" w:eastAsia="Arial" w:hAnsi="Arial"/>
          <w:b/>
          <w:bCs/>
          <w:color w:val="8B1A1A"/>
          <w:sz w:val="24"/>
          <w:szCs w:val="24"/>
        </w:rPr>
        <w:t xml:space="preserve">A–B. Administration &amp; Patient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Field</w:t>
            </w:r>
          </w:p>
        </w:tc>
        <w:tc>
          <w:tcPr>
            <w:tcW w:type="dxa" w:w="5400"/>
            <w:gridSpan w:val="1"/>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Value</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 ID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CERV-PM-2025-00154</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Date Received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August 7, 2025 (reported as non-serious initially; upgraded to serious on follow-up)</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Reporter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Oncology infusion nurse / outpatient infusion center</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48M; dMMR mCRC; Cycle 1, Day 1 event</w:t>
            </w:r>
          </w:p>
        </w:tc>
      </w:tr>
      <w:tr>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Suspect Drug</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 200 mg IV Q3W — Lot CVB-25C-011203</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3"/>
        <w:spacing w:before="240" w:after="120"/>
      </w:pPr>
      <w:r>
        <w:rPr>
          <w:rFonts w:ascii="Arial" w:cs="Arial" w:eastAsia="Arial" w:hAnsi="Arial"/>
          <w:b/>
          <w:bCs/>
          <w:color w:val="8B1A1A"/>
          <w:sz w:val="24"/>
          <w:szCs w:val="24"/>
        </w:rPr>
        <w:t xml:space="preserve">C. Narrative</w:t>
      </w:r>
    </w:p>
    <w:p>
      <w:pPr>
        <w:spacing w:before="0" w:after="60"/>
        <w:jc w:val="left"/>
      </w:pPr>
      <w:r>
        <w:rPr>
          <w:rFonts w:ascii="Arial" w:cs="Arial" w:eastAsia="Arial" w:hAnsi="Arial"/>
          <w:b w:val="false"/>
          <w:bCs w:val="false"/>
          <w:i w:val="false"/>
          <w:iCs w:val="false"/>
          <w:color w:val="000000"/>
          <w:sz w:val="22"/>
          <w:szCs w:val="22"/>
        </w:rPr>
        <w:t xml:space="preserve">A 48-year-old male receiving his first Cervimab infusion developed flushing, urticaria, rigors, and oxygen desaturation to 88% on room air approximately 15 minutes into infusion. Infusion was immediately stopped. The patient received IV diphenhydramine 50 mg, IV methylprednisolone 125 mg, and supplemental oxygen 4L/NC. Vital signs stabilized within 20 minutes (O2 sat 97% on RA). Patient was monitored for 4 hours and discharged in stable condition.</w:t>
      </w:r>
    </w:p>
    <w:p>
      <w:pPr>
        <w:spacing w:before="0" w:after="60"/>
        <w:jc w:val="left"/>
      </w:pPr>
      <w:r>
        <w:rPr>
          <w:rFonts w:ascii="Arial" w:cs="Arial" w:eastAsia="Arial" w:hAnsi="Arial"/>
          <w:b w:val="false"/>
          <w:bCs w:val="false"/>
          <w:i w:val="false"/>
          <w:iCs w:val="false"/>
          <w:color w:val="000000"/>
          <w:sz w:val="22"/>
          <w:szCs w:val="22"/>
        </w:rPr>
        <w:t xml:space="preserve">Causality: Related (Definite). CTCAE Grade 2 IRR. Outcome: Recovered completely. Cervimab was subsequently re-introduced at Cycle 2 with premedication (diphenhydramine, acetaminophen, dexamethasone) per USPI guidance without recurrence. This case was reported per the DHCP letter guidance distributed July 2025 and is consistent with the labeled infusion-related reaction profile. MedDRA PT: Infusion related reaction (10051792). Listed; non-expedited periodic reporting.</w:t>
      </w:r>
    </w:p>
    <w:p>
      <w:pPr>
        <w:spacing w:before="0" w:after="240"/>
      </w:pPr>
      <w:r>
        <w:rPr>
          <w:rFonts w:ascii="Arial" w:cs="Arial" w:eastAsia="Arial" w:hAnsi="Arial"/>
          <w:b w:val="false"/>
          <w:bCs w:val="false"/>
          <w:i w:val="false"/>
          <w:iCs w:val="false"/>
          <w:color w:val="000000"/>
          <w:sz w:val="22"/>
          <w:szCs w:val="22"/>
        </w:rPr>
        <w:t xml:space="preserve"> </w:t>
      </w:r>
    </w:p>
    <w:p>
      <w:pPr>
        <w:spacing w:before="0" w:after="0"/>
      </w:pPr>
      <w:r>
        <w:br w:type="page"/>
      </w:r>
    </w:p>
    <w:p>
      <w:pPr>
        <w:shd w:fill="1B3A6B" w:val="clear"/>
        <w:spacing w:before="0" w:after="0"/>
      </w:pPr>
      <w:r>
        <w:rPr>
          <w:rFonts w:ascii="Arial" w:cs="Arial" w:eastAsia="Arial" w:hAnsi="Arial"/>
          <w:b w:val="false"/>
          <w:bCs w:val="false"/>
          <w:i w:val="false"/>
          <w:iCs w:val="false"/>
          <w:color w:val="000000"/>
          <w:sz w:val="22"/>
          <w:szCs w:val="22"/>
        </w:rPr>
        <w:t xml:space="preserve"> </w:t>
      </w:r>
    </w:p>
    <w:p>
      <w:pPr>
        <w:spacing w:before="600" w:after="60"/>
        <w:jc w:val="center"/>
      </w:pPr>
      <w:r>
        <w:rPr>
          <w:rFonts w:ascii="Arial" w:cs="Arial" w:eastAsia="Arial" w:hAnsi="Arial"/>
          <w:b/>
          <w:bCs/>
          <w:i w:val="false"/>
          <w:iCs w:val="false"/>
          <w:color w:val="9BBDE8"/>
          <w:sz w:val="20"/>
          <w:szCs w:val="20"/>
        </w:rPr>
        <w:t xml:space="preserve">DOCUMENT 4</w:t>
      </w:r>
    </w:p>
    <w:p>
      <w:pPr>
        <w:spacing w:before="0" w:after="120"/>
        <w:jc w:val="center"/>
      </w:pPr>
      <w:r>
        <w:rPr>
          <w:rFonts w:ascii="Arial" w:cs="Arial" w:eastAsia="Arial" w:hAnsi="Arial"/>
          <w:b/>
          <w:bCs/>
          <w:i w:val="false"/>
          <w:iCs w:val="false"/>
          <w:color w:val="FFFFFF"/>
          <w:sz w:val="44"/>
          <w:szCs w:val="44"/>
        </w:rPr>
        <w:t xml:space="preserve">Risk Management Plan</w:t>
      </w:r>
    </w:p>
    <w:p>
      <w:pPr>
        <w:spacing w:before="0" w:after="600"/>
        <w:jc w:val="center"/>
      </w:pPr>
      <w:r>
        <w:rPr>
          <w:rFonts w:ascii="Arial" w:cs="Arial" w:eastAsia="Arial" w:hAnsi="Arial"/>
          <w:b w:val="false"/>
          <w:bCs w:val="false"/>
          <w:i w:val="false"/>
          <w:iCs w:val="false"/>
          <w:color w:val="D6E4F7"/>
          <w:sz w:val="22"/>
          <w:szCs w:val="22"/>
        </w:rPr>
        <w:t xml:space="preserve">Version 2.0 — Post-Approval Update</w:t>
      </w:r>
    </w:p>
    <w:p>
      <w:pPr>
        <w:spacing w:before="0" w:after="24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bCs/>
          <w:i w:val="false"/>
          <w:iCs w:val="false"/>
          <w:color w:val="1B3A6B"/>
          <w:sz w:val="28"/>
          <w:szCs w:val="28"/>
        </w:rPr>
        <w:t xml:space="preserve">RISK MANAGEMENT PLAN (RMP) — VERSION 2.0</w:t>
      </w:r>
    </w:p>
    <w:p>
      <w:pPr>
        <w:spacing w:before="0" w:after="240"/>
        <w:jc w:val="center"/>
      </w:pPr>
      <w:r>
        <w:rPr>
          <w:rFonts w:ascii="Arial" w:cs="Arial" w:eastAsia="Arial" w:hAnsi="Arial"/>
          <w:b w:val="false"/>
          <w:bCs w:val="false"/>
          <w:i w:val="false"/>
          <w:iCs w:val="false"/>
          <w:color w:val="666666"/>
          <w:sz w:val="22"/>
          <w:szCs w:val="22"/>
        </w:rPr>
        <w:t xml:space="preserve">Cervimab (CERVILUX®) | NDA 221-847 | Post-Approval Update</w:t>
      </w:r>
    </w:p>
    <w:p>
      <w:pPr>
        <w:pStyle w:val="Heading1"/>
        <w:pBdr>
          <w:bottom w:val="single" w:color="2E5FAC" w:sz="6" w:space="1"/>
        </w:pBdr>
        <w:spacing w:before="360" w:after="120"/>
      </w:pPr>
      <w:r>
        <w:rPr>
          <w:rFonts w:ascii="Arial" w:cs="Arial" w:eastAsia="Arial" w:hAnsi="Arial"/>
          <w:b/>
          <w:bCs/>
          <w:color w:val="1B3A6B"/>
          <w:sz w:val="32"/>
          <w:szCs w:val="32"/>
        </w:rPr>
        <w:t xml:space="preserve">Part I: Product Overview and Changes from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RMP Version</w:t>
            </w:r>
          </w:p>
        </w:tc>
        <w:tc>
          <w:tcPr>
            <w:tcW w:type="dxa" w:w="20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Date</w:t>
            </w:r>
          </w:p>
        </w:tc>
        <w:tc>
          <w:tcPr>
            <w:tcW w:type="dxa" w:w="47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Key Changes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Version 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18, 2025</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Initial approved RMP at NDA approval</w:t>
            </w:r>
          </w:p>
        </w:tc>
      </w:tr>
      <w:tr>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Version 2.0</w:t>
            </w:r>
          </w:p>
        </w:tc>
        <w:tc>
          <w:tcPr>
            <w:tcW w:type="dxa" w:w="20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B3A6B"/>
                <w:sz w:val="20"/>
                <w:szCs w:val="20"/>
              </w:rPr>
              <w:t xml:space="preserve">October 2025</w:t>
            </w:r>
          </w:p>
        </w:tc>
        <w:tc>
          <w:tcPr>
            <w:tcW w:type="dxa" w:w="476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Updated with 6-month post-marketing data; Infliximab guidance added to routine risk minimization; IRR premedication algorithm clarified; CERVIMAB-LTS-01 registry activated and enrollment noted</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Part II: Safety Specification</w:t>
      </w:r>
    </w:p>
    <w:p>
      <w:pPr>
        <w:pStyle w:val="Heading2"/>
        <w:spacing w:before="240" w:after="120"/>
      </w:pPr>
      <w:r>
        <w:rPr>
          <w:rFonts w:ascii="Arial" w:cs="Arial" w:eastAsia="Arial" w:hAnsi="Arial"/>
          <w:b/>
          <w:bCs/>
          <w:color w:val="1B3A6B"/>
          <w:sz w:val="26"/>
          <w:szCs w:val="26"/>
        </w:rPr>
        <w:t xml:space="preserve">II.A. Important Identified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Risk</w:t>
            </w:r>
          </w:p>
        </w:tc>
        <w:tc>
          <w:tcPr>
            <w:tcW w:type="dxa" w:w="18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Frequency (Clinical Trials)</w:t>
            </w:r>
          </w:p>
        </w:tc>
        <w:tc>
          <w:tcPr>
            <w:tcW w:type="dxa" w:w="18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Frequency (Post-Marketing)</w:t>
            </w:r>
          </w:p>
        </w:tc>
        <w:tc>
          <w:tcPr>
            <w:tcW w:type="dxa" w:w="18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Risk Category</w:t>
            </w:r>
          </w:p>
        </w:tc>
        <w:tc>
          <w:tcPr>
            <w:tcW w:type="dxa" w:w="17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Listed in USPI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colitis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grades: 9.3%; Gr ≥3: 2.6%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18.3% of SAE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§5.2</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pneumonitis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grades: 4.4%; Gr ≥3: 1.4%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 of SAE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hepatitis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grades: 3.1%; Gr ≥3: 0.9%</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6.5% of SAE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§5.4</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myocarditis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&lt;1%; Grade ≥3/4: 0.2%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0.7% of SAE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Black Box Warning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Infusion-related reactions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grades: 10.6%; Gr ≥3: 0.4%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7.9% of total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§5.9</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endocrinopathy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Hypothyroid: 8.1%; Adrenal: 1.6%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15.4% of SAE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§5.6</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Embryo-fetal toxicity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Theoretical (class effect)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No PM cases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Important identified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Yes — W&amp;P §5.11</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II.B. Important Potential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320"/>
        <w:gridCol w:w="1680"/>
      </w:tblGrid>
      <w:tr>
        <w:tc>
          <w:tcPr>
            <w:tcW w:type="dxa" w:w="33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Risk</w:t>
            </w:r>
          </w:p>
        </w:tc>
        <w:tc>
          <w:tcPr>
            <w:tcW w:type="dxa" w:w="432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Rationale</w:t>
            </w:r>
          </w:p>
        </w:tc>
        <w:tc>
          <w:tcPr>
            <w:tcW w:type="dxa" w:w="168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Characterization Plan</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Immune-mediated nephritis</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Class effect in PD-1 inhibitors; 3 cases identified in PM period</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LTS-01 Registry</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Rare severe cutaneous reactions (SJS/TEN)</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 SCAR cases in PM period; class signal</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Registry + signal monitoring</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Secondary T-cell malignancies</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Theoretical class risk; MDS/T-NHL signal emerging in class</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CERVIMAB-ONC-02</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Immune effects in pregnancy (neonatal)</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PD-1 critical in fetal immune tolerance</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Pregnancy registry</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Drug interactions (immunosuppressants)</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Clinical data limited; theoretical risk</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CERVI-DDI-01 study</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II.C. Missing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Knowledge Gap</w:t>
            </w:r>
          </w:p>
        </w:tc>
        <w:tc>
          <w:tcPr>
            <w:tcW w:type="dxa" w:w="468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Mitigation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Long-term safety (&gt;2 years)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CERVIMAB-LTS-01 5-year registry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Pediatric safety / efficacy</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Pediatric Investigation Plan (PIP) filed with EMA; FDA wPSP</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with pre-existing autoimmune disease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Dedicated cohort in CERVI-AID-03 study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Organ transplant recipients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 series monitoring; restricted from REMS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Elderly (≥75 years)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Sub-group analysis in LTS-01; geriatric labeling review 2026</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Part III: Pharmacovigilance Plan</w:t>
      </w:r>
    </w:p>
    <w:p>
      <w:pPr>
        <w:pStyle w:val="Heading2"/>
        <w:spacing w:before="240" w:after="120"/>
      </w:pPr>
      <w:r>
        <w:rPr>
          <w:rFonts w:ascii="Arial" w:cs="Arial" w:eastAsia="Arial" w:hAnsi="Arial"/>
          <w:b/>
          <w:bCs/>
          <w:color w:val="1B3A6B"/>
          <w:sz w:val="26"/>
          <w:szCs w:val="26"/>
        </w:rPr>
        <w:t xml:space="preserve">III.A. Routine Pharmacovigilance Activities</w:t>
      </w:r>
    </w:p>
    <w:p>
      <w:pPr>
        <w:spacing w:before="0" w:after="60"/>
        <w:jc w:val="left"/>
      </w:pPr>
      <w:r>
        <w:rPr>
          <w:rFonts w:ascii="Arial" w:cs="Arial" w:eastAsia="Arial" w:hAnsi="Arial"/>
          <w:b w:val="false"/>
          <w:bCs w:val="false"/>
          <w:i w:val="false"/>
          <w:iCs w:val="false"/>
          <w:color w:val="000000"/>
          <w:sz w:val="22"/>
          <w:szCs w:val="22"/>
        </w:rPr>
        <w:t xml:space="preserve">Routine activities include continuous monitoring of all spontaneous reports, literature surveillance (weekly MEDLINE/Embase search), signal detection using disproportionality analysis (EBGM, PRR) in the PharmaNova global safety database (Argus Safety v8.2), and preparation of periodic safety reports (PADER, PBRER) per the schedule above. All ICSRs are processed, medically reviewed, and submitted per applicable regulatory timelines.</w:t>
      </w:r>
    </w:p>
    <w:p>
      <w:pPr>
        <w:pStyle w:val="Heading2"/>
        <w:spacing w:before="240" w:after="120"/>
      </w:pPr>
      <w:r>
        <w:rPr>
          <w:rFonts w:ascii="Arial" w:cs="Arial" w:eastAsia="Arial" w:hAnsi="Arial"/>
          <w:b/>
          <w:bCs/>
          <w:color w:val="1B3A6B"/>
          <w:sz w:val="26"/>
          <w:szCs w:val="26"/>
        </w:rPr>
        <w:t xml:space="preserve">III.B. Additional Pharmacovigilance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560"/>
        <w:gridCol w:w="1200"/>
      </w:tblGrid>
      <w:tr>
        <w:tc>
          <w:tcPr>
            <w:tcW w:type="dxa" w:w="18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Study</w:t>
            </w:r>
          </w:p>
        </w:tc>
        <w:tc>
          <w:tcPr>
            <w:tcW w:type="dxa" w:w="24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Design</w:t>
            </w:r>
          </w:p>
        </w:tc>
        <w:tc>
          <w:tcPr>
            <w:tcW w:type="dxa" w:w="24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Safety Objective</w:t>
            </w:r>
          </w:p>
        </w:tc>
        <w:tc>
          <w:tcPr>
            <w:tcW w:type="dxa" w:w="15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c>
          <w:tcPr>
            <w:tcW w:type="dxa" w:w="12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Completion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CERVIMAB-LTS-01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Prospective 5-yr safety registry; N=1,000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Long-term imAE, secondary malignancy, OS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Enrolling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2030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CERVI-AID-03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Prospective cohort, autoimmune disease pts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imAE rate/severity in high-risk patients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Protocol approved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2027</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CERVI-DDI-01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Drug interaction study — steroids, biologics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PK/PD interaction characterization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Planned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2026</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CERVIMAB-ONC-02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Signal tracking study — secondary malignancy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Incidence of T-cell malignancies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Surveillance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Ongoing</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Part IV: Risk Minimization Measures</w:t>
      </w:r>
    </w:p>
    <w:p>
      <w:pPr>
        <w:pStyle w:val="Heading2"/>
        <w:spacing w:before="240" w:after="120"/>
      </w:pPr>
      <w:r>
        <w:rPr>
          <w:rFonts w:ascii="Arial" w:cs="Arial" w:eastAsia="Arial" w:hAnsi="Arial"/>
          <w:b/>
          <w:bCs/>
          <w:color w:val="1B3A6B"/>
          <w:sz w:val="26"/>
          <w:szCs w:val="26"/>
        </w:rPr>
        <w:t xml:space="preserve">IV.A. Routine Risk Minimization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Measure</w:t>
            </w:r>
          </w:p>
        </w:tc>
        <w:tc>
          <w:tcPr>
            <w:tcW w:type="dxa" w:w="6000"/>
            <w:gridSpan w:val="1"/>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Description</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USPI / Prescribing Information</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Black Box Warning (myocarditis, pneumonitis, colitis, hepatitis, endocrinopathies); W&amp;P Section for each imAE with graded management algorithms</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Medication Guide</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Patient-facing FDA-required Medication Guide covering signs/symptoms of imAEs, when to seek urgent care, and instructions on immune-mediated reactions</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Dispensing Conditions</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Hospital / licensed oncology center dispensing only. Not available through retail pharmacy. Managed distribution through specialty pharmacy network.</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Healthcare Provider Training Materials (updated v2.0)</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Updated Clinical Practice Guide including infliximab escalation pathway for steroid-refractory colitis; IRR premedication checklist; myocarditis early recognition card</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IV.B. Additional Risk Minimization — REMS</w:t>
      </w:r>
    </w:p>
    <w:p>
      <w:pPr>
        <w:spacing w:before="0" w:after="60"/>
        <w:jc w:val="left"/>
      </w:pPr>
      <w:r>
        <w:rPr>
          <w:rFonts w:ascii="Arial" w:cs="Arial" w:eastAsia="Arial" w:hAnsi="Arial"/>
          <w:b w:val="false"/>
          <w:bCs w:val="false"/>
          <w:i w:val="false"/>
          <w:iCs w:val="false"/>
          <w:color w:val="000000"/>
          <w:sz w:val="22"/>
          <w:szCs w:val="22"/>
        </w:rPr>
        <w:t xml:space="preserve">Cervimab is subject to a Risk Evaluation and Mitigation Strategy (REMS) program — CERVILUX REMS — as required under 21 CFR 505-1. The REMS is described in detail in Document 5 (REMS Assessment Report). Key REMS elements include: (1) Healthcare provider enrollment and training certification; (2) Healthcare facility enrollment; (3) patient enrollment with signed Informed Acknowledgment form; and (4) a Patient Safety Registry.</w:t>
      </w:r>
    </w:p>
    <w:p>
      <w:pPr>
        <w:spacing w:before="0" w:after="240"/>
      </w:pPr>
      <w:r>
        <w:rPr>
          <w:rFonts w:ascii="Arial" w:cs="Arial" w:eastAsia="Arial" w:hAnsi="Arial"/>
          <w:b w:val="false"/>
          <w:bCs w:val="false"/>
          <w:i w:val="false"/>
          <w:iCs w:val="false"/>
          <w:color w:val="000000"/>
          <w:sz w:val="22"/>
          <w:szCs w:val="22"/>
        </w:rPr>
        <w:t xml:space="preserve"> </w:t>
      </w:r>
    </w:p>
    <w:p>
      <w:pPr>
        <w:spacing w:before="0" w:after="0"/>
      </w:pPr>
      <w:r>
        <w:br w:type="page"/>
      </w:r>
    </w:p>
    <w:p>
      <w:pPr>
        <w:shd w:fill="1B3A6B" w:val="clear"/>
        <w:spacing w:before="0" w:after="0"/>
      </w:pPr>
      <w:r>
        <w:rPr>
          <w:rFonts w:ascii="Arial" w:cs="Arial" w:eastAsia="Arial" w:hAnsi="Arial"/>
          <w:b w:val="false"/>
          <w:bCs w:val="false"/>
          <w:i w:val="false"/>
          <w:iCs w:val="false"/>
          <w:color w:val="000000"/>
          <w:sz w:val="22"/>
          <w:szCs w:val="22"/>
        </w:rPr>
        <w:t xml:space="preserve"> </w:t>
      </w:r>
    </w:p>
    <w:p>
      <w:pPr>
        <w:spacing w:before="600" w:after="60"/>
        <w:jc w:val="center"/>
      </w:pPr>
      <w:r>
        <w:rPr>
          <w:rFonts w:ascii="Arial" w:cs="Arial" w:eastAsia="Arial" w:hAnsi="Arial"/>
          <w:b/>
          <w:bCs/>
          <w:i w:val="false"/>
          <w:iCs w:val="false"/>
          <w:color w:val="9BBDE8"/>
          <w:sz w:val="20"/>
          <w:szCs w:val="20"/>
        </w:rPr>
        <w:t xml:space="preserve">DOCUMENT 5</w:t>
      </w:r>
    </w:p>
    <w:p>
      <w:pPr>
        <w:spacing w:before="0" w:after="120"/>
        <w:jc w:val="center"/>
      </w:pPr>
      <w:r>
        <w:rPr>
          <w:rFonts w:ascii="Arial" w:cs="Arial" w:eastAsia="Arial" w:hAnsi="Arial"/>
          <w:b/>
          <w:bCs/>
          <w:i w:val="false"/>
          <w:iCs w:val="false"/>
          <w:color w:val="FFFFFF"/>
          <w:sz w:val="44"/>
          <w:szCs w:val="44"/>
        </w:rPr>
        <w:t xml:space="preserve">REMS Assessment Report</w:t>
      </w:r>
    </w:p>
    <w:p>
      <w:pPr>
        <w:spacing w:before="0" w:after="600"/>
        <w:jc w:val="center"/>
      </w:pPr>
      <w:r>
        <w:rPr>
          <w:rFonts w:ascii="Arial" w:cs="Arial" w:eastAsia="Arial" w:hAnsi="Arial"/>
          <w:b w:val="false"/>
          <w:bCs w:val="false"/>
          <w:i w:val="false"/>
          <w:iCs w:val="false"/>
          <w:color w:val="D6E4F7"/>
          <w:sz w:val="22"/>
          <w:szCs w:val="22"/>
        </w:rPr>
        <w:t xml:space="preserve">18-Month Post-Approval Assessment — CERVILUX REMS</w:t>
      </w:r>
    </w:p>
    <w:p>
      <w:pPr>
        <w:spacing w:before="0" w:after="240"/>
      </w:pPr>
      <w:r>
        <w:rPr>
          <w:rFonts w:ascii="Arial" w:cs="Arial" w:eastAsia="Arial" w:hAnsi="Arial"/>
          <w:b w:val="false"/>
          <w:bCs w:val="false"/>
          <w:i w:val="false"/>
          <w:iCs w:val="false"/>
          <w:color w:val="000000"/>
          <w:sz w:val="22"/>
          <w:szCs w:val="22"/>
        </w:rPr>
        <w:t xml:space="preserve"> </w:t>
      </w:r>
    </w:p>
    <w:p>
      <w:pPr>
        <w:spacing w:before="0" w:after="60"/>
        <w:jc w:val="center"/>
      </w:pPr>
      <w:r>
        <w:rPr>
          <w:rFonts w:ascii="Arial" w:cs="Arial" w:eastAsia="Arial" w:hAnsi="Arial"/>
          <w:b/>
          <w:bCs/>
          <w:i w:val="false"/>
          <w:iCs w:val="false"/>
          <w:color w:val="1B3A6B"/>
          <w:sz w:val="28"/>
          <w:szCs w:val="28"/>
        </w:rPr>
        <w:t xml:space="preserve">REMS ASSESSMENT REPORT</w:t>
      </w:r>
    </w:p>
    <w:p>
      <w:pPr>
        <w:spacing w:before="0" w:after="60"/>
        <w:jc w:val="center"/>
      </w:pPr>
      <w:r>
        <w:rPr>
          <w:rFonts w:ascii="Arial" w:cs="Arial" w:eastAsia="Arial" w:hAnsi="Arial"/>
          <w:b w:val="false"/>
          <w:bCs w:val="false"/>
          <w:i w:val="false"/>
          <w:iCs w:val="false"/>
          <w:color w:val="666666"/>
          <w:sz w:val="22"/>
          <w:szCs w:val="22"/>
        </w:rPr>
        <w:t xml:space="preserve">CERVILUX REMS | NDA 221-847 | 18-Month Post-Approval Assessment</w:t>
      </w:r>
    </w:p>
    <w:p>
      <w:pPr>
        <w:spacing w:before="0" w:after="240"/>
        <w:jc w:val="center"/>
      </w:pPr>
      <w:r>
        <w:rPr>
          <w:rFonts w:ascii="Arial" w:cs="Arial" w:eastAsia="Arial" w:hAnsi="Arial"/>
          <w:b w:val="false"/>
          <w:bCs w:val="false"/>
          <w:i w:val="false"/>
          <w:iCs w:val="false"/>
          <w:color w:val="666666"/>
          <w:sz w:val="20"/>
          <w:szCs w:val="20"/>
        </w:rPr>
        <w:t xml:space="preserve">Submitted pursuant to 21 CFR 505-1 and FDAAA Section 909 | Assessment Period: March 2025 – September 2026</w:t>
      </w:r>
    </w:p>
    <w:p>
      <w:pPr>
        <w:pStyle w:val="Heading1"/>
        <w:pBdr>
          <w:bottom w:val="single" w:color="2E5FAC" w:sz="6" w:space="1"/>
        </w:pBdr>
        <w:spacing w:before="360" w:after="120"/>
      </w:pPr>
      <w:r>
        <w:rPr>
          <w:rFonts w:ascii="Arial" w:cs="Arial" w:eastAsia="Arial" w:hAnsi="Arial"/>
          <w:b/>
          <w:bCs/>
          <w:color w:val="1B3A6B"/>
          <w:sz w:val="32"/>
          <w:szCs w:val="32"/>
        </w:rPr>
        <w:t xml:space="preserve">Section 1: Executive Summary</w:t>
      </w:r>
    </w:p>
    <w:p>
      <w:pPr>
        <w:spacing w:before="0" w:after="60"/>
        <w:jc w:val="left"/>
      </w:pPr>
      <w:r>
        <w:rPr>
          <w:rFonts w:ascii="Arial" w:cs="Arial" w:eastAsia="Arial" w:hAnsi="Arial"/>
          <w:b w:val="false"/>
          <w:bCs w:val="false"/>
          <w:i w:val="false"/>
          <w:iCs w:val="false"/>
          <w:color w:val="000000"/>
          <w:sz w:val="22"/>
          <w:szCs w:val="22"/>
        </w:rPr>
        <w:t xml:space="preserve">This 18-Month REMS Assessment Report for the CERVILUX REMS Program documents the implementation, utilization, and effectiveness of the Risk Evaluation and Mitigation Strategy (REMS) for cervimab (CERVILUX®) since commercial launch on March 18, 2025. The REMS was required by FDA as a condition of approval under 21 USC 355-1 to mitigate the serious risks of immune-mediated toxicities — particularly myocarditis, pneumonitis, and colitis — in patients receiving Cervimab for dMMR/MSI-H mCRC.</w:t>
      </w:r>
    </w:p>
    <w:p>
      <w:pPr>
        <w:spacing w:before="0" w:after="60"/>
        <w:jc w:val="left"/>
      </w:pPr>
      <w:r>
        <w:rPr>
          <w:rFonts w:ascii="Arial" w:cs="Arial" w:eastAsia="Arial" w:hAnsi="Arial"/>
          <w:b w:val="false"/>
          <w:bCs w:val="false"/>
          <w:i w:val="false"/>
          <w:iCs w:val="false"/>
          <w:color w:val="000000"/>
          <w:sz w:val="22"/>
          <w:szCs w:val="22"/>
        </w:rPr>
        <w:t xml:space="preserve">Assessment conclusions: The CERVILUX REMS program is functioning as designed. Healthcare provider and facility enrollment rates, patient informed acknowledgment completion, and imAE recognition/management outcomes demonstrate that the REMS is meeting its goals. Prescriber compliance rates exceed the pre-specified 85% threshold. Two REMS program elements are recommended for modification based on first-year learnings, as described in Section 6.</w:t>
      </w:r>
    </w:p>
    <w:p>
      <w:pPr>
        <w:pStyle w:val="Heading1"/>
        <w:pBdr>
          <w:bottom w:val="single" w:color="2E5FAC" w:sz="6" w:space="1"/>
        </w:pBdr>
        <w:spacing w:before="360" w:after="120"/>
      </w:pPr>
      <w:r>
        <w:rPr>
          <w:rFonts w:ascii="Arial" w:cs="Arial" w:eastAsia="Arial" w:hAnsi="Arial"/>
          <w:b/>
          <w:bCs/>
          <w:color w:val="1B3A6B"/>
          <w:sz w:val="32"/>
          <w:szCs w:val="32"/>
        </w:rPr>
        <w:t xml:space="preserve">Section 2: REMS Program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REMS Element</w:t>
            </w:r>
          </w:p>
        </w:tc>
        <w:tc>
          <w:tcPr>
            <w:tcW w:type="dxa" w:w="4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Description</w:t>
            </w:r>
          </w:p>
        </w:tc>
        <w:tc>
          <w:tcPr>
            <w:tcW w:type="dxa" w:w="2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Goal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Element 1: HCP Enrollment &amp; Certification</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Oncologists and advanced practice providers must complete REMS training module and attest to competency in imAE recognition and management before prescribing Cervimab</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Ensure informed prescribing; imAE preparedness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Element 2: Healthcare Facility Enrollment</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Infusion facilities must register, confirm availability of resuscitation equipment, and designate a REMS coordinator</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Ensure safe administration environment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Element 3: Patient Informed Acknowledgment</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must sign an FDA-approved acknowledgment form prior to first dose confirming receipt and understanding of the Medication Guide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 awareness of serious risks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Element 4: REMS Safety Registry</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Mandatory enrollment of all patients initiating Cervimab into the CERVILUX-REMS registry; 12-month minimum follow-up</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Characterize real-world imAE incidence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Element 5: Pharmacy / Dispensing Restriction</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Dispensing restricted to REMS-enrolled specialty pharmacies and hospital pharmacies serving REMS-enrolled facilities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Ensure REMS integrity throughout supply chain</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Section 3: REMS Enrollment and Activity Metrics</w:t>
      </w:r>
    </w:p>
    <w:p>
      <w:pPr>
        <w:pStyle w:val="Heading2"/>
        <w:spacing w:before="240" w:after="120"/>
      </w:pPr>
      <w:r>
        <w:rPr>
          <w:rFonts w:ascii="Arial" w:cs="Arial" w:eastAsia="Arial" w:hAnsi="Arial"/>
          <w:b/>
          <w:bCs/>
          <w:color w:val="1B3A6B"/>
          <w:sz w:val="26"/>
          <w:szCs w:val="26"/>
        </w:rPr>
        <w:t xml:space="preserve">3.1 Healthcare Provider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Target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Actual</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HCPs enrolled (cumulative)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≥80% of estimated prescribers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1,847</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Training module completion rate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 of enrolled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99.7%</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Annual re-certification completion (Year 1)</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≥90% of active prescribers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93.1%</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Prescriptions from non-enrolled HCPs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 (intercepted at pharmacy)</w:t>
            </w:r>
          </w:p>
        </w:tc>
        <w:tc>
          <w:tcPr>
            <w:tcW w:type="dxa" w:w="1560"/>
            <w:gridSpan w:val="1"/>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7A5200"/>
                <w:sz w:val="20"/>
                <w:szCs w:val="20"/>
              </w:rPr>
              <w:t xml:space="preserve">⚠ Addressed</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3.2 Healthcare Facility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Target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Actual</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Facilities enrolled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prescribing facilities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412</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Resuscitation readiness confirmed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99.3%</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coordinator designated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3.3 Patient Acknowledgment Form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Target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Actual</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with signed Acknowledgment Form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 prior to first dose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98.6%</w:t>
            </w:r>
          </w:p>
        </w:tc>
        <w:tc>
          <w:tcPr>
            <w:tcW w:type="dxa" w:w="1560"/>
            <w:gridSpan w:val="1"/>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7A5200"/>
                <w:sz w:val="20"/>
                <w:szCs w:val="20"/>
              </w:rPr>
              <w:t xml:space="preserve">⚠ Near-met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Cases without completed form before first dose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73 (1.4%)</w:t>
            </w:r>
          </w:p>
        </w:tc>
        <w:tc>
          <w:tcPr>
            <w:tcW w:type="dxa" w:w="1560"/>
            <w:gridSpan w:val="1"/>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7A5200"/>
                <w:sz w:val="20"/>
                <w:szCs w:val="20"/>
              </w:rPr>
              <w:t xml:space="preserve">⚠ CAPAs filed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Average time from enrollment to first dose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N/A</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3.2 days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w:t>
            </w:r>
          </w:p>
        </w:tc>
      </w:tr>
    </w:tbl>
    <w:p>
      <w:pPr>
        <w:spacing w:before="0" w:after="120"/>
      </w:pPr>
      <w:r>
        <w:rPr>
          <w:rFonts w:ascii="Arial" w:cs="Arial" w:eastAsia="Arial" w:hAnsi="Arial"/>
          <w:b w:val="false"/>
          <w:bCs w:val="false"/>
          <w:i w:val="false"/>
          <w:iCs w:val="false"/>
          <w:color w:val="000000"/>
          <w:sz w:val="22"/>
          <w:szCs w:val="22"/>
        </w:rPr>
        <w:t xml:space="preserve"> </w:t>
      </w:r>
    </w:p>
    <w:p>
      <w:pPr>
        <w:spacing w:before="0" w:after="60"/>
        <w:jc w:val="left"/>
      </w:pPr>
      <w:r>
        <w:rPr>
          <w:rFonts w:ascii="Arial" w:cs="Arial" w:eastAsia="Arial" w:hAnsi="Arial"/>
          <w:b w:val="false"/>
          <w:bCs w:val="false"/>
          <w:i/>
          <w:iCs/>
          <w:color w:val="666666"/>
          <w:sz w:val="20"/>
          <w:szCs w:val="20"/>
        </w:rPr>
        <w:t xml:space="preserve">The 73 cases without completed acknowledgment forms prior to first dose were investigated. Root cause analysis identified failure at the dispensing/scheduling interface in 61 cases (forms completed within 48 hours of first dose) and genuine administrative gaps in 12 cases. CAPAs have been implemented including an electronic pre-authorization gate in the specialty pharmacy dispensing system, effective January 1, 2026.</w:t>
      </w:r>
    </w:p>
    <w:p>
      <w:pPr>
        <w:pStyle w:val="Heading2"/>
        <w:spacing w:before="240" w:after="120"/>
      </w:pPr>
      <w:r>
        <w:rPr>
          <w:rFonts w:ascii="Arial" w:cs="Arial" w:eastAsia="Arial" w:hAnsi="Arial"/>
          <w:b/>
          <w:bCs/>
          <w:color w:val="1B3A6B"/>
          <w:sz w:val="26"/>
          <w:szCs w:val="26"/>
        </w:rPr>
        <w:t xml:space="preserve">3.4 REMS Registry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Target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Actual</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enrolled in REMS Registry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100% of commercial patients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5,211 / ~5,340 (97.6%)</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with ≥12 months follow-up</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enrolled ≥12 months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1,847 (eligible cohort)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Ongoing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Registry data completeness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≥90% for required fields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94.8%</w:t>
            </w:r>
          </w:p>
        </w:tc>
        <w:tc>
          <w:tcPr>
            <w:tcW w:type="dxa" w:w="156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Met</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Section 4: REMS Effectiveness Assessment</w:t>
      </w:r>
    </w:p>
    <w:p>
      <w:pPr>
        <w:pStyle w:val="Heading2"/>
        <w:spacing w:before="240" w:after="120"/>
      </w:pPr>
      <w:r>
        <w:rPr>
          <w:rFonts w:ascii="Arial" w:cs="Arial" w:eastAsia="Arial" w:hAnsi="Arial"/>
          <w:b/>
          <w:bCs/>
          <w:color w:val="1B3A6B"/>
          <w:sz w:val="26"/>
          <w:szCs w:val="26"/>
        </w:rPr>
        <w:t xml:space="preserve">4.1 Primary Effectiveness Metric: imAE Recognition and Management</w:t>
      </w:r>
    </w:p>
    <w:p>
      <w:pPr>
        <w:spacing w:before="0" w:after="60"/>
        <w:jc w:val="left"/>
      </w:pPr>
      <w:r>
        <w:rPr>
          <w:rFonts w:ascii="Arial" w:cs="Arial" w:eastAsia="Arial" w:hAnsi="Arial"/>
          <w:b w:val="false"/>
          <w:bCs w:val="false"/>
          <w:i w:val="false"/>
          <w:iCs w:val="false"/>
          <w:color w:val="000000"/>
          <w:sz w:val="22"/>
          <w:szCs w:val="22"/>
        </w:rPr>
        <w:t xml:space="preserve">The primary effectiveness goal of the CERVILUX REMS is to ensure that treating healthcare providers can recognize immune-mediated adverse events early and manage them appropriately per the USPI algorithm, thereby minimizing morbidity and mortality from these class-associated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Effectiveness Indicator</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Pre-Specified Goal</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Observed Rate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Assessment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Grade ≥3 imAE recognized and managed within 48 hours of onset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87.4%</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Corticosteroids initiated within 24h of Grade ≥3 imAE identification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91.2%</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Specialist (gastroenterology/pulmonology) involved in Grade 3+ imAE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82.6%</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Cervimab withheld/discontinued per USPI criteria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97.8%</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myocarditis troponin + ECG performed within 24h of cardiac symptoms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94.1%</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 awareness of ≥3 warning symptoms (registry survey)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≥70% of surveyed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76.3%</w:t>
            </w:r>
          </w:p>
        </w:tc>
        <w:tc>
          <w:tcPr>
            <w:tcW w:type="dxa" w:w="200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 Goal Met</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2"/>
        <w:spacing w:before="240" w:after="120"/>
      </w:pPr>
      <w:r>
        <w:rPr>
          <w:rFonts w:ascii="Arial" w:cs="Arial" w:eastAsia="Arial" w:hAnsi="Arial"/>
          <w:b/>
          <w:bCs/>
          <w:color w:val="1B3A6B"/>
          <w:sz w:val="26"/>
          <w:szCs w:val="26"/>
        </w:rPr>
        <w:t xml:space="preserve">4.2 Fatal imAE Rate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Clinical Trial Rate</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Post-Marketing Rate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 immune-mediated myocarditis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0.019%</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Fatal immune-mediated pneumonitis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0.037%</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All fatal imAEs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0.8%</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0.037%</w:t>
            </w:r>
          </w:p>
        </w:tc>
      </w:tr>
    </w:tbl>
    <w:p>
      <w:pPr>
        <w:spacing w:before="0" w:after="120"/>
      </w:pPr>
      <w:r>
        <w:rPr>
          <w:rFonts w:ascii="Arial" w:cs="Arial" w:eastAsia="Arial" w:hAnsi="Arial"/>
          <w:b w:val="false"/>
          <w:bCs w:val="false"/>
          <w:i w:val="false"/>
          <w:iCs w:val="false"/>
          <w:color w:val="000000"/>
          <w:sz w:val="22"/>
          <w:szCs w:val="22"/>
        </w:rPr>
        <w:t xml:space="preserve"> </w:t>
      </w:r>
    </w:p>
    <w:p>
      <w:pPr>
        <w:spacing w:before="0" w:after="60"/>
        <w:jc w:val="left"/>
      </w:pPr>
      <w:r>
        <w:rPr>
          <w:rFonts w:ascii="Arial" w:cs="Arial" w:eastAsia="Arial" w:hAnsi="Arial"/>
          <w:b w:val="false"/>
          <w:bCs w:val="false"/>
          <w:i/>
          <w:iCs/>
          <w:color w:val="666666"/>
          <w:sz w:val="20"/>
          <w:szCs w:val="20"/>
        </w:rPr>
        <w:t xml:space="preserve">The fatal imAE rate in the post-marketing setting (0.037%) is substantially lower than the rate observed in clinical trials (0.8%). While this reflects multiple factors including patient selection, increased clinical experience, and REMS training effectiveness, the improvement is consistent with REMS program goals.</w:t>
      </w:r>
    </w:p>
    <w:p>
      <w:pPr>
        <w:pStyle w:val="Heading1"/>
        <w:pBdr>
          <w:bottom w:val="single" w:color="2E5FAC" w:sz="6" w:space="1"/>
        </w:pBdr>
        <w:spacing w:before="360" w:after="120"/>
      </w:pPr>
      <w:r>
        <w:rPr>
          <w:rFonts w:ascii="Arial" w:cs="Arial" w:eastAsia="Arial" w:hAnsi="Arial"/>
          <w:b/>
          <w:bCs/>
          <w:color w:val="1B3A6B"/>
          <w:sz w:val="32"/>
          <w:szCs w:val="32"/>
        </w:rPr>
        <w:t xml:space="preserve">Section 5: REMS Burden Assessment</w:t>
      </w:r>
    </w:p>
    <w:p>
      <w:pPr>
        <w:spacing w:before="0" w:after="60"/>
        <w:jc w:val="left"/>
      </w:pPr>
      <w:r>
        <w:rPr>
          <w:rFonts w:ascii="Arial" w:cs="Arial" w:eastAsia="Arial" w:hAnsi="Arial"/>
          <w:b w:val="false"/>
          <w:bCs w:val="false"/>
          <w:i w:val="false"/>
          <w:iCs w:val="false"/>
          <w:color w:val="000000"/>
          <w:sz w:val="22"/>
          <w:szCs w:val="22"/>
        </w:rPr>
        <w:t xml:space="preserve">FDA requires REMS sponsors to assess whether the REMS unduly restricts patient access to the indicated therapy. Based on access metrics for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Access Metric</w:t>
            </w:r>
          </w:p>
        </w:tc>
        <w:tc>
          <w:tcPr>
            <w:tcW w:type="dxa" w:w="4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Finding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Median time from prescription to first infusion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4.8 days (REMS-related delays: estimated 0.6 days)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Patients denied access due to REMS requirements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12 (0.22% of enrolled) — all resolved within 5 days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Geographic access (rural patients)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97.4% of eligible patients within 50 miles of enrolled facility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HCP survey: REMS administrative burden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Mean 2.1/10 (0=no burden, 10=extreme burden)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Overall REMS burden assessment</w:t>
            </w:r>
          </w:p>
        </w:tc>
        <w:tc>
          <w:tcPr>
            <w:tcW w:type="dxa" w:w="468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Low — does not unduly restrict patient access</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Section 6: Proposed REMS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Modification</w:t>
            </w:r>
          </w:p>
        </w:tc>
        <w:tc>
          <w:tcPr>
            <w:tcW w:type="dxa" w:w="34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Rationale</w:t>
            </w:r>
          </w:p>
        </w:tc>
        <w:tc>
          <w:tcPr>
            <w:tcW w:type="dxa" w:w="30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Proposed Change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Modification 1: Electronic Patient Acknowledgment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73 pre-dose acknowledgment gaps identified in Y1</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Implement mandatory e-signature gate in REMS portal prior to specialty pharmacy dispense. Effective: Q1 2026</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Modification 2: HCP Training Update (v2.0)</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Post-marketing myocarditis case series; IRR management update</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Update training module to include infliximab escalation pathway for steroid-refractory colitis and revised IRR premedication algorithm. Effective: Q2 2026</w:t>
            </w:r>
          </w:p>
        </w:tc>
      </w:tr>
    </w:tbl>
    <w:p>
      <w:pPr>
        <w:spacing w:before="0" w:after="120"/>
      </w:pPr>
      <w:r>
        <w:rPr>
          <w:rFonts w:ascii="Arial" w:cs="Arial" w:eastAsia="Arial" w:hAnsi="Arial"/>
          <w:b w:val="false"/>
          <w:bCs w:val="false"/>
          <w:i w:val="false"/>
          <w:iCs w:val="false"/>
          <w:color w:val="000000"/>
          <w:sz w:val="22"/>
          <w:szCs w:val="22"/>
        </w:rPr>
        <w:t xml:space="preserve"> </w:t>
      </w:r>
    </w:p>
    <w:p>
      <w:pPr>
        <w:pStyle w:val="Heading1"/>
        <w:pBdr>
          <w:bottom w:val="single" w:color="2E5FAC" w:sz="6" w:space="1"/>
        </w:pBdr>
        <w:spacing w:before="360" w:after="120"/>
      </w:pPr>
      <w:r>
        <w:rPr>
          <w:rFonts w:ascii="Arial" w:cs="Arial" w:eastAsia="Arial" w:hAnsi="Arial"/>
          <w:b/>
          <w:bCs/>
          <w:color w:val="1B3A6B"/>
          <w:sz w:val="32"/>
          <w:szCs w:val="32"/>
        </w:rPr>
        <w:t xml:space="preserve">Section 7: Summary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Overall REMS Assessment</w:t>
            </w:r>
          </w:p>
        </w:tc>
        <w:tc>
          <w:tcPr>
            <w:tcW w:type="dxa" w:w="3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20"/>
                <w:szCs w:val="20"/>
              </w:rPr>
              <w:t xml:space="preserve">Conclusion</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program operational goals</w:t>
            </w:r>
          </w:p>
        </w:tc>
        <w:tc>
          <w:tcPr>
            <w:tcW w:type="dxa" w:w="312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ACHIEVED</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Primary effectiveness goal (imAE recognition/management)</w:t>
            </w:r>
          </w:p>
        </w:tc>
        <w:tc>
          <w:tcPr>
            <w:tcW w:type="dxa" w:w="312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ACHIEVED</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not unduly restricting patient access</w:t>
            </w:r>
          </w:p>
        </w:tc>
        <w:tc>
          <w:tcPr>
            <w:tcW w:type="dxa" w:w="312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CONFIRMED</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REMS program modifications recommended</w:t>
            </w:r>
          </w:p>
        </w:tc>
        <w:tc>
          <w:tcPr>
            <w:tcW w:type="dxa" w:w="3120"/>
            <w:gridSpan w:val="1"/>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7A5200"/>
                <w:sz w:val="20"/>
                <w:szCs w:val="20"/>
              </w:rPr>
              <w:t xml:space="preserve">YES — 2 modifications (see Section 6)</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Continuation of REMS recommended</w:t>
            </w:r>
          </w:p>
        </w:tc>
        <w:tc>
          <w:tcPr>
            <w:tcW w:type="dxa" w:w="3120"/>
            <w:gridSpan w:val="1"/>
            <w:tcBorders>
              <w:top w:val="single" w:color="CCCCCC" w:sz="1"/>
              <w:left w:val="single" w:color="CCCCCC" w:sz="1"/>
              <w:bottom w:val="single" w:color="CCCCCC" w:sz="1"/>
              <w:right w:val="single" w:color="CCCCCC" w:sz="1"/>
            </w:tcBorders>
            <w:shd w:fill="D1EDE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1A6B5A"/>
                <w:sz w:val="20"/>
                <w:szCs w:val="20"/>
              </w:rPr>
              <w:t xml:space="preserve">YES — benefit-risk supports continued REMS</w:t>
            </w:r>
          </w:p>
        </w:tc>
      </w:tr>
      <w:tr>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Next REMS Assessment Due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20"/>
                <w:szCs w:val="20"/>
              </w:rPr>
              <w:t xml:space="preserve">March 2028 (36-month assessment per FDA REMS schedule)</w:t>
            </w:r>
          </w:p>
        </w:tc>
      </w:tr>
    </w:tbl>
    <w:p>
      <w:pPr>
        <w:spacing w:before="0" w:after="240"/>
      </w:pPr>
      <w:r>
        <w:rPr>
          <w:rFonts w:ascii="Arial" w:cs="Arial" w:eastAsia="Arial" w:hAnsi="Arial"/>
          <w:b w:val="false"/>
          <w:bCs w:val="false"/>
          <w:i w:val="false"/>
          <w:iCs w:val="false"/>
          <w:color w:val="000000"/>
          <w:sz w:val="22"/>
          <w:szCs w:val="22"/>
        </w:rPr>
        <w:t xml:space="preserve">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spacing w:before="60" w:after="0"/>
      <w:jc w:val="center"/>
    </w:pPr>
    <w:r>
      <w:rPr>
        <w:rFonts w:ascii="Arial" w:cs="Arial" w:eastAsia="Arial" w:hAnsi="Arial"/>
        <w:b w:val="false"/>
        <w:bCs w:val="false"/>
        <w:i w:val="false"/>
        <w:iCs w:val="false"/>
        <w:color w:val="666666"/>
        <w:sz w:val="16"/>
        <w:szCs w:val="16"/>
      </w:rPr>
      <w:t xml:space="preserve">CERVILUX® (cervimab) — NDA 221-847 — PharmaNova Oncology, Inc. — CONFIDENTIAL</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2026-03-16T14:48:14.102Z</dcterms:created>
  <dcterms:modified xsi:type="dcterms:W3CDTF">2026-03-16T14:48:14.104Z</dcterms:modified>
</cp:coreProperties>
</file>

<file path=docProps/custom.xml><?xml version="1.0" encoding="utf-8"?>
<Properties xmlns="http://schemas.openxmlformats.org/officeDocument/2006/custom-properties" xmlns:vt="http://schemas.openxmlformats.org/officeDocument/2006/docPropsVTypes"/>
</file>