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1F4E79"/>
          <w:sz w:val="40"/>
          <w:szCs w:val="40"/>
        </w:rPr>
        <w:t xml:space="preserve">BIOANALYTICAL METHOD VALIDATION REPORT</w:t>
      </w:r>
    </w:p>
    <w:p>
      <w:pPr>
        <w:spacing w:before="60" w:after="60"/>
        <w:jc w:val="center"/>
      </w:pPr>
      <w:r>
        <w:rPr>
          <w:rFonts w:ascii="Arial" w:cs="Arial" w:eastAsia="Arial" w:hAnsi="Arial"/>
          <w:i/>
          <w:iCs/>
          <w:color w:val="2E75B6"/>
          <w:sz w:val="28"/>
          <w:szCs w:val="28"/>
        </w:rPr>
        <w:t xml:space="preserve">Quantification of Cervimab (CRV-001) in Human Serum</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Number: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CRV-BA-VAL-001-v1.0</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Protocol Number:</w:t>
            </w:r>
          </w:p>
        </w:tc>
        <w:tc>
          <w:tcPr>
            <w:tcW w:type="dxa" w:w="4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18"/>
                <w:szCs w:val="18"/>
              </w:rPr>
              <w:t xml:space="preserve">CRV-001-PH1-001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Study Drug: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Cervimab (CRV-001)</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Drug Class:</w:t>
            </w:r>
          </w:p>
        </w:tc>
        <w:tc>
          <w:tcPr>
            <w:tcW w:type="dxa" w:w="4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18"/>
                <w:szCs w:val="18"/>
              </w:rPr>
              <w:t xml:space="preserve">Investigational PD-1 Inhibitor (Humanized IgG4 mAb)</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Indication:</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dMMR/MSI-H Metastatic Colorectal Cancer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Phase:</w:t>
            </w:r>
          </w:p>
        </w:tc>
        <w:tc>
          <w:tcPr>
            <w:tcW w:type="dxa" w:w="4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18"/>
                <w:szCs w:val="18"/>
              </w:rPr>
              <w:t xml:space="preserve">Phase 1 — Dose Escalation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Sponsor: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Aevorix Therapeutics, Inc.</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CRO / Bioanalytical Lab:</w:t>
            </w:r>
          </w:p>
        </w:tc>
        <w:tc>
          <w:tcPr>
            <w:tcW w:type="dxa" w:w="4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18"/>
                <w:szCs w:val="18"/>
              </w:rPr>
              <w:t xml:space="preserve">PharmaKinetics Bioanalytical Services, LLC</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Study Director: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Dr. Maria Chen, Ph.D. — Principal Bioanalytical Scientist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Report Date:</w:t>
            </w:r>
          </w:p>
        </w:tc>
        <w:tc>
          <w:tcPr>
            <w:tcW w:type="dxa" w:w="4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18"/>
                <w:szCs w:val="18"/>
              </w:rPr>
              <w:t xml:space="preserve">14 March 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Validation Dates: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 January 2025 – 28 February 2025</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Regulatory Basis:</w:t>
            </w:r>
          </w:p>
        </w:tc>
        <w:tc>
          <w:tcPr>
            <w:tcW w:type="dxa" w:w="4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18"/>
                <w:szCs w:val="18"/>
              </w:rPr>
              <w:t xml:space="preserve">FDA Guidance: Bioanalytical Method Validation (May 2018)</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Status: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FINAL</w:t>
            </w:r>
          </w:p>
        </w:tc>
      </w:tr>
    </w:tbl>
    <w:p>
      <w:pPr>
        <w:spacing w:before="60" w:after="60"/>
      </w:pPr>
      <w:r>
        <w:t xml:space="preserve"/>
      </w:r>
    </w:p>
    <w:p>
      <w:pPr>
        <w:spacing w:before="60" w:after="60"/>
      </w:pPr>
      <w:r>
        <w:t xml:space="preserve"/>
      </w:r>
    </w:p>
    <w:p>
      <w:pPr>
        <w:pBdr>
          <w:top w:val="single" w:color="1F4E79" w:sz="4"/>
        </w:pBdr>
        <w:spacing w:before="200" w:after="60"/>
        <w:jc w:val="center"/>
      </w:pPr>
      <w:r>
        <w:rPr>
          <w:rFonts w:ascii="Arial" w:cs="Arial" w:eastAsia="Arial" w:hAnsi="Arial"/>
          <w:b/>
          <w:bCs/>
          <w:caps/>
          <w:color w:val="CC0000"/>
          <w:sz w:val="16"/>
          <w:szCs w:val="16"/>
        </w:rPr>
        <w:t xml:space="preserve">CONFIDENTIAL — FOR REGULATORY USE ONLY</w:t>
      </w:r>
    </w:p>
    <w:p>
      <w:pPr>
        <w:jc w:val="center"/>
      </w:pPr>
      <w:r>
        <w:rPr>
          <w:rFonts w:ascii="Arial" w:cs="Arial" w:eastAsia="Arial" w:hAnsi="Arial"/>
          <w:i/>
          <w:iCs/>
          <w:color w:val="666666"/>
          <w:sz w:val="14"/>
          <w:szCs w:val="14"/>
        </w:rPr>
        <w:t xml:space="preserve">This document contains proprietary information of Aevorix Therapeutics, Inc. Unauthorized disclosure is prohibited.</w:t>
      </w:r>
    </w:p>
    <w:p>
      <w:r>
        <w:br w:type="page"/>
      </w:r>
    </w:p>
    <w:p>
      <w:pPr>
        <w:pStyle w:val="Heading1"/>
        <w:spacing w:before="360" w:after="120"/>
      </w:pPr>
      <w:r>
        <w:rPr>
          <w:rFonts w:ascii="Arial" w:cs="Arial" w:eastAsia="Arial" w:hAnsi="Arial"/>
          <w:b/>
          <w:bCs/>
          <w:color w:val="1F4E79"/>
          <w:sz w:val="28"/>
          <w:szCs w:val="28"/>
        </w:rPr>
        <w:t xml:space="preserve">SIGNATURE AND APPROVAL PAGE</w:t>
      </w:r>
    </w:p>
    <w:p>
      <w:pPr>
        <w:spacing w:before="80" w:after="80"/>
      </w:pPr>
      <w:r>
        <w:rPr>
          <w:rFonts w:ascii="Arial" w:cs="Arial" w:eastAsia="Arial" w:hAnsi="Arial"/>
          <w:sz w:val="20"/>
          <w:szCs w:val="20"/>
        </w:rPr>
        <w:t xml:space="preserve">This Bioanalytical Method Validation Report has been reviewed and approved by the following qualified personnel: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Role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Name / Title</w:t>
            </w:r>
          </w:p>
        </w:tc>
        <w:tc>
          <w:tcPr>
            <w:tcW w:type="dxa" w:w="31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Signature / Date</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Principal Bioanalytical Scientist</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Maria Chen, Ph.D.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Signed: _______________
Date: _______________</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QA Reviewer</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James Patel, M.S.</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Signed: _______________
Date: _______________</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Study Director</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Linda Moore, Ph.D.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Signed: _______________
Date: _______________</w:t>
            </w:r>
          </w:p>
        </w:tc>
      </w:tr>
      <w:tr>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Sponsor Representative (CMC/PK)</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Thomas Erikson, Ph.D.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Signed: _______________
Date: _______________</w:t>
            </w:r>
          </w:p>
        </w:tc>
      </w:tr>
    </w:tbl>
    <w:p>
      <w:pPr>
        <w:spacing w:before="60" w:after="60"/>
      </w:pPr>
      <w:r>
        <w:t xml:space="preserve"/>
      </w:r>
    </w:p>
    <w:p>
      <w:pPr>
        <w:spacing w:before="80" w:after="80"/>
      </w:pPr>
      <w:r>
        <w:rPr>
          <w:rFonts w:ascii="Arial" w:cs="Arial" w:eastAsia="Arial" w:hAnsi="Arial"/>
          <w:i/>
          <w:iCs/>
          <w:color w:val="555555"/>
          <w:sz w:val="20"/>
          <w:szCs w:val="20"/>
        </w:rPr>
        <w:t xml:space="preserve">All signatories confirm that this document accurately reflects the validation activities and results, and that the method meets the acceptance criteria set forth in the validation plan (CRV-BA-VAL-PLAN-001) and FDA Guidance for Industry: Bioanalytical Method Validation (May 2018).</w:t>
      </w:r>
    </w:p>
    <w:p>
      <w:r>
        <w:br w:type="page"/>
      </w:r>
    </w:p>
    <w:p>
      <w:pPr>
        <w:pStyle w:val="Heading1"/>
        <w:spacing w:before="360" w:after="120"/>
      </w:pPr>
      <w:r>
        <w:rPr>
          <w:rFonts w:ascii="Arial" w:cs="Arial" w:eastAsia="Arial" w:hAnsi="Arial"/>
          <w:b/>
          <w:bCs/>
          <w:color w:val="1F4E79"/>
          <w:sz w:val="28"/>
          <w:szCs w:val="28"/>
        </w:rPr>
        <w:t xml:space="preserve">TABLE OF CONTENTS</w:t>
      </w:r>
    </w:p>
    <w:p>
      <w:pPr>
        <w:tabs>
          <w:tab w:val="right" w:pos="9360"/>
        </w:tabs>
        <w:spacing w:before="40" w:after="40"/>
      </w:pPr>
      <w:r>
        <w:rPr>
          <w:rFonts w:ascii="Arial" w:cs="Arial" w:eastAsia="Arial" w:hAnsi="Arial"/>
          <w:sz w:val="19"/>
          <w:szCs w:val="19"/>
        </w:rPr>
        <w:t xml:space="preserve">1.  Introduction and Purpose</w:t>
      </w:r>
      <w:r>
        <w:rPr>
          <w:rFonts w:ascii="Arial" w:cs="Arial" w:eastAsia="Arial" w:hAnsi="Arial"/>
          <w:sz w:val="19"/>
          <w:szCs w:val="19"/>
        </w:rPr>
        <w:t xml:space="preserve">	5</w:t>
      </w:r>
    </w:p>
    <w:p>
      <w:pPr>
        <w:tabs>
          <w:tab w:val="right" w:pos="9360"/>
        </w:tabs>
        <w:spacing w:before="40" w:after="40"/>
      </w:pPr>
      <w:r>
        <w:rPr>
          <w:rFonts w:ascii="Arial" w:cs="Arial" w:eastAsia="Arial" w:hAnsi="Arial"/>
          <w:sz w:val="19"/>
          <w:szCs w:val="19"/>
        </w:rPr>
        <w:t xml:space="preserve">2.  Scope and Regulatory Basis</w:t>
      </w:r>
      <w:r>
        <w:rPr>
          <w:rFonts w:ascii="Arial" w:cs="Arial" w:eastAsia="Arial" w:hAnsi="Arial"/>
          <w:sz w:val="19"/>
          <w:szCs w:val="19"/>
        </w:rPr>
        <w:t xml:space="preserve">	5</w:t>
      </w:r>
    </w:p>
    <w:p>
      <w:pPr>
        <w:tabs>
          <w:tab w:val="right" w:pos="9360"/>
        </w:tabs>
        <w:spacing w:before="40" w:after="40"/>
      </w:pPr>
      <w:r>
        <w:rPr>
          <w:rFonts w:ascii="Arial" w:cs="Arial" w:eastAsia="Arial" w:hAnsi="Arial"/>
          <w:sz w:val="19"/>
          <w:szCs w:val="19"/>
        </w:rPr>
        <w:t xml:space="preserve">3.  Materials, Reagents, and Equipment</w:t>
      </w:r>
      <w:r>
        <w:rPr>
          <w:rFonts w:ascii="Arial" w:cs="Arial" w:eastAsia="Arial" w:hAnsi="Arial"/>
          <w:sz w:val="19"/>
          <w:szCs w:val="19"/>
        </w:rPr>
        <w:t xml:space="preserve">	6</w:t>
      </w:r>
    </w:p>
    <w:p>
      <w:pPr>
        <w:tabs>
          <w:tab w:val="right" w:pos="9360"/>
        </w:tabs>
        <w:spacing w:before="40" w:after="40"/>
      </w:pPr>
      <w:r>
        <w:rPr>
          <w:rFonts w:ascii="Arial" w:cs="Arial" w:eastAsia="Arial" w:hAnsi="Arial"/>
          <w:sz w:val="19"/>
          <w:szCs w:val="19"/>
        </w:rPr>
        <w:t xml:space="preserve">4.  Reference Standard and Internal Standard</w:t>
      </w:r>
      <w:r>
        <w:rPr>
          <w:rFonts w:ascii="Arial" w:cs="Arial" w:eastAsia="Arial" w:hAnsi="Arial"/>
          <w:sz w:val="19"/>
          <w:szCs w:val="19"/>
        </w:rPr>
        <w:t xml:space="preserve">	7</w:t>
      </w:r>
    </w:p>
    <w:p>
      <w:pPr>
        <w:tabs>
          <w:tab w:val="right" w:pos="9360"/>
        </w:tabs>
        <w:spacing w:before="40" w:after="40"/>
      </w:pPr>
      <w:r>
        <w:rPr>
          <w:rFonts w:ascii="Arial" w:cs="Arial" w:eastAsia="Arial" w:hAnsi="Arial"/>
          <w:sz w:val="19"/>
          <w:szCs w:val="19"/>
        </w:rPr>
        <w:t xml:space="preserve">5.  Sample Preparation Procedure</w:t>
      </w:r>
      <w:r>
        <w:rPr>
          <w:rFonts w:ascii="Arial" w:cs="Arial" w:eastAsia="Arial" w:hAnsi="Arial"/>
          <w:sz w:val="19"/>
          <w:szCs w:val="19"/>
        </w:rPr>
        <w:t xml:space="preserve">	8</w:t>
      </w:r>
    </w:p>
    <w:p>
      <w:pPr>
        <w:tabs>
          <w:tab w:val="right" w:pos="9360"/>
        </w:tabs>
        <w:spacing w:before="40" w:after="40"/>
      </w:pPr>
      <w:r>
        <w:rPr>
          <w:rFonts w:ascii="Arial" w:cs="Arial" w:eastAsia="Arial" w:hAnsi="Arial"/>
          <w:sz w:val="19"/>
          <w:szCs w:val="19"/>
        </w:rPr>
        <w:t xml:space="preserve">6.  Chromatographic / Instrumental Conditions (LC-MS/MS)</w:t>
      </w:r>
      <w:r>
        <w:rPr>
          <w:rFonts w:ascii="Arial" w:cs="Arial" w:eastAsia="Arial" w:hAnsi="Arial"/>
          <w:sz w:val="19"/>
          <w:szCs w:val="19"/>
        </w:rPr>
        <w:t xml:space="preserve">	8</w:t>
      </w:r>
    </w:p>
    <w:p>
      <w:pPr>
        <w:tabs>
          <w:tab w:val="right" w:pos="9360"/>
        </w:tabs>
        <w:spacing w:before="40" w:after="40"/>
      </w:pPr>
      <w:r>
        <w:rPr>
          <w:rFonts w:ascii="Arial" w:cs="Arial" w:eastAsia="Arial" w:hAnsi="Arial"/>
          <w:sz w:val="19"/>
          <w:szCs w:val="19"/>
        </w:rPr>
        <w:t xml:space="preserve">7.  Calibration Standards and Quality Controls</w:t>
      </w:r>
      <w:r>
        <w:rPr>
          <w:rFonts w:ascii="Arial" w:cs="Arial" w:eastAsia="Arial" w:hAnsi="Arial"/>
          <w:sz w:val="19"/>
          <w:szCs w:val="19"/>
        </w:rPr>
        <w:t xml:space="preserve">	9</w:t>
      </w:r>
    </w:p>
    <w:p>
      <w:pPr>
        <w:tabs>
          <w:tab w:val="right" w:pos="9360"/>
        </w:tabs>
        <w:spacing w:before="40" w:after="40"/>
      </w:pPr>
      <w:r>
        <w:rPr>
          <w:rFonts w:ascii="Arial" w:cs="Arial" w:eastAsia="Arial" w:hAnsi="Arial"/>
          <w:sz w:val="19"/>
          <w:szCs w:val="19"/>
        </w:rPr>
        <w:t xml:space="preserve">8.  Validation Parameters and Results</w:t>
      </w:r>
      <w:r>
        <w:rPr>
          <w:rFonts w:ascii="Arial" w:cs="Arial" w:eastAsia="Arial" w:hAnsi="Arial"/>
          <w:sz w:val="19"/>
          <w:szCs w:val="19"/>
        </w:rPr>
        <w:t xml:space="preserve">	10</w:t>
      </w:r>
    </w:p>
    <w:p>
      <w:pPr>
        <w:tabs>
          <w:tab w:val="right" w:pos="9360"/>
        </w:tabs>
        <w:spacing w:before="40" w:after="40"/>
      </w:pPr>
      <w:r>
        <w:rPr>
          <w:rFonts w:ascii="Arial" w:cs="Arial" w:eastAsia="Arial" w:hAnsi="Arial"/>
          <w:sz w:val="19"/>
          <w:szCs w:val="19"/>
        </w:rPr>
        <w:t xml:space="preserve">  8.1  Selectivity</w:t>
      </w:r>
      <w:r>
        <w:rPr>
          <w:rFonts w:ascii="Arial" w:cs="Arial" w:eastAsia="Arial" w:hAnsi="Arial"/>
          <w:sz w:val="19"/>
          <w:szCs w:val="19"/>
        </w:rPr>
        <w:t xml:space="preserve">	10</w:t>
      </w:r>
    </w:p>
    <w:p>
      <w:pPr>
        <w:tabs>
          <w:tab w:val="right" w:pos="9360"/>
        </w:tabs>
        <w:spacing w:before="40" w:after="40"/>
      </w:pPr>
      <w:r>
        <w:rPr>
          <w:rFonts w:ascii="Arial" w:cs="Arial" w:eastAsia="Arial" w:hAnsi="Arial"/>
          <w:sz w:val="19"/>
          <w:szCs w:val="19"/>
        </w:rPr>
        <w:t xml:space="preserve">  8.2  Specificity</w:t>
      </w:r>
      <w:r>
        <w:rPr>
          <w:rFonts w:ascii="Arial" w:cs="Arial" w:eastAsia="Arial" w:hAnsi="Arial"/>
          <w:sz w:val="19"/>
          <w:szCs w:val="19"/>
        </w:rPr>
        <w:t xml:space="preserve">	10</w:t>
      </w:r>
    </w:p>
    <w:p>
      <w:pPr>
        <w:tabs>
          <w:tab w:val="right" w:pos="9360"/>
        </w:tabs>
        <w:spacing w:before="40" w:after="40"/>
      </w:pPr>
      <w:r>
        <w:rPr>
          <w:rFonts w:ascii="Arial" w:cs="Arial" w:eastAsia="Arial" w:hAnsi="Arial"/>
          <w:sz w:val="19"/>
          <w:szCs w:val="19"/>
        </w:rPr>
        <w:t xml:space="preserve">  8.3  Sensitivity (LLOQ)</w:t>
      </w:r>
      <w:r>
        <w:rPr>
          <w:rFonts w:ascii="Arial" w:cs="Arial" w:eastAsia="Arial" w:hAnsi="Arial"/>
          <w:sz w:val="19"/>
          <w:szCs w:val="19"/>
        </w:rPr>
        <w:t xml:space="preserve">	11</w:t>
      </w:r>
    </w:p>
    <w:p>
      <w:pPr>
        <w:tabs>
          <w:tab w:val="right" w:pos="9360"/>
        </w:tabs>
        <w:spacing w:before="40" w:after="40"/>
      </w:pPr>
      <w:r>
        <w:rPr>
          <w:rFonts w:ascii="Arial" w:cs="Arial" w:eastAsia="Arial" w:hAnsi="Arial"/>
          <w:sz w:val="19"/>
          <w:szCs w:val="19"/>
        </w:rPr>
        <w:t xml:space="preserve">  8.4  Linearity and Calibration Curve</w:t>
      </w:r>
      <w:r>
        <w:rPr>
          <w:rFonts w:ascii="Arial" w:cs="Arial" w:eastAsia="Arial" w:hAnsi="Arial"/>
          <w:sz w:val="19"/>
          <w:szCs w:val="19"/>
        </w:rPr>
        <w:t xml:space="preserve">	11</w:t>
      </w:r>
    </w:p>
    <w:p>
      <w:pPr>
        <w:tabs>
          <w:tab w:val="right" w:pos="9360"/>
        </w:tabs>
        <w:spacing w:before="40" w:after="40"/>
      </w:pPr>
      <w:r>
        <w:rPr>
          <w:rFonts w:ascii="Arial" w:cs="Arial" w:eastAsia="Arial" w:hAnsi="Arial"/>
          <w:sz w:val="19"/>
          <w:szCs w:val="19"/>
        </w:rPr>
        <w:t xml:space="preserve">  8.5  Accuracy and Precision (Intra-day / Inter-day)</w:t>
      </w:r>
      <w:r>
        <w:rPr>
          <w:rFonts w:ascii="Arial" w:cs="Arial" w:eastAsia="Arial" w:hAnsi="Arial"/>
          <w:sz w:val="19"/>
          <w:szCs w:val="19"/>
        </w:rPr>
        <w:t xml:space="preserve">	12</w:t>
      </w:r>
    </w:p>
    <w:p>
      <w:pPr>
        <w:tabs>
          <w:tab w:val="right" w:pos="9360"/>
        </w:tabs>
        <w:spacing w:before="40" w:after="40"/>
      </w:pPr>
      <w:r>
        <w:rPr>
          <w:rFonts w:ascii="Arial" w:cs="Arial" w:eastAsia="Arial" w:hAnsi="Arial"/>
          <w:sz w:val="19"/>
          <w:szCs w:val="19"/>
        </w:rPr>
        <w:t xml:space="preserve">  8.6  Matrix Effect and Ion Suppression</w:t>
      </w:r>
      <w:r>
        <w:rPr>
          <w:rFonts w:ascii="Arial" w:cs="Arial" w:eastAsia="Arial" w:hAnsi="Arial"/>
          <w:sz w:val="19"/>
          <w:szCs w:val="19"/>
        </w:rPr>
        <w:t xml:space="preserve">	13</w:t>
      </w:r>
    </w:p>
    <w:p>
      <w:pPr>
        <w:tabs>
          <w:tab w:val="right" w:pos="9360"/>
        </w:tabs>
        <w:spacing w:before="40" w:after="40"/>
      </w:pPr>
      <w:r>
        <w:rPr>
          <w:rFonts w:ascii="Arial" w:cs="Arial" w:eastAsia="Arial" w:hAnsi="Arial"/>
          <w:sz w:val="19"/>
          <w:szCs w:val="19"/>
        </w:rPr>
        <w:t xml:space="preserve">  8.7  Recovery</w:t>
      </w:r>
      <w:r>
        <w:rPr>
          <w:rFonts w:ascii="Arial" w:cs="Arial" w:eastAsia="Arial" w:hAnsi="Arial"/>
          <w:sz w:val="19"/>
          <w:szCs w:val="19"/>
        </w:rPr>
        <w:t xml:space="preserve">	14</w:t>
      </w:r>
    </w:p>
    <w:p>
      <w:pPr>
        <w:tabs>
          <w:tab w:val="right" w:pos="9360"/>
        </w:tabs>
        <w:spacing w:before="40" w:after="40"/>
      </w:pPr>
      <w:r>
        <w:rPr>
          <w:rFonts w:ascii="Arial" w:cs="Arial" w:eastAsia="Arial" w:hAnsi="Arial"/>
          <w:sz w:val="19"/>
          <w:szCs w:val="19"/>
        </w:rPr>
        <w:t xml:space="preserve">  8.8  Dilution Integrity</w:t>
      </w:r>
      <w:r>
        <w:rPr>
          <w:rFonts w:ascii="Arial" w:cs="Arial" w:eastAsia="Arial" w:hAnsi="Arial"/>
          <w:sz w:val="19"/>
          <w:szCs w:val="19"/>
        </w:rPr>
        <w:t xml:space="preserve">	14</w:t>
      </w:r>
    </w:p>
    <w:p>
      <w:pPr>
        <w:tabs>
          <w:tab w:val="right" w:pos="9360"/>
        </w:tabs>
        <w:spacing w:before="40" w:after="40"/>
      </w:pPr>
      <w:r>
        <w:rPr>
          <w:rFonts w:ascii="Arial" w:cs="Arial" w:eastAsia="Arial" w:hAnsi="Arial"/>
          <w:sz w:val="19"/>
          <w:szCs w:val="19"/>
        </w:rPr>
        <w:t xml:space="preserve">  8.9  Stability</w:t>
      </w:r>
      <w:r>
        <w:rPr>
          <w:rFonts w:ascii="Arial" w:cs="Arial" w:eastAsia="Arial" w:hAnsi="Arial"/>
          <w:sz w:val="19"/>
          <w:szCs w:val="19"/>
        </w:rPr>
        <w:t xml:space="preserve">	15</w:t>
      </w:r>
    </w:p>
    <w:p>
      <w:pPr>
        <w:tabs>
          <w:tab w:val="right" w:pos="9360"/>
        </w:tabs>
        <w:spacing w:before="40" w:after="40"/>
      </w:pPr>
      <w:r>
        <w:rPr>
          <w:rFonts w:ascii="Arial" w:cs="Arial" w:eastAsia="Arial" w:hAnsi="Arial"/>
          <w:sz w:val="19"/>
          <w:szCs w:val="19"/>
        </w:rPr>
        <w:t xml:space="preserve">  8.10  Carry-Over</w:t>
      </w:r>
      <w:r>
        <w:rPr>
          <w:rFonts w:ascii="Arial" w:cs="Arial" w:eastAsia="Arial" w:hAnsi="Arial"/>
          <w:sz w:val="19"/>
          <w:szCs w:val="19"/>
        </w:rPr>
        <w:t xml:space="preserve">	17</w:t>
      </w:r>
    </w:p>
    <w:p>
      <w:pPr>
        <w:tabs>
          <w:tab w:val="right" w:pos="9360"/>
        </w:tabs>
        <w:spacing w:before="40" w:after="40"/>
      </w:pPr>
      <w:r>
        <w:rPr>
          <w:rFonts w:ascii="Arial" w:cs="Arial" w:eastAsia="Arial" w:hAnsi="Arial"/>
          <w:sz w:val="19"/>
          <w:szCs w:val="19"/>
        </w:rPr>
        <w:t xml:space="preserve">9.  Acceptance Criteria Summary</w:t>
      </w:r>
      <w:r>
        <w:rPr>
          <w:rFonts w:ascii="Arial" w:cs="Arial" w:eastAsia="Arial" w:hAnsi="Arial"/>
          <w:sz w:val="19"/>
          <w:szCs w:val="19"/>
        </w:rPr>
        <w:t xml:space="preserve">	18</w:t>
      </w:r>
    </w:p>
    <w:p>
      <w:pPr>
        <w:tabs>
          <w:tab w:val="right" w:pos="9360"/>
        </w:tabs>
        <w:spacing w:before="40" w:after="40"/>
      </w:pPr>
      <w:r>
        <w:rPr>
          <w:rFonts w:ascii="Arial" w:cs="Arial" w:eastAsia="Arial" w:hAnsi="Arial"/>
          <w:sz w:val="19"/>
          <w:szCs w:val="19"/>
        </w:rPr>
        <w:t xml:space="preserve">10.  Deviations and Investigations</w:t>
      </w:r>
      <w:r>
        <w:rPr>
          <w:rFonts w:ascii="Arial" w:cs="Arial" w:eastAsia="Arial" w:hAnsi="Arial"/>
          <w:sz w:val="19"/>
          <w:szCs w:val="19"/>
        </w:rPr>
        <w:t xml:space="preserve">	19</w:t>
      </w:r>
    </w:p>
    <w:p>
      <w:pPr>
        <w:tabs>
          <w:tab w:val="right" w:pos="9360"/>
        </w:tabs>
        <w:spacing w:before="40" w:after="40"/>
      </w:pPr>
      <w:r>
        <w:rPr>
          <w:rFonts w:ascii="Arial" w:cs="Arial" w:eastAsia="Arial" w:hAnsi="Arial"/>
          <w:sz w:val="19"/>
          <w:szCs w:val="19"/>
        </w:rPr>
        <w:t xml:space="preserve">11.  Conclusions</w:t>
      </w:r>
      <w:r>
        <w:rPr>
          <w:rFonts w:ascii="Arial" w:cs="Arial" w:eastAsia="Arial" w:hAnsi="Arial"/>
          <w:sz w:val="19"/>
          <w:szCs w:val="19"/>
        </w:rPr>
        <w:t xml:space="preserve">	19</w:t>
      </w:r>
    </w:p>
    <w:p>
      <w:pPr>
        <w:tabs>
          <w:tab w:val="right" w:pos="9360"/>
        </w:tabs>
        <w:spacing w:before="40" w:after="40"/>
      </w:pPr>
      <w:r>
        <w:rPr>
          <w:rFonts w:ascii="Arial" w:cs="Arial" w:eastAsia="Arial" w:hAnsi="Arial"/>
          <w:sz w:val="19"/>
          <w:szCs w:val="19"/>
        </w:rPr>
        <w:t xml:space="preserve">12.  References</w:t>
      </w:r>
      <w:r>
        <w:rPr>
          <w:rFonts w:ascii="Arial" w:cs="Arial" w:eastAsia="Arial" w:hAnsi="Arial"/>
          <w:sz w:val="19"/>
          <w:szCs w:val="19"/>
        </w:rPr>
        <w:t xml:space="preserve">	20</w:t>
      </w:r>
    </w:p>
    <w:p>
      <w:pPr>
        <w:tabs>
          <w:tab w:val="right" w:pos="9360"/>
        </w:tabs>
        <w:spacing w:before="40" w:after="40"/>
      </w:pPr>
      <w:r>
        <w:rPr>
          <w:rFonts w:ascii="Arial" w:cs="Arial" w:eastAsia="Arial" w:hAnsi="Arial"/>
          <w:sz w:val="19"/>
          <w:szCs w:val="19"/>
        </w:rPr>
        <w:t xml:space="preserve">13.  Appendices</w:t>
      </w:r>
      <w:r>
        <w:rPr>
          <w:rFonts w:ascii="Arial" w:cs="Arial" w:eastAsia="Arial" w:hAnsi="Arial"/>
          <w:sz w:val="19"/>
          <w:szCs w:val="19"/>
        </w:rPr>
        <w:t xml:space="preserve">	20</w:t>
      </w:r>
    </w:p>
    <w:p>
      <w:r>
        <w:br w:type="page"/>
      </w:r>
    </w:p>
    <w:p>
      <w:pPr>
        <w:pStyle w:val="Heading1"/>
        <w:spacing w:before="360" w:after="120"/>
      </w:pPr>
      <w:r>
        <w:rPr>
          <w:rFonts w:ascii="Arial" w:cs="Arial" w:eastAsia="Arial" w:hAnsi="Arial"/>
          <w:b/>
          <w:bCs/>
          <w:color w:val="1F4E79"/>
          <w:sz w:val="28"/>
          <w:szCs w:val="28"/>
        </w:rPr>
        <w:t xml:space="preserve">1. INTRODUCTION AND PURPOSE</w:t>
      </w:r>
    </w:p>
    <w:p>
      <w:pPr>
        <w:spacing w:before="80" w:after="80"/>
      </w:pPr>
      <w:r>
        <w:rPr>
          <w:rFonts w:ascii="Arial" w:cs="Arial" w:eastAsia="Arial" w:hAnsi="Arial"/>
          <w:sz w:val="20"/>
          <w:szCs w:val="20"/>
        </w:rPr>
        <w:t xml:space="preserve">This Bioanalytical Method Validation Report (BMVR) documents the full validation of a quantitative ligand-binding assay (LBA) using electrochemiluminescence detection (ECL) for the measurement of Cervimab (CRV-001), an investigational humanized IgG4 monoclonal antibody targeting the programmed cell death protein 1 (PD-1) receptor, in human K2-EDTA plasma.</w:t>
      </w:r>
    </w:p>
    <w:p>
      <w:pPr>
        <w:spacing w:before="60" w:after="60"/>
      </w:pPr>
      <w:r>
        <w:t xml:space="preserve"/>
      </w:r>
    </w:p>
    <w:p>
      <w:pPr>
        <w:spacing w:before="80" w:after="80"/>
      </w:pPr>
      <w:r>
        <w:rPr>
          <w:rFonts w:ascii="Arial" w:cs="Arial" w:eastAsia="Arial" w:hAnsi="Arial"/>
          <w:sz w:val="20"/>
          <w:szCs w:val="20"/>
        </w:rPr>
        <w:t xml:space="preserve">Cervimab is being evaluated in a Phase 1, open-label, multicenter, dose-escalation study (Protocol CRV-001-PH1-001) in adult patients with mismatch repair-deficient (dMMR) or microsatellite instability-high (MSI-H) metastatic colorectal cancer (mCRC) who have received prior standard-of-care therapy. PK profiling using this validated method will support:</w:t>
      </w:r>
    </w:p>
    <w:p>
      <w:pPr>
        <w:pStyle w:val="ListParagraph"/>
        <w:numPr>
          <w:ilvl w:val="0"/>
          <w:numId w:val="2"/>
        </w:numPr>
        <w:spacing w:before="40" w:after="40"/>
      </w:pPr>
      <w:r>
        <w:rPr>
          <w:rFonts w:ascii="Arial" w:cs="Arial" w:eastAsia="Arial" w:hAnsi="Arial"/>
          <w:sz w:val="20"/>
          <w:szCs w:val="20"/>
        </w:rPr>
        <w:t xml:space="preserve">Determination of Cervimab exposure (Cmax, AUC, t1/2, CL, Vd) at each dose level</w:t>
      </w:r>
    </w:p>
    <w:p>
      <w:pPr>
        <w:pStyle w:val="ListParagraph"/>
        <w:numPr>
          <w:ilvl w:val="0"/>
          <w:numId w:val="2"/>
        </w:numPr>
        <w:spacing w:before="40" w:after="40"/>
      </w:pPr>
      <w:r>
        <w:rPr>
          <w:rFonts w:ascii="Arial" w:cs="Arial" w:eastAsia="Arial" w:hAnsi="Arial"/>
          <w:sz w:val="20"/>
          <w:szCs w:val="20"/>
        </w:rPr>
        <w:t xml:space="preserve">Dose proportionality and PK linearity assessment</w:t>
      </w:r>
    </w:p>
    <w:p>
      <w:pPr>
        <w:pStyle w:val="ListParagraph"/>
        <w:numPr>
          <w:ilvl w:val="0"/>
          <w:numId w:val="2"/>
        </w:numPr>
        <w:spacing w:before="40" w:after="40"/>
      </w:pPr>
      <w:r>
        <w:rPr>
          <w:rFonts w:ascii="Arial" w:cs="Arial" w:eastAsia="Arial" w:hAnsi="Arial"/>
          <w:sz w:val="20"/>
          <w:szCs w:val="20"/>
        </w:rPr>
        <w:t xml:space="preserve">Population PK modeling and PK/PD correlation</w:t>
      </w:r>
    </w:p>
    <w:p>
      <w:pPr>
        <w:pStyle w:val="ListParagraph"/>
        <w:numPr>
          <w:ilvl w:val="0"/>
          <w:numId w:val="2"/>
        </w:numPr>
        <w:spacing w:before="40" w:after="40"/>
      </w:pPr>
      <w:r>
        <w:rPr>
          <w:rFonts w:ascii="Arial" w:cs="Arial" w:eastAsia="Arial" w:hAnsi="Arial"/>
          <w:sz w:val="20"/>
          <w:szCs w:val="20"/>
        </w:rPr>
        <w:t xml:space="preserve">Support for regulatory submissions (IND, NDA/BLA)</w:t>
      </w:r>
    </w:p>
    <w:p>
      <w:pPr>
        <w:spacing w:before="60" w:after="60"/>
      </w:pPr>
      <w:r>
        <w:t xml:space="preserve"/>
      </w:r>
    </w:p>
    <w:p>
      <w:pPr>
        <w:spacing w:before="80" w:after="80"/>
      </w:pPr>
      <w:r>
        <w:rPr>
          <w:rFonts w:ascii="Arial" w:cs="Arial" w:eastAsia="Arial" w:hAnsi="Arial"/>
          <w:sz w:val="20"/>
          <w:szCs w:val="20"/>
        </w:rPr>
        <w:t xml:space="preserve">This report is prepared in accordance with FDA Guidance for Industry: Bioanalytical Method Validation (May 2018) and applicable ICH guidelines.</w:t>
      </w:r>
    </w:p>
    <w:p>
      <w:r>
        <w:br w:type="page"/>
      </w:r>
    </w:p>
    <w:p>
      <w:pPr>
        <w:pStyle w:val="Heading1"/>
        <w:spacing w:before="360" w:after="120"/>
      </w:pPr>
      <w:r>
        <w:rPr>
          <w:rFonts w:ascii="Arial" w:cs="Arial" w:eastAsia="Arial" w:hAnsi="Arial"/>
          <w:b/>
          <w:bCs/>
          <w:color w:val="1F4E79"/>
          <w:sz w:val="28"/>
          <w:szCs w:val="28"/>
        </w:rPr>
        <w:t xml:space="preserve">2. SCOPE AND REGULATORY BASIS</w:t>
      </w:r>
    </w:p>
    <w:p>
      <w:pPr>
        <w:pStyle w:val="Heading2"/>
        <w:spacing w:before="280" w:after="100"/>
      </w:pPr>
      <w:r>
        <w:rPr>
          <w:rFonts w:ascii="Arial" w:cs="Arial" w:eastAsia="Arial" w:hAnsi="Arial"/>
          <w:b/>
          <w:bCs/>
          <w:color w:val="2E75B6"/>
          <w:sz w:val="24"/>
          <w:szCs w:val="24"/>
        </w:rPr>
        <w:t xml:space="preserve">2.1 Scope</w:t>
      </w:r>
    </w:p>
    <w:p>
      <w:pPr>
        <w:spacing w:before="80" w:after="80"/>
      </w:pPr>
      <w:r>
        <w:rPr>
          <w:rFonts w:ascii="Arial" w:cs="Arial" w:eastAsia="Arial" w:hAnsi="Arial"/>
          <w:sz w:val="20"/>
          <w:szCs w:val="20"/>
        </w:rPr>
        <w:t xml:space="preserve">This validation covers the quantitative LBA/ECL method for Cervimab in human K2-EDTA plasma. The validated concentration range is 0.100 µg/mL to 100 µg/mL. Samples outside this range are subject to dilution per the validated dilution integrity protocol.</w:t>
      </w:r>
    </w:p>
    <w:p>
      <w:pPr>
        <w:pStyle w:val="Heading2"/>
        <w:spacing w:before="280" w:after="100"/>
      </w:pPr>
      <w:r>
        <w:rPr>
          <w:rFonts w:ascii="Arial" w:cs="Arial" w:eastAsia="Arial" w:hAnsi="Arial"/>
          <w:b/>
          <w:bCs/>
          <w:color w:val="2E75B6"/>
          <w:sz w:val="24"/>
          <w:szCs w:val="24"/>
        </w:rPr>
        <w:t xml:space="preserve">2.2 Regulatory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Document</w:t>
            </w:r>
          </w:p>
        </w:tc>
        <w:tc>
          <w:tcPr>
            <w:tcW w:type="dxa" w:w="4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Title / Description</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Version / Date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FDA Guidance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Bioanalytical Method Validation for Human Studies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May 2018</w:t>
            </w:r>
          </w:p>
        </w:tc>
      </w:tr>
      <w:tr>
        <w:tc>
          <w:tcPr>
            <w:tcW w:type="dxa" w:w="2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ICH M10</w:t>
            </w:r>
          </w:p>
        </w:tc>
        <w:tc>
          <w:tcPr>
            <w:tcW w:type="dxa" w:w="4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Bioanalytical Method Validation and Study Sample Analysis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May 2022</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21 CFR Part 58</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Good Laboratory Practice for Nonclinical Laboratory Studies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Current</w:t>
            </w:r>
          </w:p>
        </w:tc>
      </w:tr>
      <w:tr>
        <w:tc>
          <w:tcPr>
            <w:tcW w:type="dxa" w:w="2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21 CFR Part 312</w:t>
            </w:r>
          </w:p>
        </w:tc>
        <w:tc>
          <w:tcPr>
            <w:tcW w:type="dxa" w:w="4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Investigational New Drug Application</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Current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CRV-BA-VAL-PLAN-001</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Cervimab Phase 1 Bioanalytical Validation Plan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v1.0, Dec 2024</w:t>
            </w:r>
          </w:p>
        </w:tc>
      </w:tr>
    </w:tbl>
    <w:p>
      <w:r>
        <w:br w:type="page"/>
      </w:r>
    </w:p>
    <w:p>
      <w:pPr>
        <w:pStyle w:val="Heading1"/>
        <w:spacing w:before="360" w:after="120"/>
      </w:pPr>
      <w:r>
        <w:rPr>
          <w:rFonts w:ascii="Arial" w:cs="Arial" w:eastAsia="Arial" w:hAnsi="Arial"/>
          <w:b/>
          <w:bCs/>
          <w:color w:val="1F4E79"/>
          <w:sz w:val="28"/>
          <w:szCs w:val="28"/>
        </w:rPr>
        <w:t xml:space="preserve">3. MATERIALS, REAGENTS, AND EQUIPMENT</w:t>
      </w:r>
    </w:p>
    <w:p>
      <w:pPr>
        <w:pStyle w:val="Heading2"/>
        <w:spacing w:before="280" w:after="100"/>
      </w:pPr>
      <w:r>
        <w:rPr>
          <w:rFonts w:ascii="Arial" w:cs="Arial" w:eastAsia="Arial" w:hAnsi="Arial"/>
          <w:b/>
          <w:bCs/>
          <w:color w:val="2E75B6"/>
          <w:sz w:val="24"/>
          <w:szCs w:val="24"/>
        </w:rPr>
        <w:t xml:space="preserve">3.1 Critical Reagents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60"/>
        <w:gridCol w:w="2700"/>
      </w:tblGrid>
      <w:tr>
        <w:trPr>
          <w:tblHeader/>
        </w:trPr>
        <w:tc>
          <w:tcPr>
            <w:tcW w:type="dxa" w:w="3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Reagent</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Source / Lot Number</w:t>
            </w:r>
          </w:p>
        </w:tc>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Expiry / Certificate</w:t>
            </w:r>
          </w:p>
        </w:tc>
      </w:tr>
      <w:tr>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Anti-human PD-1 capture antibody (clone 5E4)</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BioCell Sciences / Lot: BC-2024-0917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Dec 2025 / CoA on file</w:t>
            </w:r>
          </w:p>
        </w:tc>
      </w:tr>
      <w:tr>
        <w:tc>
          <w:tcPr>
            <w:tcW w:type="dxa" w:w="33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Anti-human IgG4 detection antibody (SULFO-TAG)</w:t>
            </w:r>
          </w:p>
        </w:tc>
        <w:tc>
          <w:tcPr>
            <w:tcW w:type="dxa" w:w="3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Meso Scale Diagnostics / Lot: MSD-4421</w:t>
            </w:r>
          </w:p>
        </w:tc>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Jun 2025 / CoA on file</w:t>
            </w:r>
          </w:p>
        </w:tc>
      </w:tr>
      <w:tr>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Blocker A (1% BSA in PBST)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Meso Scale Diagnostics / Lot: MSD-BLK-08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Sep 2025 / CoA on file</w:t>
            </w:r>
          </w:p>
        </w:tc>
      </w:tr>
      <w:tr>
        <w:tc>
          <w:tcPr>
            <w:tcW w:type="dxa" w:w="33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MSD GOLD Read Buffer B (4x)</w:t>
            </w:r>
          </w:p>
        </w:tc>
        <w:tc>
          <w:tcPr>
            <w:tcW w:type="dxa" w:w="3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Meso Scale Diagnostics / Lot: MSD-GRB-12</w:t>
            </w:r>
          </w:p>
        </w:tc>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Aug 2025 / CoA on file</w:t>
            </w:r>
          </w:p>
        </w:tc>
      </w:tr>
      <w:tr>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Human K2-EDTA Blank Plasma (n=6 donors)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BioIVT / Lot: HK2P-0623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Jan 2026 / CoA on file</w:t>
            </w:r>
          </w:p>
        </w:tc>
      </w:tr>
      <w:tr>
        <w:tc>
          <w:tcPr>
            <w:tcW w:type="dxa" w:w="33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Cervimab Reference Standard (CRV-RS-001)</w:t>
            </w:r>
          </w:p>
        </w:tc>
        <w:tc>
          <w:tcPr>
            <w:tcW w:type="dxa" w:w="3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Aevorix Therapeutics Lot: AEV-RS-2024-01</w:t>
            </w:r>
          </w:p>
        </w:tc>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Dec 2026 / CoA, CoI on file</w:t>
            </w:r>
          </w:p>
        </w:tc>
      </w:tr>
      <w:tr>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SIL Surrogate mAb IS (CRV-IS-001)</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Aevorix Therapeutics Lot: AEV-IS-2024-01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Dec 2026 / CoA on file</w:t>
            </w:r>
          </w:p>
        </w:tc>
      </w:tr>
    </w:tbl>
    <w:p>
      <w:pPr>
        <w:spacing w:before="60" w:after="60"/>
      </w:pPr>
      <w:r>
        <w:t xml:space="preserve"/>
      </w:r>
    </w:p>
    <w:p>
      <w:pPr>
        <w:pStyle w:val="Heading2"/>
        <w:spacing w:before="280" w:after="100"/>
      </w:pPr>
      <w:r>
        <w:rPr>
          <w:rFonts w:ascii="Arial" w:cs="Arial" w:eastAsia="Arial" w:hAnsi="Arial"/>
          <w:b/>
          <w:bCs/>
          <w:color w:val="2E75B6"/>
          <w:sz w:val="24"/>
          <w:szCs w:val="24"/>
        </w:rPr>
        <w:t xml:space="preserve">3.2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Equipment</w:t>
            </w:r>
          </w:p>
        </w:tc>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Manufacturer / Model</w:t>
            </w:r>
          </w:p>
        </w:tc>
        <w:tc>
          <w:tcPr>
            <w:tcW w:type="dxa" w:w="3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Asset ID / Calibration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ECL Reader</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Meso Scale Diagnostics / SECTOR S 600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PKS-ECL-001 / Calibrated Jan 2025</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MSD Plate Washer</w:t>
            </w:r>
          </w:p>
        </w:tc>
        <w:tc>
          <w:tcPr>
            <w:tcW w:type="dxa" w:w="3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Meso Scale Diagnostics / MultiWash+</w:t>
            </w:r>
          </w:p>
        </w:tc>
        <w:tc>
          <w:tcPr>
            <w:tcW w:type="dxa" w:w="3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PKS-MW-002 / Calibrated Jan 2025</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Analytical Balance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Mettler Toledo / XPR 205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PKS-BAL-003 / Calibrated Jan 2025</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Pipettes (multichannel)</w:t>
            </w:r>
          </w:p>
        </w:tc>
        <w:tc>
          <w:tcPr>
            <w:tcW w:type="dxa" w:w="3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Eppendorf / Research Plus</w:t>
            </w:r>
          </w:p>
        </w:tc>
        <w:tc>
          <w:tcPr>
            <w:tcW w:type="dxa" w:w="3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PKS-PIP-004-009 / Calibrated Jan 2025</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Ultra-low Temperature Freezer (-80°C)</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Thermo Fisher / ULT1786-9-D38</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PKS-FRZ-010 / Verified monthly</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Vortex Mixer</w:t>
            </w:r>
          </w:p>
        </w:tc>
        <w:tc>
          <w:tcPr>
            <w:tcW w:type="dxa" w:w="3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Scientific Industries / Vortex-Genie 2</w:t>
            </w:r>
          </w:p>
        </w:tc>
        <w:tc>
          <w:tcPr>
            <w:tcW w:type="dxa" w:w="3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PKS-VMX-011 / N/A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Data System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SoftMax Pro v7.1.2 (Molecular Devices)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PKS-SW-001 / Validated IQ/OQ/PQ</w:t>
            </w:r>
          </w:p>
        </w:tc>
      </w:tr>
    </w:tbl>
    <w:p>
      <w:r>
        <w:br w:type="page"/>
      </w:r>
    </w:p>
    <w:p>
      <w:pPr>
        <w:pStyle w:val="Heading1"/>
        <w:spacing w:before="360" w:after="120"/>
      </w:pPr>
      <w:r>
        <w:rPr>
          <w:rFonts w:ascii="Arial" w:cs="Arial" w:eastAsia="Arial" w:hAnsi="Arial"/>
          <w:b/>
          <w:bCs/>
          <w:color w:val="1F4E79"/>
          <w:sz w:val="28"/>
          <w:szCs w:val="28"/>
        </w:rPr>
        <w:t xml:space="preserve">4. REFERENCE STANDARD AND INTERNAL STANDARD</w:t>
      </w:r>
    </w:p>
    <w:p>
      <w:pPr>
        <w:pStyle w:val="Heading2"/>
        <w:spacing w:before="280" w:after="100"/>
      </w:pPr>
      <w:r>
        <w:rPr>
          <w:rFonts w:ascii="Arial" w:cs="Arial" w:eastAsia="Arial" w:hAnsi="Arial"/>
          <w:b/>
          <w:bCs/>
          <w:color w:val="2E75B6"/>
          <w:sz w:val="24"/>
          <w:szCs w:val="24"/>
        </w:rPr>
        <w:t xml:space="preserve">4.1 Analyte Reference Standard — Cervimab (CRV-001)</w:t>
      </w:r>
    </w:p>
    <w:p>
      <w:pPr>
        <w:spacing w:before="80" w:after="80"/>
      </w:pPr>
      <w:r>
        <w:rPr>
          <w:rFonts w:ascii="Arial" w:cs="Arial" w:eastAsia="Arial" w:hAnsi="Arial"/>
          <w:sz w:val="20"/>
          <w:szCs w:val="20"/>
        </w:rPr>
        <w:t xml:space="preserve">Cervimab reference standard (CRV-RS-001) is a highly purified, recombinant humanized IgG4 monoclonal antibody targeting PD-1 (MW ~147 kDa). The reference standard was provided by Aevorix Therapeutics, Inc. and characterized by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Parameter</w:t>
            </w:r>
          </w:p>
        </w:tc>
        <w:tc>
          <w:tcPr>
            <w:tcW w:type="dxa" w:w="3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Specification</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Observed Value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Purity (SE-HPLC)</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≥98.0%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99.2%</w:t>
            </w:r>
          </w:p>
        </w:tc>
      </w:tr>
      <w:tr>
        <w:tc>
          <w:tcPr>
            <w:tcW w:type="dxa" w:w="3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Identity (Peptide Mapping)</w:t>
            </w:r>
          </w:p>
        </w:tc>
        <w:tc>
          <w:tcPr>
            <w:tcW w:type="dxa" w:w="3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Matches sequence CRV-SEQ-001</w:t>
            </w:r>
          </w:p>
        </w:tc>
        <w:tc>
          <w:tcPr>
            <w:tcW w:type="dxa" w:w="3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Confirmed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Protein Concentration (UV A280)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Certified 10.0 mg/mL ± 0.2 mg/mL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10.1 mg/mL</w:t>
            </w:r>
          </w:p>
        </w:tc>
      </w:tr>
      <w:tr>
        <w:tc>
          <w:tcPr>
            <w:tcW w:type="dxa" w:w="3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Endotoxin (LAL)</w:t>
            </w:r>
          </w:p>
        </w:tc>
        <w:tc>
          <w:tcPr>
            <w:tcW w:type="dxa" w:w="3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&lt;1.0 EU/mg</w:t>
            </w:r>
          </w:p>
        </w:tc>
        <w:tc>
          <w:tcPr>
            <w:tcW w:type="dxa" w:w="3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0.12 EU/mg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Sterility</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Negative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Negative</w:t>
            </w:r>
          </w:p>
        </w:tc>
      </w:tr>
      <w:tr>
        <w:tc>
          <w:tcPr>
            <w:tcW w:type="dxa" w:w="3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Storage Condition</w:t>
            </w:r>
          </w:p>
        </w:tc>
        <w:tc>
          <w:tcPr>
            <w:tcW w:type="dxa" w:w="3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-80°C, aliquoted</w:t>
            </w:r>
          </w:p>
        </w:tc>
        <w:tc>
          <w:tcPr>
            <w:tcW w:type="dxa" w:w="3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Compliant</w:t>
            </w:r>
          </w:p>
        </w:tc>
      </w:tr>
    </w:tbl>
    <w:p>
      <w:pPr>
        <w:spacing w:before="60" w:after="60"/>
      </w:pPr>
      <w:r>
        <w:t xml:space="preserve"/>
      </w:r>
    </w:p>
    <w:p>
      <w:pPr>
        <w:pStyle w:val="Heading2"/>
        <w:spacing w:before="280" w:after="100"/>
      </w:pPr>
      <w:r>
        <w:rPr>
          <w:rFonts w:ascii="Arial" w:cs="Arial" w:eastAsia="Arial" w:hAnsi="Arial"/>
          <w:b/>
          <w:bCs/>
          <w:color w:val="2E75B6"/>
          <w:sz w:val="24"/>
          <w:szCs w:val="24"/>
        </w:rPr>
        <w:t xml:space="preserve">4.2 Internal Standard — Surrogate Isotopically Labeled mAb (CRV-IS-001)</w:t>
      </w:r>
    </w:p>
    <w:p>
      <w:pPr>
        <w:spacing w:before="80" w:after="80"/>
      </w:pPr>
      <w:r>
        <w:rPr>
          <w:rFonts w:ascii="Arial" w:cs="Arial" w:eastAsia="Arial" w:hAnsi="Arial"/>
          <w:sz w:val="20"/>
          <w:szCs w:val="20"/>
        </w:rPr>
        <w:t xml:space="preserve">A stable isotope-labeled surrogate mAb internal standard (CRV-IS-001) was used to correct for variability in sample processing and assay performance. CRV-IS-001 shares identical PD-1 binding and IgG4 structure with Cervimab but contains 13C/15N-labeled lysine residues (confirmed by mass spectrometry). The IS was spiked into all calibration standards, QC samples, and study samples at a fixed concentration of 1.00 µg/mL prior to plate coating.</w:t>
      </w:r>
    </w:p>
    <w:p>
      <w:r>
        <w:br w:type="page"/>
      </w:r>
    </w:p>
    <w:p>
      <w:pPr>
        <w:pStyle w:val="Heading1"/>
        <w:spacing w:before="360" w:after="120"/>
      </w:pPr>
      <w:r>
        <w:rPr>
          <w:rFonts w:ascii="Arial" w:cs="Arial" w:eastAsia="Arial" w:hAnsi="Arial"/>
          <w:b/>
          <w:bCs/>
          <w:color w:val="1F4E79"/>
          <w:sz w:val="28"/>
          <w:szCs w:val="28"/>
        </w:rPr>
        <w:t xml:space="preserve">5. SAMPLE PREPARATION PROCEDURE</w:t>
      </w:r>
    </w:p>
    <w:p>
      <w:pPr>
        <w:pStyle w:val="Heading2"/>
        <w:spacing w:before="280" w:after="100"/>
      </w:pPr>
      <w:r>
        <w:rPr>
          <w:rFonts w:ascii="Arial" w:cs="Arial" w:eastAsia="Arial" w:hAnsi="Arial"/>
          <w:b/>
          <w:bCs/>
          <w:color w:val="2E75B6"/>
          <w:sz w:val="24"/>
          <w:szCs w:val="24"/>
        </w:rPr>
        <w:t xml:space="preserve">5.1 Overview</w:t>
      </w:r>
    </w:p>
    <w:p>
      <w:pPr>
        <w:spacing w:before="80" w:after="80"/>
      </w:pPr>
      <w:r>
        <w:rPr>
          <w:rFonts w:ascii="Arial" w:cs="Arial" w:eastAsia="Arial" w:hAnsi="Arial"/>
          <w:sz w:val="20"/>
          <w:szCs w:val="20"/>
        </w:rPr>
        <w:t xml:space="preserve">Whole human K2-EDTA plasma samples are processed using a direct sandwich LBA/ECL format on Meso Scale Discovery (MSD) High Bind plates. No protein precipitation or liquid-liquid extraction is required. Samples are diluted 1:4 (minimum required dilution, MRD) in matrix diluent (1% BSA/PBST) prior to analysis.</w:t>
      </w:r>
    </w:p>
    <w:p>
      <w:pPr>
        <w:pStyle w:val="Heading2"/>
        <w:spacing w:before="280" w:after="100"/>
      </w:pPr>
      <w:r>
        <w:rPr>
          <w:rFonts w:ascii="Arial" w:cs="Arial" w:eastAsia="Arial" w:hAnsi="Arial"/>
          <w:b/>
          <w:bCs/>
          <w:color w:val="2E75B6"/>
          <w:sz w:val="24"/>
          <w:szCs w:val="24"/>
        </w:rPr>
        <w:t xml:space="preserve">5.2 Step-by-Step Procedure</w:t>
      </w:r>
    </w:p>
    <w:p>
      <w:pPr>
        <w:spacing w:before="60" w:after="60"/>
      </w:pPr>
      <w:r>
        <w:rPr>
          <w:rFonts w:ascii="Arial" w:cs="Arial" w:eastAsia="Arial" w:hAnsi="Arial"/>
          <w:b/>
          <w:bCs/>
          <w:sz w:val="20"/>
          <w:szCs w:val="20"/>
        </w:rPr>
        <w:t xml:space="preserve">Step 1: </w:t>
      </w:r>
      <w:r>
        <w:rPr>
          <w:rFonts w:ascii="Arial" w:cs="Arial" w:eastAsia="Arial" w:hAnsi="Arial"/>
          <w:sz w:val="20"/>
          <w:szCs w:val="20"/>
        </w:rPr>
        <w:t xml:space="preserve">Coat MSD plates (10 µg/mL anti-PD-1 capture antibody, 50 µL/well, overnight at 4°C).</w:t>
      </w:r>
    </w:p>
    <w:p>
      <w:pPr>
        <w:spacing w:before="60" w:after="60"/>
      </w:pPr>
      <w:r>
        <w:rPr>
          <w:rFonts w:ascii="Arial" w:cs="Arial" w:eastAsia="Arial" w:hAnsi="Arial"/>
          <w:b/>
          <w:bCs/>
          <w:sz w:val="20"/>
          <w:szCs w:val="20"/>
        </w:rPr>
        <w:t xml:space="preserve">Step 2: </w:t>
      </w:r>
      <w:r>
        <w:rPr>
          <w:rFonts w:ascii="Arial" w:cs="Arial" w:eastAsia="Arial" w:hAnsi="Arial"/>
          <w:sz w:val="20"/>
          <w:szCs w:val="20"/>
        </w:rPr>
        <w:t xml:space="preserve">Wash 3× with PBST (300 µL/well) on plate washer.</w:t>
      </w:r>
    </w:p>
    <w:p>
      <w:pPr>
        <w:spacing w:before="60" w:after="60"/>
      </w:pPr>
      <w:r>
        <w:rPr>
          <w:rFonts w:ascii="Arial" w:cs="Arial" w:eastAsia="Arial" w:hAnsi="Arial"/>
          <w:b/>
          <w:bCs/>
          <w:sz w:val="20"/>
          <w:szCs w:val="20"/>
        </w:rPr>
        <w:t xml:space="preserve">Step 3: </w:t>
      </w:r>
      <w:r>
        <w:rPr>
          <w:rFonts w:ascii="Arial" w:cs="Arial" w:eastAsia="Arial" w:hAnsi="Arial"/>
          <w:sz w:val="20"/>
          <w:szCs w:val="20"/>
        </w:rPr>
        <w:t xml:space="preserve">Block plates (150 µL/well Blocker A, 1 hour RT, 600 rpm orbital shaker).</w:t>
      </w:r>
    </w:p>
    <w:p>
      <w:pPr>
        <w:spacing w:before="60" w:after="60"/>
      </w:pPr>
      <w:r>
        <w:rPr>
          <w:rFonts w:ascii="Arial" w:cs="Arial" w:eastAsia="Arial" w:hAnsi="Arial"/>
          <w:b/>
          <w:bCs/>
          <w:sz w:val="20"/>
          <w:szCs w:val="20"/>
        </w:rPr>
        <w:t xml:space="preserve">Step 4: </w:t>
      </w:r>
      <w:r>
        <w:rPr>
          <w:rFonts w:ascii="Arial" w:cs="Arial" w:eastAsia="Arial" w:hAnsi="Arial"/>
          <w:sz w:val="20"/>
          <w:szCs w:val="20"/>
        </w:rPr>
        <w:t xml:space="preserve">Thaw plasma samples and dilute 1:4 in diluent; add CRV-IS-001 at 1.00 µg/mL final.</w:t>
      </w:r>
    </w:p>
    <w:p>
      <w:pPr>
        <w:spacing w:before="60" w:after="60"/>
      </w:pPr>
      <w:r>
        <w:rPr>
          <w:rFonts w:ascii="Arial" w:cs="Arial" w:eastAsia="Arial" w:hAnsi="Arial"/>
          <w:b/>
          <w:bCs/>
          <w:sz w:val="20"/>
          <w:szCs w:val="20"/>
        </w:rPr>
        <w:t xml:space="preserve">Step 5: </w:t>
      </w:r>
      <w:r>
        <w:rPr>
          <w:rFonts w:ascii="Arial" w:cs="Arial" w:eastAsia="Arial" w:hAnsi="Arial"/>
          <w:sz w:val="20"/>
          <w:szCs w:val="20"/>
        </w:rPr>
        <w:t xml:space="preserve">Apply calibrators, QCs, and diluted study samples (50 µL/well) in duplicate; incubate 2 hours RT, 600 rpm.</w:t>
      </w:r>
    </w:p>
    <w:p>
      <w:pPr>
        <w:spacing w:before="60" w:after="60"/>
      </w:pPr>
      <w:r>
        <w:rPr>
          <w:rFonts w:ascii="Arial" w:cs="Arial" w:eastAsia="Arial" w:hAnsi="Arial"/>
          <w:b/>
          <w:bCs/>
          <w:sz w:val="20"/>
          <w:szCs w:val="20"/>
        </w:rPr>
        <w:t xml:space="preserve">Step 6: </w:t>
      </w:r>
      <w:r>
        <w:rPr>
          <w:rFonts w:ascii="Arial" w:cs="Arial" w:eastAsia="Arial" w:hAnsi="Arial"/>
          <w:sz w:val="20"/>
          <w:szCs w:val="20"/>
        </w:rPr>
        <w:t xml:space="preserve">Wash 3× PBST; add 1 µg/mL SULFO-TAG detection antibody (50 µL/well); incubate 1 hour RT, 600 rpm.</w:t>
      </w:r>
    </w:p>
    <w:p>
      <w:pPr>
        <w:spacing w:before="60" w:after="60"/>
      </w:pPr>
      <w:r>
        <w:rPr>
          <w:rFonts w:ascii="Arial" w:cs="Arial" w:eastAsia="Arial" w:hAnsi="Arial"/>
          <w:b/>
          <w:bCs/>
          <w:sz w:val="20"/>
          <w:szCs w:val="20"/>
        </w:rPr>
        <w:t xml:space="preserve">Step 7: </w:t>
      </w:r>
      <w:r>
        <w:rPr>
          <w:rFonts w:ascii="Arial" w:cs="Arial" w:eastAsia="Arial" w:hAnsi="Arial"/>
          <w:sz w:val="20"/>
          <w:szCs w:val="20"/>
        </w:rPr>
        <w:t xml:space="preserve">Wash 3× PBST; add 150 µL/well MSD GOLD Read Buffer B; read immediately on SECTOR S 600.</w:t>
      </w:r>
    </w:p>
    <w:p>
      <w:pPr>
        <w:spacing w:before="60" w:after="60"/>
      </w:pPr>
      <w:r>
        <w:rPr>
          <w:rFonts w:ascii="Arial" w:cs="Arial" w:eastAsia="Arial" w:hAnsi="Arial"/>
          <w:b/>
          <w:bCs/>
          <w:sz w:val="20"/>
          <w:szCs w:val="20"/>
        </w:rPr>
        <w:t xml:space="preserve">Step 8: </w:t>
      </w:r>
      <w:r>
        <w:rPr>
          <w:rFonts w:ascii="Arial" w:cs="Arial" w:eastAsia="Arial" w:hAnsi="Arial"/>
          <w:sz w:val="20"/>
          <w:szCs w:val="20"/>
        </w:rPr>
        <w:t xml:space="preserve">Calculate concentrations using 4-parameter logistic (4-PL) curve fit in SoftMax Pro v7.1.2.</w:t>
      </w:r>
    </w:p>
    <w:p>
      <w:r>
        <w:br w:type="page"/>
      </w:r>
    </w:p>
    <w:p>
      <w:pPr>
        <w:pStyle w:val="Heading1"/>
        <w:spacing w:before="360" w:after="120"/>
      </w:pPr>
      <w:r>
        <w:rPr>
          <w:rFonts w:ascii="Arial" w:cs="Arial" w:eastAsia="Arial" w:hAnsi="Arial"/>
          <w:b/>
          <w:bCs/>
          <w:color w:val="1F4E79"/>
          <w:sz w:val="28"/>
          <w:szCs w:val="28"/>
        </w:rPr>
        <w:t xml:space="preserve">6. CALIBRATION STANDARDS AND QUALITY CONTROLS</w:t>
      </w:r>
    </w:p>
    <w:p>
      <w:pPr>
        <w:pStyle w:val="Heading2"/>
        <w:spacing w:before="280" w:after="100"/>
      </w:pPr>
      <w:r>
        <w:rPr>
          <w:rFonts w:ascii="Arial" w:cs="Arial" w:eastAsia="Arial" w:hAnsi="Arial"/>
          <w:b/>
          <w:bCs/>
          <w:color w:val="2E75B6"/>
          <w:sz w:val="24"/>
          <w:szCs w:val="24"/>
        </w:rPr>
        <w:t xml:space="preserve">6.1 Calibration Curve</w:t>
      </w:r>
    </w:p>
    <w:p>
      <w:pPr>
        <w:spacing w:before="80" w:after="80"/>
      </w:pPr>
      <w:r>
        <w:rPr>
          <w:rFonts w:ascii="Arial" w:cs="Arial" w:eastAsia="Arial" w:hAnsi="Arial"/>
          <w:sz w:val="20"/>
          <w:szCs w:val="20"/>
        </w:rPr>
        <w:t xml:space="preserve">Calibration standards (CS) were prepared by serial dilution of Cervimab reference standard (CRV-RS-001) in blank human K2-EDTA plasma. Eight non-zero calibration levels were used spanning the dynamic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Level</w:t>
            </w:r>
          </w:p>
        </w:tc>
        <w:tc>
          <w:tcPr>
            <w:tcW w:type="dxa" w:w="37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Nominal Concentration (µg/mL)</w:t>
            </w:r>
          </w:p>
        </w:tc>
        <w:tc>
          <w:tcPr>
            <w:tcW w:type="dxa" w:w="37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Accepted Range (±15%; ±20% at LLOQ)</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CS1 (LLOQ)</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0.100</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0.080 – 0.120</w:t>
            </w:r>
          </w:p>
        </w:tc>
      </w:tr>
      <w:tr>
        <w:tc>
          <w:tcPr>
            <w:tcW w:type="dxa" w:w="1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CS2</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0.250</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0.213 – 0.288</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CS3</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0.750</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0.638 – 0.863</w:t>
            </w:r>
          </w:p>
        </w:tc>
      </w:tr>
      <w:tr>
        <w:tc>
          <w:tcPr>
            <w:tcW w:type="dxa" w:w="1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CS4</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2.50</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2.13 – 2.88</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CS5</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7.50</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6.38 – 8.63</w:t>
            </w:r>
          </w:p>
        </w:tc>
      </w:tr>
      <w:tr>
        <w:tc>
          <w:tcPr>
            <w:tcW w:type="dxa" w:w="1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CS6</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20.0</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17.0 – 23.0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CS7</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60.0</w:t>
            </w:r>
          </w:p>
        </w:tc>
        <w:tc>
          <w:tcPr>
            <w:tcW w:type="dxa" w:w="37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51.0 – 69.0</w:t>
            </w:r>
          </w:p>
        </w:tc>
      </w:tr>
      <w:tr>
        <w:tc>
          <w:tcPr>
            <w:tcW w:type="dxa" w:w="1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CS8 (ULOQ)</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37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85.0 – 115</w:t>
            </w:r>
          </w:p>
        </w:tc>
      </w:tr>
    </w:tbl>
    <w:p>
      <w:pPr>
        <w:spacing w:before="60" w:after="60"/>
      </w:pPr>
      <w:r>
        <w:t xml:space="preserve"/>
      </w:r>
    </w:p>
    <w:p>
      <w:pPr>
        <w:pStyle w:val="Heading2"/>
        <w:spacing w:before="280" w:after="100"/>
      </w:pPr>
      <w:r>
        <w:rPr>
          <w:rFonts w:ascii="Arial" w:cs="Arial" w:eastAsia="Arial" w:hAnsi="Arial"/>
          <w:b/>
          <w:bCs/>
          <w:color w:val="2E75B6"/>
          <w:sz w:val="24"/>
          <w:szCs w:val="24"/>
        </w:rPr>
        <w:t xml:space="preserve">6.2 Quality Control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3900"/>
      </w:tblGrid>
      <w:tr>
        <w:trPr>
          <w:tblHeader/>
        </w:trPr>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QC Level</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Nominal Concentration (µg/mL)</w:t>
            </w:r>
          </w:p>
        </w:tc>
        <w:tc>
          <w:tcPr>
            <w:tcW w:type="dxa" w:w="3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Purpose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LLOQ QC</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0.100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Lower limit precision/accuracy confirmation</w:t>
            </w:r>
          </w:p>
        </w:tc>
      </w:tr>
      <w:tr>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Low QC (QCL)</w:t>
            </w:r>
          </w:p>
        </w:tc>
        <w:tc>
          <w:tcPr>
            <w:tcW w:type="dxa" w:w="3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0.300</w:t>
            </w:r>
          </w:p>
        </w:tc>
        <w:tc>
          <w:tcPr>
            <w:tcW w:type="dxa" w:w="3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Low end performance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Mid QC (QCM)</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Mid-range performance</w:t>
            </w:r>
          </w:p>
        </w:tc>
      </w:tr>
      <w:tr>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High QC (QCH)</w:t>
            </w:r>
          </w:p>
        </w:tc>
        <w:tc>
          <w:tcPr>
            <w:tcW w:type="dxa" w:w="3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80.0</w:t>
            </w:r>
          </w:p>
        </w:tc>
        <w:tc>
          <w:tcPr>
            <w:tcW w:type="dxa" w:w="3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High-end performance</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Dilution QC (QCDIL)</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500 → nominal 10.0 (1:50 dilution)</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Dilution integrity (high concentration)</w:t>
            </w:r>
          </w:p>
        </w:tc>
      </w:tr>
    </w:tbl>
    <w:p>
      <w:r>
        <w:br w:type="page"/>
      </w:r>
    </w:p>
    <w:p>
      <w:pPr>
        <w:pStyle w:val="Heading1"/>
        <w:spacing w:before="360" w:after="120"/>
      </w:pPr>
      <w:r>
        <w:rPr>
          <w:rFonts w:ascii="Arial" w:cs="Arial" w:eastAsia="Arial" w:hAnsi="Arial"/>
          <w:b/>
          <w:bCs/>
          <w:color w:val="1F4E79"/>
          <w:sz w:val="28"/>
          <w:szCs w:val="28"/>
        </w:rPr>
        <w:t xml:space="preserve">7. VALIDATION PARAMETERS AND RESULTS</w:t>
      </w:r>
    </w:p>
    <w:p>
      <w:pPr>
        <w:pStyle w:val="Heading2"/>
        <w:spacing w:before="280" w:after="100"/>
      </w:pPr>
      <w:r>
        <w:rPr>
          <w:rFonts w:ascii="Arial" w:cs="Arial" w:eastAsia="Arial" w:hAnsi="Arial"/>
          <w:b/>
          <w:bCs/>
          <w:color w:val="2E75B6"/>
          <w:sz w:val="24"/>
          <w:szCs w:val="24"/>
        </w:rPr>
        <w:t xml:space="preserve">7.1 Selectivity</w:t>
      </w:r>
    </w:p>
    <w:p>
      <w:pPr>
        <w:spacing w:before="80" w:after="80"/>
      </w:pPr>
      <w:r>
        <w:rPr>
          <w:rFonts w:ascii="Arial" w:cs="Arial" w:eastAsia="Arial" w:hAnsi="Arial"/>
          <w:sz w:val="20"/>
          <w:szCs w:val="20"/>
        </w:rPr>
        <w:t xml:space="preserve">Selectivity was evaluated using K2-EDTA plasma from six individual donors (3M, 3F). Blank plasma from each donor was spiked with Cervimab at the LLOQ (0.100 µg/mL) and processed per the standard method. Acceptance criterion: ≥80% of LLOQ replicates must be within ±20% of nominal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rPr>
          <w:tblHeader/>
        </w:trP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Donor</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Sex</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Measured Conc (µg/mL)</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Nominal</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Pass/Fail</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Donor 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0.097</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97.0%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Donor 2</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0.103</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103%</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Donor 3</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0.099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99.0%</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Donor 4</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F</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0.095</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95.0%</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Donor 5</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0.101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Donor 6</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F</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0.098</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98.0%</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6/6 donors passed. Selectivity acceptance criterion met.</w:t>
      </w:r>
    </w:p>
    <w:p>
      <w:pPr>
        <w:pStyle w:val="Heading2"/>
        <w:spacing w:before="280" w:after="100"/>
      </w:pPr>
      <w:r>
        <w:rPr>
          <w:rFonts w:ascii="Arial" w:cs="Arial" w:eastAsia="Arial" w:hAnsi="Arial"/>
          <w:b/>
          <w:bCs/>
          <w:color w:val="2E75B6"/>
          <w:sz w:val="24"/>
          <w:szCs w:val="24"/>
        </w:rPr>
        <w:t xml:space="preserve">7.2 Sensitivity — Lower Limit of Quantification (LLOQ)</w:t>
      </w:r>
    </w:p>
    <w:p>
      <w:pPr>
        <w:spacing w:before="80" w:after="80"/>
      </w:pPr>
      <w:r>
        <w:rPr>
          <w:rFonts w:ascii="Arial" w:cs="Arial" w:eastAsia="Arial" w:hAnsi="Arial"/>
          <w:sz w:val="20"/>
          <w:szCs w:val="20"/>
        </w:rPr>
        <w:t xml:space="preserve">LLOQ was determined as the lowest calibration concentration at which ≥5 of 6 replicates demonstrate accuracy within ±20% of nominal and CV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Parameter</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Value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LLOQ (nominal)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0.100 µg/mL</w:t>
            </w:r>
          </w:p>
        </w:tc>
      </w:tr>
      <w:tr>
        <w:tc>
          <w:tcPr>
            <w:tcW w:type="dxa" w:w="4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Mean Measured Concentration</w:t>
            </w:r>
          </w:p>
        </w:tc>
        <w:tc>
          <w:tcPr>
            <w:tcW w:type="dxa" w:w="4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0.099 µg/mL</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Mean Accuracy (%RE)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 (within ±20% criterion)</w:t>
            </w:r>
          </w:p>
        </w:tc>
      </w:tr>
      <w:tr>
        <w:tc>
          <w:tcPr>
            <w:tcW w:type="dxa" w:w="4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Intra-day CV</w:t>
            </w:r>
          </w:p>
        </w:tc>
        <w:tc>
          <w:tcPr>
            <w:tcW w:type="dxa" w:w="4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8.3% (≤20% criterion)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Signal-to-Noise Ratio</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9.4:1</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LLOQ of 0.100 µg/mL is confirmed. All acceptance criteria met.</w:t>
      </w:r>
    </w:p>
    <w:p>
      <w:pPr>
        <w:pStyle w:val="Heading2"/>
        <w:spacing w:before="280" w:after="100"/>
      </w:pPr>
      <w:r>
        <w:rPr>
          <w:rFonts w:ascii="Arial" w:cs="Arial" w:eastAsia="Arial" w:hAnsi="Arial"/>
          <w:b/>
          <w:bCs/>
          <w:color w:val="2E75B6"/>
          <w:sz w:val="24"/>
          <w:szCs w:val="24"/>
        </w:rPr>
        <w:t xml:space="preserve">7.3 Linearity and Calibration Curve</w:t>
      </w:r>
    </w:p>
    <w:p>
      <w:pPr>
        <w:spacing w:before="80" w:after="80"/>
      </w:pPr>
      <w:r>
        <w:rPr>
          <w:rFonts w:ascii="Arial" w:cs="Arial" w:eastAsia="Arial" w:hAnsi="Arial"/>
          <w:sz w:val="20"/>
          <w:szCs w:val="20"/>
        </w:rPr>
        <w:t xml:space="preserve">The calibration curve was evaluated over 6 independent runs. Each run included 8 non-zero calibration levels with a minimum of 6 standards required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000"/>
        <w:gridCol w:w="2400"/>
        <w:gridCol w:w="1560"/>
        <w:gridCol w:w="110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Run</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Curve Model</w:t>
            </w:r>
          </w:p>
        </w:tc>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R²</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Back-calculated Accuracy Range (%RE)</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Standards Passing</w:t>
            </w:r>
          </w:p>
        </w:tc>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Run 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4-PL, 1/y² weighting</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0.9991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-4.2% to +6.8%</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Run 2</w:t>
            </w:r>
          </w:p>
        </w:tc>
        <w:tc>
          <w:tcPr>
            <w:tcW w:type="dxa" w:w="2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4-PL, 1/y² weighting</w:t>
            </w:r>
          </w:p>
        </w:tc>
        <w:tc>
          <w:tcPr>
            <w:tcW w:type="dxa" w:w="1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0.9988</w:t>
            </w:r>
          </w:p>
        </w:tc>
        <w:tc>
          <w:tcPr>
            <w:tcW w:type="dxa" w:w="2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-7.1% to +5.2%</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1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Run 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4-PL, 1/y² weighting</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0.9992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-3.8% to +4.9%</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Run 4</w:t>
            </w:r>
          </w:p>
        </w:tc>
        <w:tc>
          <w:tcPr>
            <w:tcW w:type="dxa" w:w="2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4-PL, 1/y² weighting</w:t>
            </w:r>
          </w:p>
        </w:tc>
        <w:tc>
          <w:tcPr>
            <w:tcW w:type="dxa" w:w="1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0.9990</w:t>
            </w:r>
          </w:p>
        </w:tc>
        <w:tc>
          <w:tcPr>
            <w:tcW w:type="dxa" w:w="2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-5.0% to +7.3%</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1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Run 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4-PL, 1/y² weighting</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0.9987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-6.2% to +8.1%</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7/8 (1 excluded)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Run 6</w:t>
            </w:r>
          </w:p>
        </w:tc>
        <w:tc>
          <w:tcPr>
            <w:tcW w:type="dxa" w:w="2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4-PL, 1/y² weighting</w:t>
            </w:r>
          </w:p>
        </w:tc>
        <w:tc>
          <w:tcPr>
            <w:tcW w:type="dxa" w:w="1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0.9993</w:t>
            </w:r>
          </w:p>
        </w:tc>
        <w:tc>
          <w:tcPr>
            <w:tcW w:type="dxa" w:w="2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-4.5% to +5.5%</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8/8</w:t>
            </w:r>
          </w:p>
        </w:tc>
        <w:tc>
          <w:tcPr>
            <w:tcW w:type="dxa" w:w="1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All 6 calibration runs passed. R² ≥0.9985 in all runs. Linearity acceptance criteria met across the validated range 0.100–100 µg/mL.</w:t>
      </w:r>
    </w:p>
    <w:p>
      <w:pPr>
        <w:pStyle w:val="Heading2"/>
        <w:spacing w:before="280" w:after="100"/>
      </w:pPr>
      <w:r>
        <w:rPr>
          <w:rFonts w:ascii="Arial" w:cs="Arial" w:eastAsia="Arial" w:hAnsi="Arial"/>
          <w:b/>
          <w:bCs/>
          <w:color w:val="2E75B6"/>
          <w:sz w:val="24"/>
          <w:szCs w:val="24"/>
        </w:rPr>
        <w:t xml:space="preserve">7.4 Accuracy and Precision (Intra-day and Inter-day)</w:t>
      </w:r>
    </w:p>
    <w:p>
      <w:pPr>
        <w:spacing w:before="80" w:after="80"/>
      </w:pPr>
      <w:r>
        <w:rPr>
          <w:rFonts w:ascii="Arial" w:cs="Arial" w:eastAsia="Arial" w:hAnsi="Arial"/>
          <w:sz w:val="20"/>
          <w:szCs w:val="20"/>
        </w:rPr>
        <w:t xml:space="preserve">Accuracy (%RE) and precision (%CV) were evaluated at LLOQ, QCL, QCM, and QCH across 3 intra-day runs (n=6/level/run) and 6 inter-day runs. Acceptance: %RE within ±15% (±20% at LLOQ); %CV ≤15% (≤20% at LLOQ).</w:t>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680"/>
        <w:gridCol w:w="1400"/>
        <w:gridCol w:w="1200"/>
        <w:gridCol w:w="1400"/>
        <w:gridCol w:w="1200"/>
        <w:gridCol w:w="900"/>
      </w:tblGrid>
      <w:tr>
        <w:trPr>
          <w:tblHeader/>
        </w:trP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QC Level</w:t>
            </w:r>
          </w:p>
        </w:tc>
        <w:tc>
          <w:tcPr>
            <w:tcW w:type="dxa" w:w="1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Nominal (µg/mL)</w:t>
            </w:r>
          </w:p>
        </w:tc>
        <w:tc>
          <w:tcPr>
            <w:tcW w:type="dxa" w:w="1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Mean Conc (µg/mL)</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Intra-day %RE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Intra-day %CV</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Inter-day %RE</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Inter-day %CV</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LLOQ QC</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0.100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0.103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QCL</w:t>
            </w:r>
          </w:p>
        </w:tc>
        <w:tc>
          <w:tcPr>
            <w:tcW w:type="dxa" w:w="1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0.300</w:t>
            </w:r>
          </w:p>
        </w:tc>
        <w:tc>
          <w:tcPr>
            <w:tcW w:type="dxa" w:w="1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0.297</w:t>
            </w:r>
          </w:p>
        </w:tc>
        <w:tc>
          <w:tcPr>
            <w:tcW w:type="dxa" w:w="1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-1.0%</w:t>
            </w:r>
          </w:p>
        </w:tc>
        <w:tc>
          <w:tcPr>
            <w:tcW w:type="dxa" w:w="1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6.2%</w:t>
            </w:r>
          </w:p>
        </w:tc>
        <w:tc>
          <w:tcPr>
            <w:tcW w:type="dxa" w:w="1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-2.1%</w:t>
            </w:r>
          </w:p>
        </w:tc>
        <w:tc>
          <w:tcPr>
            <w:tcW w:type="dxa" w:w="1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7.8%</w:t>
            </w:r>
          </w:p>
        </w:tc>
        <w:tc>
          <w:tcPr>
            <w:tcW w:type="dxa" w:w="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QCM</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5.9%</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QCH</w:t>
            </w:r>
          </w:p>
        </w:tc>
        <w:tc>
          <w:tcPr>
            <w:tcW w:type="dxa" w:w="1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80.0</w:t>
            </w:r>
          </w:p>
        </w:tc>
        <w:tc>
          <w:tcPr>
            <w:tcW w:type="dxa" w:w="168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79.2</w:t>
            </w:r>
          </w:p>
        </w:tc>
        <w:tc>
          <w:tcPr>
            <w:tcW w:type="dxa" w:w="1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-1.0%</w:t>
            </w:r>
          </w:p>
        </w:tc>
        <w:tc>
          <w:tcPr>
            <w:tcW w:type="dxa" w:w="1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3.9%</w:t>
            </w:r>
          </w:p>
        </w:tc>
        <w:tc>
          <w:tcPr>
            <w:tcW w:type="dxa" w:w="1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-1.8%</w:t>
            </w:r>
          </w:p>
        </w:tc>
        <w:tc>
          <w:tcPr>
            <w:tcW w:type="dxa" w:w="1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4.8%</w:t>
            </w:r>
          </w:p>
        </w:tc>
        <w:tc>
          <w:tcPr>
            <w:tcW w:type="dxa" w:w="9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All accuracy and precision acceptance criteria met at all QC levels. Inter-day variability is low, confirming assay robustness across the analytical run schedule.</w:t>
      </w:r>
    </w:p>
    <w:p>
      <w:pPr>
        <w:pStyle w:val="Heading2"/>
        <w:spacing w:before="280" w:after="100"/>
      </w:pPr>
      <w:r>
        <w:rPr>
          <w:rFonts w:ascii="Arial" w:cs="Arial" w:eastAsia="Arial" w:hAnsi="Arial"/>
          <w:b/>
          <w:bCs/>
          <w:color w:val="2E75B6"/>
          <w:sz w:val="24"/>
          <w:szCs w:val="24"/>
        </w:rPr>
        <w:t xml:space="preserve">7.5 Matrix Effect and Ion Suppression</w:t>
      </w:r>
    </w:p>
    <w:p>
      <w:pPr>
        <w:spacing w:before="80" w:after="80"/>
      </w:pPr>
      <w:r>
        <w:rPr>
          <w:rFonts w:ascii="Arial" w:cs="Arial" w:eastAsia="Arial" w:hAnsi="Arial"/>
          <w:sz w:val="20"/>
          <w:szCs w:val="20"/>
        </w:rPr>
        <w:t xml:space="preserve">Matrix effects were assessed using post-extraction addition (PEA) of Cervimab at QCL and QCH concentrations into extracts from 6 individual donors compared to neat calibration solution. The matrix factor (MF) and IS-normalized MF were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2160"/>
        <w:gridCol w:w="180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QC Level</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Donor</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Matrix Factor</w:t>
            </w:r>
          </w:p>
        </w:tc>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IS-Normalized MF</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Criterion (0.85–1.15)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QCL (0.300 µg/mL)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Pooled n=6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0.96</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QCH (80.0 µg/mL)</w:t>
            </w:r>
          </w:p>
        </w:tc>
        <w:tc>
          <w:tcPr>
            <w:tcW w:type="dxa" w:w="14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Pooled n=6</w:t>
            </w:r>
          </w:p>
        </w:tc>
        <w:tc>
          <w:tcPr>
            <w:tcW w:type="dxa" w:w="1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0.94</w:t>
            </w:r>
          </w:p>
        </w:tc>
        <w:tc>
          <w:tcPr>
            <w:tcW w:type="dxa" w:w="21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0.97</w:t>
            </w:r>
          </w:p>
        </w:tc>
        <w:tc>
          <w:tcPr>
            <w:tcW w:type="dxa" w:w="1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IS-normalized matrix factors within 0.85–1.15 at both QC levels. Matrix effect acceptance criterion met for all individual donors.</w:t>
      </w:r>
    </w:p>
    <w:p>
      <w:pPr>
        <w:pStyle w:val="Heading2"/>
        <w:spacing w:before="280" w:after="100"/>
      </w:pPr>
      <w:r>
        <w:rPr>
          <w:rFonts w:ascii="Arial" w:cs="Arial" w:eastAsia="Arial" w:hAnsi="Arial"/>
          <w:b/>
          <w:bCs/>
          <w:color w:val="2E75B6"/>
          <w:sz w:val="24"/>
          <w:szCs w:val="24"/>
        </w:rPr>
        <w:t xml:space="preserve">7.6 Recovery</w:t>
      </w:r>
    </w:p>
    <w:p>
      <w:pPr>
        <w:spacing w:before="80" w:after="80"/>
      </w:pPr>
      <w:r>
        <w:rPr>
          <w:rFonts w:ascii="Arial" w:cs="Arial" w:eastAsia="Arial" w:hAnsi="Arial"/>
          <w:sz w:val="20"/>
          <w:szCs w:val="20"/>
        </w:rPr>
        <w:t xml:space="preserve">Extraction recovery was assessed by comparing mean response of extracted QC samples (n=6 per level) to unextracted reference samples representing 100% recovery at QCL, QCM, and QCH.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QC Level</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Mean Recovery (%)</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CV (%)</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Acceptance (&gt;50%, consistent)</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QCL (0.300 µg/mL)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78.2%</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QCM (10.0 µg/mL)</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81.4%</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4.2%</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QCH (80.0 µg/mL)</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79.8%</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3.9%</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Recovery is consistent (range 78.2–81.4%) and well above the ≥50% acceptance criterion. The IS recovery was 80.1% (CV 4.6%), confirming effective normalization.</w:t>
      </w:r>
    </w:p>
    <w:p>
      <w:pPr>
        <w:pStyle w:val="Heading2"/>
        <w:spacing w:before="280" w:after="100"/>
      </w:pPr>
      <w:r>
        <w:rPr>
          <w:rFonts w:ascii="Arial" w:cs="Arial" w:eastAsia="Arial" w:hAnsi="Arial"/>
          <w:b/>
          <w:bCs/>
          <w:color w:val="2E75B6"/>
          <w:sz w:val="24"/>
          <w:szCs w:val="24"/>
        </w:rPr>
        <w:t xml:space="preserve">7.7 Dilution Integrity</w:t>
      </w:r>
    </w:p>
    <w:p>
      <w:pPr>
        <w:spacing w:before="80" w:after="80"/>
      </w:pPr>
      <w:r>
        <w:rPr>
          <w:rFonts w:ascii="Arial" w:cs="Arial" w:eastAsia="Arial" w:hAnsi="Arial"/>
          <w:sz w:val="20"/>
          <w:szCs w:val="20"/>
        </w:rPr>
        <w:t xml:space="preserve">Dilution integrity was tested using a Dilution QC (QCDIL) at 500 µg/mL diluted 1:50 in blank plasma to achieve a nominal concentration of 10.0 µg/mL (equivalent to QCM). Acceptance: %RE within ±15%.</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gridCol w:w="1000"/>
      </w:tblGrid>
      <w:tr>
        <w:trPr>
          <w:tblHeader/>
        </w:trP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Dilution Factor</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Nominal Post-Dilution (µg/mL)</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Mean Measured (µg/mL)</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%RE</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CV (%)</w:t>
            </w:r>
          </w:p>
        </w:tc>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1:10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50.0</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49.7</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-0.6%</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1:50</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10.0</w:t>
            </w:r>
          </w:p>
        </w:tc>
        <w:tc>
          <w:tcPr>
            <w:tcW w:type="dxa" w:w="2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10.3</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5.2%</w:t>
            </w:r>
          </w:p>
        </w:tc>
        <w:tc>
          <w:tcPr>
            <w:tcW w:type="dxa" w:w="10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Dilution integrity confirmed for up to 1:50 dilution. Samples above the ULOQ (100 µg/mL) may be diluted up to 1:50 with retained accuracy.</w:t>
      </w:r>
    </w:p>
    <w:p>
      <w:pPr>
        <w:pStyle w:val="Heading2"/>
        <w:spacing w:before="280" w:after="100"/>
      </w:pPr>
      <w:r>
        <w:rPr>
          <w:rFonts w:ascii="Arial" w:cs="Arial" w:eastAsia="Arial" w:hAnsi="Arial"/>
          <w:b/>
          <w:bCs/>
          <w:color w:val="2E75B6"/>
          <w:sz w:val="24"/>
          <w:szCs w:val="24"/>
        </w:rPr>
        <w:t xml:space="preserve">7.8 Stability</w:t>
      </w:r>
    </w:p>
    <w:p>
      <w:pPr>
        <w:spacing w:before="80" w:after="80"/>
      </w:pPr>
      <w:r>
        <w:rPr>
          <w:rFonts w:ascii="Arial" w:cs="Arial" w:eastAsia="Arial" w:hAnsi="Arial"/>
          <w:sz w:val="20"/>
          <w:szCs w:val="20"/>
        </w:rPr>
        <w:t xml:space="preserve">Stability of Cervimab was evaluated under the following conditions. All experiments were performed at QCL (0.300 µg/mL) and QCH (80.0 µg/mL), n=3 replicates per level per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360"/>
        <w:gridCol w:w="1360"/>
        <w:gridCol w:w="134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Stability Condition</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Duration / Condition</w:t>
            </w:r>
          </w:p>
        </w:tc>
        <w:tc>
          <w:tcPr>
            <w:tcW w:type="dxa" w:w="1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QCL %RE</w:t>
            </w:r>
          </w:p>
        </w:tc>
        <w:tc>
          <w:tcPr>
            <w:tcW w:type="dxa" w:w="1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QCH %RE</w:t>
            </w:r>
          </w:p>
        </w:tc>
        <w:tc>
          <w:tcPr>
            <w:tcW w:type="dxa" w:w="1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 (±15%)?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Freeze-Thaw (3 cycles)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 cycles, -80°C ↔ RT (30 min)</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+4.2%</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+1.8%</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Bench-top (short-term)</w:t>
            </w:r>
          </w:p>
        </w:tc>
        <w:tc>
          <w:tcPr>
            <w:tcW w:type="dxa" w:w="25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24 hours at RT</w:t>
            </w:r>
          </w:p>
        </w:tc>
        <w:tc>
          <w:tcPr>
            <w:tcW w:type="dxa" w:w="1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+3.1%</w:t>
            </w:r>
          </w:p>
        </w:tc>
        <w:tc>
          <w:tcPr>
            <w:tcW w:type="dxa" w:w="1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+2.9%</w:t>
            </w:r>
          </w:p>
        </w:tc>
        <w:tc>
          <w:tcPr>
            <w:tcW w:type="dxa" w:w="1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Long-term (frozen)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90 days at -80°C</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+2.8%</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Processed Sample (autosampler)</w:t>
            </w:r>
          </w:p>
        </w:tc>
        <w:tc>
          <w:tcPr>
            <w:tcW w:type="dxa" w:w="25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24 hours at 4°C in diluent</w:t>
            </w:r>
          </w:p>
        </w:tc>
        <w:tc>
          <w:tcPr>
            <w:tcW w:type="dxa" w:w="1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+2.1%</w:t>
            </w:r>
          </w:p>
        </w:tc>
        <w:tc>
          <w:tcPr>
            <w:tcW w:type="dxa" w:w="1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+3.2%</w:t>
            </w:r>
          </w:p>
        </w:tc>
        <w:tc>
          <w:tcPr>
            <w:tcW w:type="dxa" w:w="1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Stock Solution Stability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 days at -20°C</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+1.9%</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+0.8%</w:t>
            </w:r>
          </w:p>
        </w:tc>
        <w:tc>
          <w:tcPr>
            <w:tcW w:type="dxa" w:w="1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8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Diluted Working Standard</w:t>
            </w:r>
          </w:p>
        </w:tc>
        <w:tc>
          <w:tcPr>
            <w:tcW w:type="dxa" w:w="25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8 hours at RT</w:t>
            </w:r>
          </w:p>
        </w:tc>
        <w:tc>
          <w:tcPr>
            <w:tcW w:type="dxa" w:w="1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+1.2%</w:t>
            </w:r>
          </w:p>
        </w:tc>
        <w:tc>
          <w:tcPr>
            <w:tcW w:type="dxa" w:w="13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+1.7%</w:t>
            </w:r>
          </w:p>
        </w:tc>
        <w:tc>
          <w:tcPr>
            <w:tcW w:type="dxa" w:w="134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20"/>
      </w:pPr>
      <w:r>
        <w:rPr>
          <w:rFonts w:ascii="Arial" w:cs="Arial" w:eastAsia="Arial" w:hAnsi="Arial"/>
          <w:b/>
          <w:bCs/>
          <w:sz w:val="20"/>
          <w:szCs w:val="20"/>
        </w:rPr>
        <w:t xml:space="preserve">Conclusion: </w:t>
      </w:r>
      <w:r>
        <w:rPr>
          <w:rFonts w:ascii="Arial" w:cs="Arial" w:eastAsia="Arial" w:hAnsi="Arial"/>
          <w:sz w:val="20"/>
          <w:szCs w:val="20"/>
        </w:rPr>
        <w:t xml:space="preserve">Cervimab is stable under all tested conditions. Study samples stored at -80°C and processed within 90 days of collection are within the validated stability window.</w:t>
      </w:r>
    </w:p>
    <w:p>
      <w:pPr>
        <w:pStyle w:val="Heading2"/>
        <w:spacing w:before="280" w:after="100"/>
      </w:pPr>
      <w:r>
        <w:rPr>
          <w:rFonts w:ascii="Arial" w:cs="Arial" w:eastAsia="Arial" w:hAnsi="Arial"/>
          <w:b/>
          <w:bCs/>
          <w:color w:val="2E75B6"/>
          <w:sz w:val="24"/>
          <w:szCs w:val="24"/>
        </w:rPr>
        <w:t xml:space="preserve">7.9 Carry-Over</w:t>
      </w:r>
    </w:p>
    <w:p>
      <w:pPr>
        <w:spacing w:before="80" w:after="80"/>
      </w:pPr>
      <w:r>
        <w:rPr>
          <w:rFonts w:ascii="Arial" w:cs="Arial" w:eastAsia="Arial" w:hAnsi="Arial"/>
          <w:sz w:val="20"/>
          <w:szCs w:val="20"/>
        </w:rPr>
        <w:t xml:space="preserve">Carry-over was evaluated by injecting a blank plasma sample immediately after the ULOQ standard (100 µg/mL). Acceptance: carry-over in the blank must be ≤20% of LLOQ signal and ≤5% of IS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460"/>
      </w:tblGrid>
      <w:tr>
        <w:trPr>
          <w:tblHeader/>
        </w:trP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Parameter</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Observed Value</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Acceptance Criterion</w:t>
            </w:r>
          </w:p>
        </w:tc>
        <w:tc>
          <w:tcPr>
            <w:tcW w:type="dxa" w:w="1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Result</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Analyte signal in post-ULOQ blank</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2.8% of LLOQ signal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 of LLOQ</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35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IS signal in post-ULOQ blank</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1.1% of nominal IS signal</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≤5% of IS signal</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80" w:after="160"/>
      </w:pPr>
      <w:r>
        <w:rPr>
          <w:rFonts w:ascii="Arial" w:cs="Arial" w:eastAsia="Arial" w:hAnsi="Arial"/>
          <w:b/>
          <w:bCs/>
          <w:sz w:val="20"/>
          <w:szCs w:val="20"/>
        </w:rPr>
        <w:t xml:space="preserve">Conclusion: </w:t>
      </w:r>
      <w:r>
        <w:rPr>
          <w:rFonts w:ascii="Arial" w:cs="Arial" w:eastAsia="Arial" w:hAnsi="Arial"/>
          <w:sz w:val="20"/>
          <w:szCs w:val="20"/>
        </w:rPr>
        <w:t xml:space="preserve">Carry-over is negligible. No protocol modification required.</w:t>
      </w:r>
    </w:p>
    <w:p>
      <w:r>
        <w:br w:type="page"/>
      </w:r>
    </w:p>
    <w:p>
      <w:pPr>
        <w:pStyle w:val="Heading1"/>
        <w:spacing w:before="360" w:after="120"/>
      </w:pPr>
      <w:r>
        <w:rPr>
          <w:rFonts w:ascii="Arial" w:cs="Arial" w:eastAsia="Arial" w:hAnsi="Arial"/>
          <w:b/>
          <w:bCs/>
          <w:color w:val="1F4E79"/>
          <w:sz w:val="28"/>
          <w:szCs w:val="28"/>
        </w:rPr>
        <w:t xml:space="preserve">8. ACCEPTANCE CRITERIA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1460"/>
      </w:tblGrid>
      <w:tr>
        <w:trPr>
          <w:tblHeader/>
        </w:trPr>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Validation Parameter</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FDA Criterion</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Observed Result</w:t>
            </w:r>
          </w:p>
        </w:tc>
        <w:tc>
          <w:tcPr>
            <w:tcW w:type="dxa" w:w="14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Overall Status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Selectivity</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≥80% LLOQ replicates within ±20% nominal</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 (6/6 donors)</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LLOQ Sensitivity</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≥5/6 within ±20%, CV ≤20%</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6/6 within ±20%, CV 8.3%</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Linearity (R²)</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≥0.9900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0.9987–0.9993</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Cal Curve Back-calc</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≥75% levels within ±15% (±20% LLOQ)</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All 6 runs passed</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Intra-day Accuracy</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 (%RE); ±20% at LLOQ</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All within criteria</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Intra-day Precision</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CV ≤15%; ≤20% at LLOQ</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Max CV: 9.1% (LLOQ)</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Inter-day Accuracy</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 (%RE); ±20% at LLOQ</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All within criteria</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Inter-day Precision</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CV ≤15%; ≤20% at LLOQ</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Max CV: 11.2% (LLOQ)</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Matrix Effect (IS-norm)</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MF 0.85–1.15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0.97–0.98</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Recovery</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&gt;50%, consistent across levels</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78.2–81.4%</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Dilution Integrity (1:50)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 %RE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Freeze-Thaw Stability</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±15% %RE</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+1.8 to +4.2%</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Bench-top Stability (24 hr)</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±15% %RE</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+2.9 to +3.1%</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Long-term Stability (90 d, -80°C)</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±15% %RE</w:t>
            </w:r>
          </w:p>
        </w:tc>
        <w:tc>
          <w:tcPr>
            <w:tcW w:type="dxa" w:w="21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+1.5 to +2.8%</w:t>
            </w:r>
          </w:p>
        </w:tc>
        <w:tc>
          <w:tcPr>
            <w:tcW w:type="dxa" w:w="14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Carry-Over</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Blank ≤20% LLOQ; IS ≤5%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2.8%; 1.1%</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PASS</w:t>
            </w:r>
          </w:p>
        </w:tc>
      </w:tr>
    </w:tbl>
    <w:p>
      <w:pPr>
        <w:spacing w:before="60" w:after="60"/>
      </w:pPr>
      <w:r>
        <w:t xml:space="preserve"/>
      </w:r>
    </w:p>
    <w:p>
      <w:pPr>
        <w:spacing w:before="80" w:after="80"/>
      </w:pPr>
      <w:r>
        <w:rPr>
          <w:rFonts w:ascii="Arial" w:cs="Arial" w:eastAsia="Arial" w:hAnsi="Arial"/>
          <w:b/>
          <w:bCs/>
          <w:color w:val="1A5C2E"/>
          <w:sz w:val="20"/>
          <w:szCs w:val="20"/>
        </w:rPr>
        <w:t xml:space="preserve">ALL validation parameters meet FDA Guidance (May 2018) acceptance criteria. No parameter failures were recorded.</w:t>
      </w:r>
    </w:p>
    <w:p>
      <w:r>
        <w:br w:type="page"/>
      </w:r>
    </w:p>
    <w:p>
      <w:pPr>
        <w:pStyle w:val="Heading1"/>
        <w:spacing w:before="360" w:after="120"/>
      </w:pPr>
      <w:r>
        <w:rPr>
          <w:rFonts w:ascii="Arial" w:cs="Arial" w:eastAsia="Arial" w:hAnsi="Arial"/>
          <w:b/>
          <w:bCs/>
          <w:color w:val="1F4E79"/>
          <w:sz w:val="28"/>
          <w:szCs w:val="28"/>
        </w:rPr>
        <w:t xml:space="preserve">9. DEVIATIONS AND INVESTIGATIONS</w:t>
      </w:r>
    </w:p>
    <w:p>
      <w:pPr>
        <w:spacing w:before="80" w:after="80"/>
      </w:pPr>
      <w:r>
        <w:rPr>
          <w:rFonts w:ascii="Arial" w:cs="Arial" w:eastAsia="Arial" w:hAnsi="Arial"/>
          <w:sz w:val="20"/>
          <w:szCs w:val="20"/>
        </w:rPr>
        <w:t xml:space="preserve">One minor protocol deviation was documented during the validation. It did not impact the integrity of the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700"/>
        <w:gridCol w:w="1700"/>
        <w:gridCol w:w="316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Dev. ID</w:t>
            </w:r>
          </w:p>
        </w:tc>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Date</w:t>
            </w:r>
          </w:p>
        </w:tc>
        <w:tc>
          <w:tcPr>
            <w:tcW w:type="dxa" w:w="2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Description</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Impact</w:t>
            </w:r>
          </w:p>
        </w:tc>
        <w:tc>
          <w:tcPr>
            <w:tcW w:type="dxa" w:w="3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Resolution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DEV-001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04 Feb 2025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Plate washer cycle count logged incorrectly during Run 5 (logged 2 washes; SOP requires 3). Upon review, wash cycle log confirmed 3 actual washes by visual review of instrument log.</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None — confirmed washes were performed.</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Instrument log retained; data accepted. CAPA: Additional wash log verification step added to SOP CRV-BA-SOP-003 Rev 2.</w:t>
            </w:r>
          </w:p>
        </w:tc>
      </w:tr>
    </w:tbl>
    <w:p>
      <w:r>
        <w:br w:type="page"/>
      </w:r>
    </w:p>
    <w:p>
      <w:pPr>
        <w:pStyle w:val="Heading1"/>
        <w:spacing w:before="360" w:after="120"/>
      </w:pPr>
      <w:r>
        <w:rPr>
          <w:rFonts w:ascii="Arial" w:cs="Arial" w:eastAsia="Arial" w:hAnsi="Arial"/>
          <w:b/>
          <w:bCs/>
          <w:color w:val="1F4E79"/>
          <w:sz w:val="28"/>
          <w:szCs w:val="28"/>
        </w:rPr>
        <w:t xml:space="preserve">10. CONCLUSIONS</w:t>
      </w:r>
    </w:p>
    <w:p>
      <w:pPr>
        <w:spacing w:before="80" w:after="80"/>
      </w:pPr>
      <w:r>
        <w:rPr>
          <w:rFonts w:ascii="Arial" w:cs="Arial" w:eastAsia="Arial" w:hAnsi="Arial"/>
          <w:sz w:val="20"/>
          <w:szCs w:val="20"/>
        </w:rPr>
        <w:t xml:space="preserve">A fully validated quantitative LBA/ECL method for the determination of Cervimab (CRV-001) in human K2-EDTA plasma has been established and confirmed at PharmaKinetics Bioanalytical Services, LLC.</w:t>
      </w:r>
    </w:p>
    <w:p>
      <w:pPr>
        <w:spacing w:before="60" w:after="60"/>
      </w:pPr>
      <w:r>
        <w:t xml:space="preserve"/>
      </w:r>
    </w:p>
    <w:p>
      <w:pPr>
        <w:spacing w:before="80" w:after="80"/>
      </w:pPr>
      <w:r>
        <w:rPr>
          <w:rFonts w:ascii="Arial" w:cs="Arial" w:eastAsia="Arial" w:hAnsi="Arial"/>
          <w:sz w:val="20"/>
          <w:szCs w:val="20"/>
        </w:rPr>
        <w:t xml:space="preserve">The validated method meets all FDA Guidance for Industry: Bioanalytical Method Validation (May 2018) acceptance criteria across all evaluated parameters including selectivity, sensitivity, linearity, accuracy, precision, matrix effect, recovery, dilution integrity, stability, and carry-over.</w:t>
      </w:r>
    </w:p>
    <w:p>
      <w:pPr>
        <w:spacing w:before="60" w:after="60"/>
      </w:pPr>
      <w:r>
        <w:t xml:space="preserve"/>
      </w:r>
    </w:p>
    <w:p>
      <w:pPr>
        <w:spacing w:before="80" w:after="80"/>
      </w:pPr>
      <w:r>
        <w:rPr>
          <w:rFonts w:ascii="Arial" w:cs="Arial" w:eastAsia="Arial" w:hAnsi="Arial"/>
          <w:sz w:val="20"/>
          <w:szCs w:val="20"/>
        </w:rPr>
        <w:t xml:space="preserve">Key validated parameters:</w:t>
      </w:r>
    </w:p>
    <w:p>
      <w:pPr>
        <w:pStyle w:val="ListParagraph"/>
        <w:numPr>
          <w:ilvl w:val="0"/>
          <w:numId w:val="2"/>
        </w:numPr>
        <w:spacing w:before="40" w:after="40"/>
      </w:pPr>
      <w:r>
        <w:rPr>
          <w:rFonts w:ascii="Arial" w:cs="Arial" w:eastAsia="Arial" w:hAnsi="Arial"/>
          <w:sz w:val="20"/>
          <w:szCs w:val="20"/>
        </w:rPr>
        <w:t xml:space="preserve">Validated Concentration Range: 0.100 µg/mL (LLOQ) to 100 µg/mL (ULOQ) in human K2-EDTA plasma</w:t>
      </w:r>
    </w:p>
    <w:p>
      <w:pPr>
        <w:pStyle w:val="ListParagraph"/>
        <w:numPr>
          <w:ilvl w:val="0"/>
          <w:numId w:val="2"/>
        </w:numPr>
        <w:spacing w:before="40" w:after="40"/>
      </w:pPr>
      <w:r>
        <w:rPr>
          <w:rFonts w:ascii="Arial" w:cs="Arial" w:eastAsia="Arial" w:hAnsi="Arial"/>
          <w:sz w:val="20"/>
          <w:szCs w:val="20"/>
        </w:rPr>
        <w:t xml:space="preserve">Calibration Model: 4-Parameter Logistic (4-PL) with 1/y² weighting; R² ≥0.9987</w:t>
      </w:r>
    </w:p>
    <w:p>
      <w:pPr>
        <w:pStyle w:val="ListParagraph"/>
        <w:numPr>
          <w:ilvl w:val="0"/>
          <w:numId w:val="2"/>
        </w:numPr>
        <w:spacing w:before="40" w:after="40"/>
      </w:pPr>
      <w:r>
        <w:rPr>
          <w:rFonts w:ascii="Arial" w:cs="Arial" w:eastAsia="Arial" w:hAnsi="Arial"/>
          <w:sz w:val="20"/>
          <w:szCs w:val="20"/>
        </w:rPr>
        <w:t xml:space="preserve">Maximum Dilution: 1:50 (validated dilution integrity)</w:t>
      </w:r>
    </w:p>
    <w:p>
      <w:pPr>
        <w:pStyle w:val="ListParagraph"/>
        <w:numPr>
          <w:ilvl w:val="0"/>
          <w:numId w:val="2"/>
        </w:numPr>
        <w:spacing w:before="40" w:after="40"/>
      </w:pPr>
      <w:r>
        <w:rPr>
          <w:rFonts w:ascii="Arial" w:cs="Arial" w:eastAsia="Arial" w:hAnsi="Arial"/>
          <w:sz w:val="20"/>
          <w:szCs w:val="20"/>
        </w:rPr>
        <w:t xml:space="preserve">Stability: Confirmed through 90 days at -80°C, 3 freeze-thaw cycles, and 24-hour bench stability</w:t>
      </w:r>
    </w:p>
    <w:p>
      <w:pPr>
        <w:pStyle w:val="ListParagraph"/>
        <w:numPr>
          <w:ilvl w:val="0"/>
          <w:numId w:val="2"/>
        </w:numPr>
        <w:spacing w:before="40" w:after="40"/>
      </w:pPr>
      <w:r>
        <w:rPr>
          <w:rFonts w:ascii="Arial" w:cs="Arial" w:eastAsia="Arial" w:hAnsi="Arial"/>
          <w:sz w:val="20"/>
          <w:szCs w:val="20"/>
        </w:rPr>
        <w:t xml:space="preserve">Precision: Intra-day and inter-day CV ≤11.2% at all QC levels</w:t>
      </w:r>
    </w:p>
    <w:p>
      <w:pPr>
        <w:pStyle w:val="ListParagraph"/>
        <w:numPr>
          <w:ilvl w:val="0"/>
          <w:numId w:val="2"/>
        </w:numPr>
        <w:spacing w:before="40" w:after="40"/>
      </w:pPr>
      <w:r>
        <w:rPr>
          <w:rFonts w:ascii="Arial" w:cs="Arial" w:eastAsia="Arial" w:hAnsi="Arial"/>
          <w:sz w:val="20"/>
          <w:szCs w:val="20"/>
        </w:rPr>
        <w:t xml:space="preserve">Accuracy: %RE within ±4.2% across all QC levels</w:t>
      </w:r>
    </w:p>
    <w:p>
      <w:pPr>
        <w:spacing w:before="60" w:after="60"/>
      </w:pPr>
      <w:r>
        <w:t xml:space="preserve"/>
      </w:r>
    </w:p>
    <w:p>
      <w:pPr>
        <w:spacing w:before="80" w:after="80"/>
      </w:pPr>
      <w:r>
        <w:rPr>
          <w:rFonts w:ascii="Arial" w:cs="Arial" w:eastAsia="Arial" w:hAnsi="Arial"/>
          <w:sz w:val="20"/>
          <w:szCs w:val="20"/>
        </w:rPr>
        <w:t xml:space="preserve">This method is approved for use in the analysis of study samples from Protocol CRV-001-PH1-001 (Cervimab Phase 1 Clinical Study in dMMR/MSI-H Metastatic Colorectal Cancer). All future study sample analyses must include QC samples from the validated QC panels, and run acceptance criteria must be applied as defined in this report and the corresponding Bioanalytical Analysis Plan.</w:t>
      </w:r>
    </w:p>
    <w:p>
      <w:r>
        <w:br w:type="page"/>
      </w:r>
    </w:p>
    <w:p>
      <w:pPr>
        <w:pStyle w:val="Heading1"/>
        <w:spacing w:before="360" w:after="120"/>
      </w:pPr>
      <w:r>
        <w:rPr>
          <w:rFonts w:ascii="Arial" w:cs="Arial" w:eastAsia="Arial" w:hAnsi="Arial"/>
          <w:b/>
          <w:bCs/>
          <w:color w:val="1F4E79"/>
          <w:sz w:val="28"/>
          <w:szCs w:val="28"/>
        </w:rPr>
        <w:t xml:space="preserve">11. REFERENCES</w:t>
      </w:r>
    </w:p>
    <w:p>
      <w:pPr>
        <w:spacing w:before="80" w:after="80"/>
      </w:pPr>
      <w:r>
        <w:rPr>
          <w:rFonts w:ascii="Arial" w:cs="Arial" w:eastAsia="Arial" w:hAnsi="Arial"/>
          <w:sz w:val="20"/>
          <w:szCs w:val="20"/>
        </w:rPr>
        <w:t xml:space="preserve">1. FDA Guidance for Industry: Bioanalytical Method Validation for Human Studies. U.S. Food and Drug Administration, May 2018.</w:t>
      </w:r>
    </w:p>
    <w:p>
      <w:pPr>
        <w:spacing w:before="80" w:after="80"/>
      </w:pPr>
      <w:r>
        <w:rPr>
          <w:rFonts w:ascii="Arial" w:cs="Arial" w:eastAsia="Arial" w:hAnsi="Arial"/>
          <w:sz w:val="20"/>
          <w:szCs w:val="20"/>
        </w:rPr>
        <w:t xml:space="preserve">2. ICH M10 Guideline on Bioanalytical Method Validation and Study Sample Analysis. International Council for Harmonisation of Technical Requirements for Pharmaceuticals for Human Use, May 2022.</w:t>
      </w:r>
    </w:p>
    <w:p>
      <w:pPr>
        <w:spacing w:before="80" w:after="80"/>
      </w:pPr>
      <w:r>
        <w:rPr>
          <w:rFonts w:ascii="Arial" w:cs="Arial" w:eastAsia="Arial" w:hAnsi="Arial"/>
          <w:sz w:val="20"/>
          <w:szCs w:val="20"/>
        </w:rPr>
        <w:t xml:space="preserve">3. 21 CFR Part 58: Good Laboratory Practice for Nonclinical Laboratory Studies. Code of Federal Regulations.</w:t>
      </w:r>
    </w:p>
    <w:p>
      <w:pPr>
        <w:spacing w:before="80" w:after="80"/>
      </w:pPr>
      <w:r>
        <w:rPr>
          <w:rFonts w:ascii="Arial" w:cs="Arial" w:eastAsia="Arial" w:hAnsi="Arial"/>
          <w:sz w:val="20"/>
          <w:szCs w:val="20"/>
        </w:rPr>
        <w:t xml:space="preserve">4. 21 CFR Part 312: Investigational New Drug Application. Code of Federal Regulations.</w:t>
      </w:r>
    </w:p>
    <w:p>
      <w:pPr>
        <w:spacing w:before="80" w:after="80"/>
      </w:pPr>
      <w:r>
        <w:rPr>
          <w:rFonts w:ascii="Arial" w:cs="Arial" w:eastAsia="Arial" w:hAnsi="Arial"/>
          <w:sz w:val="20"/>
          <w:szCs w:val="20"/>
        </w:rPr>
        <w:t xml:space="preserve">5. Meso Scale Diagnostics. SECTOR Imager 600 Instrument Guide and SoftMax Pro v7.1.2 Software Manual. MSD, Rockville, MD.</w:t>
      </w:r>
    </w:p>
    <w:p>
      <w:pPr>
        <w:spacing w:before="80" w:after="80"/>
      </w:pPr>
      <w:r>
        <w:rPr>
          <w:rFonts w:ascii="Arial" w:cs="Arial" w:eastAsia="Arial" w:hAnsi="Arial"/>
          <w:sz w:val="20"/>
          <w:szCs w:val="20"/>
        </w:rPr>
        <w:t xml:space="preserve">6. CRV-BA-VAL-PLAN-001 v1.0: Cervimab Phase 1 Bioanalytical Method Validation Plan. Aevorix Therapeutics, Inc. December 2024.</w:t>
      </w:r>
    </w:p>
    <w:p>
      <w:pPr>
        <w:spacing w:before="80" w:after="80"/>
      </w:pPr>
      <w:r>
        <w:rPr>
          <w:rFonts w:ascii="Arial" w:cs="Arial" w:eastAsia="Arial" w:hAnsi="Arial"/>
          <w:sz w:val="20"/>
          <w:szCs w:val="20"/>
        </w:rPr>
        <w:t xml:space="preserve">7. CRV-BA-SOP-003 Rev 1: Sample Processing and Plate-based LBA for Cervimab (CRV-001) Quantification. PharmaKinetics Bioanalytical Services, LLC.</w:t>
      </w:r>
    </w:p>
    <w:p>
      <w:pPr>
        <w:spacing w:before="60" w:after="60"/>
      </w:pPr>
      <w:r>
        <w:t xml:space="preserve"/>
      </w:r>
    </w:p>
    <w:p>
      <w:pPr>
        <w:pStyle w:val="Heading1"/>
        <w:spacing w:before="360" w:after="120"/>
      </w:pPr>
      <w:r>
        <w:rPr>
          <w:rFonts w:ascii="Arial" w:cs="Arial" w:eastAsia="Arial" w:hAnsi="Arial"/>
          <w:b/>
          <w:bCs/>
          <w:color w:val="1F4E79"/>
          <w:sz w:val="28"/>
          <w:szCs w:val="28"/>
        </w:rPr>
        <w:t xml:space="preserve">12. APPENDICES</w:t>
      </w:r>
    </w:p>
    <w:p>
      <w:pPr>
        <w:spacing w:before="80" w:after="80"/>
      </w:pPr>
      <w:r>
        <w:rPr>
          <w:rFonts w:ascii="Arial" w:cs="Arial" w:eastAsia="Arial" w:hAnsi="Arial"/>
          <w:sz w:val="20"/>
          <w:szCs w:val="20"/>
        </w:rPr>
        <w:t xml:space="preserve">The following appendices are available upon request and maintained in the study file at PharmaKinetics Bioanalytical Services, LLC:</w:t>
      </w:r>
    </w:p>
    <w:p>
      <w:pPr>
        <w:pStyle w:val="ListParagraph"/>
        <w:numPr>
          <w:ilvl w:val="0"/>
          <w:numId w:val="2"/>
        </w:numPr>
        <w:spacing w:before="40" w:after="40"/>
      </w:pPr>
      <w:r>
        <w:rPr>
          <w:rFonts w:ascii="Arial" w:cs="Arial" w:eastAsia="Arial" w:hAnsi="Arial"/>
          <w:sz w:val="20"/>
          <w:szCs w:val="20"/>
        </w:rPr>
        <w:t xml:space="preserve">Appendix A: Certificates of Analysis — Reference Standard (CRV-RS-001) and Internal Standard (CRV-IS-001)</w:t>
      </w:r>
    </w:p>
    <w:p>
      <w:pPr>
        <w:pStyle w:val="ListParagraph"/>
        <w:numPr>
          <w:ilvl w:val="0"/>
          <w:numId w:val="2"/>
        </w:numPr>
        <w:spacing w:before="40" w:after="40"/>
      </w:pPr>
      <w:r>
        <w:rPr>
          <w:rFonts w:ascii="Arial" w:cs="Arial" w:eastAsia="Arial" w:hAnsi="Arial"/>
          <w:sz w:val="20"/>
          <w:szCs w:val="20"/>
        </w:rPr>
        <w:t xml:space="preserve">Appendix B: Calibration Curve Raw Data — All 6 Validation Runs (Runs 1–6)</w:t>
      </w:r>
    </w:p>
    <w:p>
      <w:pPr>
        <w:pStyle w:val="ListParagraph"/>
        <w:numPr>
          <w:ilvl w:val="0"/>
          <w:numId w:val="2"/>
        </w:numPr>
        <w:spacing w:before="40" w:after="40"/>
      </w:pPr>
      <w:r>
        <w:rPr>
          <w:rFonts w:ascii="Arial" w:cs="Arial" w:eastAsia="Arial" w:hAnsi="Arial"/>
          <w:sz w:val="20"/>
          <w:szCs w:val="20"/>
        </w:rPr>
        <w:t xml:space="preserve">Appendix C: QC Summary Tables — All QC Levels, All Runs</w:t>
      </w:r>
    </w:p>
    <w:p>
      <w:pPr>
        <w:pStyle w:val="ListParagraph"/>
        <w:numPr>
          <w:ilvl w:val="0"/>
          <w:numId w:val="2"/>
        </w:numPr>
        <w:spacing w:before="40" w:after="40"/>
      </w:pPr>
      <w:r>
        <w:rPr>
          <w:rFonts w:ascii="Arial" w:cs="Arial" w:eastAsia="Arial" w:hAnsi="Arial"/>
          <w:sz w:val="20"/>
          <w:szCs w:val="20"/>
        </w:rPr>
        <w:t xml:space="preserve">Appendix D: Stability Raw Data (Freeze-Thaw, Bench-top, Long-term, Processed Sample)</w:t>
      </w:r>
    </w:p>
    <w:p>
      <w:pPr>
        <w:pStyle w:val="ListParagraph"/>
        <w:numPr>
          <w:ilvl w:val="0"/>
          <w:numId w:val="2"/>
        </w:numPr>
        <w:spacing w:before="40" w:after="40"/>
      </w:pPr>
      <w:r>
        <w:rPr>
          <w:rFonts w:ascii="Arial" w:cs="Arial" w:eastAsia="Arial" w:hAnsi="Arial"/>
          <w:sz w:val="20"/>
          <w:szCs w:val="20"/>
        </w:rPr>
        <w:t xml:space="preserve">Appendix E: Equipment Calibration and Qualification Records</w:t>
      </w:r>
    </w:p>
    <w:p>
      <w:pPr>
        <w:pStyle w:val="ListParagraph"/>
        <w:numPr>
          <w:ilvl w:val="0"/>
          <w:numId w:val="2"/>
        </w:numPr>
        <w:spacing w:before="40" w:after="40"/>
      </w:pPr>
      <w:r>
        <w:rPr>
          <w:rFonts w:ascii="Arial" w:cs="Arial" w:eastAsia="Arial" w:hAnsi="Arial"/>
          <w:sz w:val="20"/>
          <w:szCs w:val="20"/>
        </w:rPr>
        <w:t xml:space="preserve">Appendix F: Deviation Report DEV-001 with CAPA Documentation</w:t>
      </w:r>
    </w:p>
    <w:p>
      <w:pPr>
        <w:pStyle w:val="ListParagraph"/>
        <w:numPr>
          <w:ilvl w:val="0"/>
          <w:numId w:val="2"/>
        </w:numPr>
        <w:spacing w:before="40" w:after="40"/>
      </w:pPr>
      <w:r>
        <w:rPr>
          <w:rFonts w:ascii="Arial" w:cs="Arial" w:eastAsia="Arial" w:hAnsi="Arial"/>
          <w:sz w:val="20"/>
          <w:szCs w:val="20"/>
        </w:rPr>
        <w:t xml:space="preserve">Appendix G: Reagent Lot-to-Lot Qualification (if applicable)</w:t>
      </w:r>
    </w:p>
    <w:p>
      <w:pPr>
        <w:pStyle w:val="ListParagraph"/>
        <w:numPr>
          <w:ilvl w:val="0"/>
          <w:numId w:val="2"/>
        </w:numPr>
        <w:spacing w:before="40" w:after="40"/>
      </w:pPr>
      <w:r>
        <w:rPr>
          <w:rFonts w:ascii="Arial" w:cs="Arial" w:eastAsia="Arial" w:hAnsi="Arial"/>
          <w:sz w:val="20"/>
          <w:szCs w:val="20"/>
        </w:rPr>
        <w:t xml:space="preserve">Appendix H: SoftMax Pro Curve Fit Output Files (Electronic, available on request)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center" w:pos="4680"/>
        <w:tab w:val="right" w:pos="9360"/>
      </w:tabs>
      <w:spacing w:before="60"/>
    </w:pPr>
    <w:r>
      <w:rPr>
        <w:rFonts w:ascii="Arial" w:cs="Arial" w:eastAsia="Arial" w:hAnsi="Arial"/>
        <w:color w:val="777777"/>
        <w:sz w:val="14"/>
        <w:szCs w:val="14"/>
      </w:rPr>
      <w:t xml:space="preserve">Aevorix Therapeutics, Inc. — FOR REGULATORY USE ONLY</w:t>
    </w:r>
    <w:r>
      <w:rPr>
        <w:rFonts w:ascii="Arial" w:cs="Arial" w:eastAsia="Arial" w:hAnsi="Arial"/>
        <w:color w:val="555555"/>
        <w:sz w:val="14"/>
        <w:szCs w:val="14"/>
      </w:rPr>
      <w:t xml:space="preserve">	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777777"/>
        <w:sz w:val="14"/>
        <w:szCs w:val="14"/>
      </w:rPr>
      <w:t xml:space="preserve">	14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60"/>
    </w:pPr>
    <w:r>
      <w:rPr>
        <w:rFonts w:ascii="Arial" w:cs="Arial" w:eastAsia="Arial" w:hAnsi="Arial"/>
        <w:color w:val="555555"/>
        <w:sz w:val="16"/>
        <w:szCs w:val="16"/>
      </w:rPr>
      <w:t xml:space="preserve">CONFIDENTIAL  |  Cervimab (CRV-001) — Bioanalytical Method Validation Report</w:t>
    </w:r>
    <w:r>
      <w:rPr>
        <w:rFonts w:ascii="Arial" w:cs="Arial" w:eastAsia="Arial" w:hAnsi="Arial"/>
        <w:color w:val="555555"/>
        <w:sz w:val="16"/>
        <w:szCs w:val="16"/>
      </w:rPr>
      <w:t xml:space="preserve">	CRV-BA-VAL-001-v1.0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2026-03-16T13:32:59.391Z</dcterms:created>
  <dcterms:modified xsi:type="dcterms:W3CDTF">2026-03-16T13:32:59.392Z</dcterms:modified>
</cp:coreProperties>
</file>

<file path=docProps/custom.xml><?xml version="1.0" encoding="utf-8"?>
<Properties xmlns="http://schemas.openxmlformats.org/officeDocument/2006/custom-properties" xmlns:vt="http://schemas.openxmlformats.org/officeDocument/2006/docPropsVTypes"/>
</file>