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4E79"/>
          <w:sz w:val="44"/>
          <w:szCs w:val="44"/>
        </w:rPr>
        <w:t xml:space="preserve">CONTAINER CLOSURE INTEGRITY VALIDATION REPORT</w:t>
      </w:r>
    </w:p>
    <w:p>
      <w:pPr>
        <w:spacing w:before="80" w:after="80"/>
        <w:jc w:val="center"/>
      </w:pPr>
      <w:r>
        <w:rPr>
          <w:rFonts w:ascii="Arial" w:cs="Arial" w:eastAsia="Arial" w:hAnsi="Arial"/>
          <w:b/>
          <w:bCs/>
          <w:color w:val="2E75B6"/>
          <w:sz w:val="30"/>
          <w:szCs w:val="30"/>
        </w:rPr>
        <w:t xml:space="preserve">Cervimab (Anti-PD-1 Monoclonal Antibody)</w:t>
      </w:r>
    </w:p>
    <w:p>
      <w:pPr>
        <w:spacing w:before="60" w:after="60"/>
        <w:jc w:val="center"/>
      </w:pPr>
      <w:r>
        <w:rPr>
          <w:rFonts w:ascii="Arial" w:cs="Arial" w:eastAsia="Arial" w:hAnsi="Arial"/>
          <w:color w:val="404040"/>
          <w:sz w:val="22"/>
          <w:szCs w:val="22"/>
        </w:rPr>
        <w:t xml:space="preserve">20 mg/mL Concentrate for Solution for IV Infusion, 10.5 mL Fill in 20 mL Type I Glass Vial</w:t>
      </w:r>
    </w:p>
    <w:p>
      <w:pPr>
        <w:spacing w:before="60" w:after="60"/>
        <w:jc w:val="center"/>
      </w:pPr>
      <w:r>
        <w:rPr>
          <w:rFonts w:ascii="Arial" w:cs="Arial" w:eastAsia="Arial" w:hAnsi="Arial"/>
          <w:color w:val="404040"/>
          <w:sz w:val="22"/>
          <w:szCs w:val="22"/>
        </w:rPr>
        <w:t xml:space="preserve">20 mm West FluroTec Stopper / Aluminum Crimp Seal</w:t>
      </w:r>
    </w:p>
    <w:p>
      <w:pPr>
        <w:spacing w:before="60" w:after="60"/>
      </w:pPr>
      <w:r>
        <w:t xml:space="preserve"/>
      </w:r>
    </w:p>
    <w:p>
      <w:pPr>
        <w:pBdr>
          <w:top w:val="single" w:color="AA0000" w:sz="4" w:space="4"/>
          <w:bottom w:val="single" w:color="AA0000" w:sz="4" w:space="4"/>
        </w:pBdr>
        <w:spacing w:before="160" w:after="160"/>
        <w:jc w:val="center"/>
      </w:pPr>
      <w:r>
        <w:rPr>
          <w:rFonts w:ascii="Arial" w:cs="Arial" w:eastAsia="Arial" w:hAnsi="Arial"/>
          <w:b/>
          <w:bCs/>
          <w:color w:val="AA0000"/>
          <w:sz w:val="20"/>
          <w:szCs w:val="20"/>
        </w:rPr>
        <w:t xml:space="preserve">FOR EXAMPLE / ILLUSTRATIVE PURPOSES ONLY  –  NOT FOR ACTUAL REGULATORY SUBMISSION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Document Number:</w:t>
            </w:r>
          </w:p>
        </w:tc>
        <w:tc>
          <w:tcPr>
            <w:tcW w:type="dxa" w:w="63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CVM-CMC-CCI-001</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Version:</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Product:</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Cervimab 200 mg/10 mL (20 mg/mL) Sterile Concentrate</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Container/Closure System:</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 mL Type I Borosilicate Glass Vial, 20 mm West FluroTec Stopper, Aluminum Crimp Seal</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Study Type:</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Container Closure Integrity (CCI) Validation – Phase 1</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Sponsor:</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Example BioPharma, Inc.</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Testing Facility:</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Example CCI Testing Laboratory, [City, State]</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Study Dates:</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[DD-MMM-YYYY] to [DD-MMM-YYYY]</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Authored By:</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CMC Development / QC Testing Team</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QA Approved By:</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 Date: _______</w:t>
            </w:r>
          </w:p>
        </w:tc>
      </w:tr>
    </w:tbl>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1. PURPOSE AND SCOPE</w:t>
      </w:r>
    </w:p>
    <w:p>
      <w:pPr>
        <w:spacing w:before="80" w:after="80"/>
      </w:pPr>
      <w:r>
        <w:rPr>
          <w:rFonts w:ascii="Arial" w:cs="Arial" w:eastAsia="Arial" w:hAnsi="Arial"/>
          <w:color w:val="404040"/>
          <w:sz w:val="20"/>
          <w:szCs w:val="20"/>
        </w:rPr>
        <w:t xml:space="preserve">This Container Closure Integrity (CCI) Validation Report documents the qualification of the primary container closure system selected for Cervimab Drug Product: a 20 mL Type I borosilicate glass vial sealed with a 20 mm West Pharmaceutical Services FluroTec®-coated bromobutyl rubber stopper and aluminum crimp seal.</w:t>
      </w:r>
    </w:p>
    <w:p>
      <w:pPr>
        <w:spacing w:before="60" w:after="60"/>
      </w:pPr>
      <w:r>
        <w:t xml:space="preserve"/>
      </w:r>
    </w:p>
    <w:p>
      <w:pPr>
        <w:spacing w:before="80" w:after="80"/>
      </w:pPr>
      <w:r>
        <w:rPr>
          <w:rFonts w:ascii="Arial" w:cs="Arial" w:eastAsia="Arial" w:hAnsi="Arial"/>
          <w:color w:val="404040"/>
          <w:sz w:val="20"/>
          <w:szCs w:val="20"/>
        </w:rPr>
        <w:t xml:space="preserve">The purpose of this study is to:</w:t>
      </w:r>
    </w:p>
    <w:p>
      <w:pPr>
        <w:pStyle w:val="ListParagraph"/>
        <w:numPr>
          <w:ilvl w:val="0"/>
          <w:numId w:val="2"/>
        </w:numPr>
        <w:spacing w:before="40" w:after="40"/>
      </w:pPr>
      <w:r>
        <w:rPr>
          <w:rFonts w:ascii="Arial" w:cs="Arial" w:eastAsia="Arial" w:hAnsi="Arial"/>
          <w:color w:val="404040"/>
          <w:sz w:val="20"/>
          <w:szCs w:val="20"/>
        </w:rPr>
        <w:t xml:space="preserve">Demonstrate that the container closure system provides adequate protection against microbial ingress and preserves the sterility of the product throughout its proposed shelf life.</w:t>
      </w:r>
    </w:p>
    <w:p>
      <w:pPr>
        <w:pStyle w:val="ListParagraph"/>
        <w:numPr>
          <w:ilvl w:val="0"/>
          <w:numId w:val="2"/>
        </w:numPr>
        <w:spacing w:before="40" w:after="40"/>
      </w:pPr>
      <w:r>
        <w:rPr>
          <w:rFonts w:ascii="Arial" w:cs="Arial" w:eastAsia="Arial" w:hAnsi="Arial"/>
          <w:color w:val="404040"/>
          <w:sz w:val="20"/>
          <w:szCs w:val="20"/>
        </w:rPr>
        <w:t xml:space="preserve">Demonstrate that the container closure system prevents oxygen ingress and liquid leakage that could compromise product quality (oxidative degradation, concentration change).</w:t>
      </w:r>
    </w:p>
    <w:p>
      <w:pPr>
        <w:pStyle w:val="ListParagraph"/>
        <w:numPr>
          <w:ilvl w:val="0"/>
          <w:numId w:val="2"/>
        </w:numPr>
        <w:spacing w:before="40" w:after="40"/>
      </w:pPr>
      <w:r>
        <w:rPr>
          <w:rFonts w:ascii="Arial" w:cs="Arial" w:eastAsia="Arial" w:hAnsi="Arial"/>
          <w:color w:val="404040"/>
          <w:sz w:val="20"/>
          <w:szCs w:val="20"/>
        </w:rPr>
        <w:t xml:space="preserve">Support the Phase 1 IND filing per FDA requirements and in compliance with USP &lt;1207&gt;, ICH Q1A(R2), and relevant FDA guidance documents.</w:t>
      </w:r>
    </w:p>
    <w:p>
      <w:pPr>
        <w:pStyle w:val="ListParagraph"/>
        <w:numPr>
          <w:ilvl w:val="0"/>
          <w:numId w:val="2"/>
        </w:numPr>
        <w:spacing w:before="40" w:after="40"/>
      </w:pPr>
      <w:r>
        <w:rPr>
          <w:rFonts w:ascii="Arial" w:cs="Arial" w:eastAsia="Arial" w:hAnsi="Arial"/>
          <w:color w:val="404040"/>
          <w:sz w:val="20"/>
          <w:szCs w:val="20"/>
        </w:rPr>
        <w:t xml:space="preserve">Establish validated CCI methodology for routine batch release and stability testing.</w:t>
      </w:r>
    </w:p>
    <w:p>
      <w:pPr>
        <w:spacing w:before="60" w:after="60"/>
      </w:pPr>
      <w:r>
        <w:t xml:space="preserve"/>
      </w:r>
    </w:p>
    <w:p>
      <w:pPr>
        <w:spacing w:before="80" w:after="80"/>
      </w:pPr>
      <w:r>
        <w:rPr>
          <w:rFonts w:ascii="Arial" w:cs="Arial" w:eastAsia="Arial" w:hAnsi="Arial"/>
          <w:color w:val="404040"/>
          <w:sz w:val="20"/>
          <w:szCs w:val="20"/>
        </w:rPr>
        <w:t xml:space="preserve">This report covers: (1) container closure system description and materials characterization; (2) deterministic CCI test method development and qualification (vacuum decay); (3) probabilistic confirmatory method (dye ingress); (4) worst-case condition testing; and (5) stability-linked CCI data.</w:t>
      </w:r>
    </w:p>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2. REGULATORY BASIS AND APPLICABLE STANDARDS</w:t>
      </w:r>
    </w:p>
    <w:p>
      <w:pPr>
        <w:pBdr>
          <w:left w:val="single" w:color="2E75B6" w:sz="16"/>
        </w:pBdr>
        <w:shd w:fill="D6E4F0" w:val="clear"/>
        <w:spacing w:before="120" w:after="120"/>
        <w:ind w:left="180"/>
      </w:pPr>
      <w:r>
        <w:rPr>
          <w:rFonts w:ascii="Arial" w:cs="Arial" w:eastAsia="Arial" w:hAnsi="Arial"/>
          <w:color w:val="2E75B6"/>
          <w:sz w:val="19"/>
          <w:szCs w:val="19"/>
        </w:rPr>
        <w:t xml:space="preserve">USP &lt;1207&gt; Guidance (2016) established deterministic methods (vacuum decay, high-voltage leak detection, mass extraction/headspace analysis) as preferred over probabilistic methods (dye ingress, microbial challenge) for CCI validation of sterile products. FDA expects CCI data in INDs for sterile injectable biologic products.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Reference</w:t>
            </w:r>
          </w:p>
        </w:tc>
        <w:tc>
          <w:tcPr>
            <w:tcW w:type="dxa" w:w="7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 / Applicability</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&lt;1207&gt;</w:t>
            </w:r>
          </w:p>
        </w:tc>
        <w:tc>
          <w:tcPr>
            <w:tcW w:type="dxa" w:w="7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Package Integrity Evaluation — Sterile Products: Framework, Deterministic Methods, Probabilistic Methods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&lt;1207.1&gt;</w:t>
            </w:r>
          </w:p>
        </w:tc>
        <w:tc>
          <w:tcPr>
            <w:tcW w:type="dxa" w:w="7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Package Integrity Testing in the Product Life Cycle — Test Method Selection and Validation</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&lt;1207.2&gt;</w:t>
            </w:r>
          </w:p>
        </w:tc>
        <w:tc>
          <w:tcPr>
            <w:tcW w:type="dxa" w:w="7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Package Integrity Leak Test Technologies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&lt;1207.3&gt;</w:t>
            </w:r>
          </w:p>
        </w:tc>
        <w:tc>
          <w:tcPr>
            <w:tcW w:type="dxa" w:w="7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Package Seal Quality Test Technologies</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ICH Q1A(R2)</w:t>
            </w:r>
          </w:p>
        </w:tc>
        <w:tc>
          <w:tcPr>
            <w:tcW w:type="dxa" w:w="7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Stability Testing of New Drug Substances and Products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ICH Q8(R2)</w:t>
            </w:r>
          </w:p>
        </w:tc>
        <w:tc>
          <w:tcPr>
            <w:tcW w:type="dxa" w:w="7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Pharmaceutical Development (container selection rationale)</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21 CFR 211.94</w:t>
            </w:r>
          </w:p>
        </w:tc>
        <w:tc>
          <w:tcPr>
            <w:tcW w:type="dxa" w:w="7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Drug product containers and closures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21 CFR 211.134</w:t>
            </w:r>
          </w:p>
        </w:tc>
        <w:tc>
          <w:tcPr>
            <w:tcW w:type="dxa" w:w="7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Drug product inspection</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FDA Guidance (2008)</w:t>
            </w:r>
          </w:p>
        </w:tc>
        <w:tc>
          <w:tcPr>
            <w:tcW w:type="dxa" w:w="7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Container and Closure System Integrity Testing in Lieu of Sterility Testing as a Component of the Stability Protocol for Sterile Products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ASTM F2338-09</w:t>
            </w:r>
          </w:p>
        </w:tc>
        <w:tc>
          <w:tcPr>
            <w:tcW w:type="dxa" w:w="7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Standard Test Method for Nondestructive Detection of Leaks in Packages Using Vacuum Decay Method</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ASTM F3287-17</w:t>
            </w:r>
          </w:p>
        </w:tc>
        <w:tc>
          <w:tcPr>
            <w:tcW w:type="dxa" w:w="7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Standard Guide for Headspace Analysis Methods for Package Integrity</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ASTM D4991-07</w:t>
            </w:r>
          </w:p>
        </w:tc>
        <w:tc>
          <w:tcPr>
            <w:tcW w:type="dxa" w:w="7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Standard Test Method for Leakage Testing of Empty Rigid Containers by Vacuum Method</w:t>
            </w:r>
          </w:p>
        </w:tc>
      </w:tr>
    </w:tbl>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3. CONTAINER CLOSURE SYSTEM DESCRIPTION AND COMPONENT QUALIFICATION</w:t>
      </w:r>
    </w:p>
    <w:p>
      <w:pPr>
        <w:pStyle w:val="Heading2"/>
        <w:spacing w:before="280" w:after="120"/>
      </w:pPr>
      <w:r>
        <w:rPr>
          <w:rFonts w:ascii="Arial" w:cs="Arial" w:eastAsia="Arial" w:hAnsi="Arial"/>
          <w:b/>
          <w:bCs/>
          <w:color w:val="2E75B6"/>
          <w:sz w:val="24"/>
          <w:szCs w:val="24"/>
        </w:rPr>
        <w:t xml:space="preserve">3.1 Primary Container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1200"/>
        <w:gridCol w:w="1800"/>
        <w:gridCol w:w="1560"/>
      </w:tblGrid>
      <w:tr>
        <w:trPr>
          <w:tblHeader/>
        </w:trPr>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Vendor</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 Number</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Material Standard</w:t>
            </w:r>
          </w:p>
        </w:tc>
        <w:tc>
          <w:tcPr>
            <w:tcW w:type="dxa" w:w="15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Qualification</w:t>
            </w:r>
          </w:p>
        </w:tc>
      </w:tr>
      <w:tr>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Vial</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 mL, Type I borosilicate glass, clear, injection vial, 20 mm neck finish</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Schott AG</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FIOLAX® 20 mL</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&lt;661&gt;, Ph. Eur. 3.2.1, ISO 8362-1</w:t>
            </w:r>
          </w:p>
        </w:tc>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DMF referenced; CoC reviewed</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Stopper</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 mm FluroTec®-coated bromobutyl rubber, B2-40 design, siliconized</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West Pharmaceutical Services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4432/50 FluroTec</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&lt;381&gt;, ISO 8362-2</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DMF referenced; Extractables/Leachables data reviewed</w:t>
            </w:r>
          </w:p>
        </w:tc>
      </w:tr>
      <w:tr>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Aluminum Seal</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 mm aluminum crimp seal, uncoated, peelable tear-off</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West Pharmaceutical Services</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AlucrimP® 20 mm</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ISO 8362-6</w:t>
            </w:r>
          </w:p>
        </w:tc>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CoC reviewed</w:t>
            </w:r>
          </w:p>
        </w:tc>
      </w:tr>
    </w:tbl>
    <w:p>
      <w:pPr>
        <w:spacing w:before="60" w:after="60"/>
      </w:pPr>
      <w:r>
        <w:t xml:space="preserve"/>
      </w:r>
    </w:p>
    <w:p>
      <w:pPr>
        <w:pStyle w:val="Heading2"/>
        <w:spacing w:before="280" w:after="120"/>
      </w:pPr>
      <w:r>
        <w:rPr>
          <w:rFonts w:ascii="Arial" w:cs="Arial" w:eastAsia="Arial" w:hAnsi="Arial"/>
          <w:b/>
          <w:bCs/>
          <w:color w:val="2E75B6"/>
          <w:sz w:val="24"/>
          <w:szCs w:val="24"/>
        </w:rPr>
        <w:t xml:space="preserve">3.2 Container System Suitability Assessment</w:t>
      </w:r>
    </w:p>
    <w:p>
      <w:pPr>
        <w:spacing w:before="80" w:after="80"/>
      </w:pPr>
      <w:r>
        <w:rPr>
          <w:rFonts w:ascii="Arial" w:cs="Arial" w:eastAsia="Arial" w:hAnsi="Arial"/>
          <w:color w:val="404040"/>
          <w:sz w:val="20"/>
          <w:szCs w:val="20"/>
        </w:rPr>
        <w:t xml:space="preserve">Type I borosilicate glass was selected on the basis of its superior chemical resistance (hydrolytic resistance Class 1 per USP &lt;660&gt;), low extractables profile, and established use in parenteral IgG4 mAb products. The FluroTec® fluoropolymer film coating on the stopper contact surface was selected to minimize protein adsorption and reduce extractables/leachables (E&amp;L) exposure, as supported by supplier E&amp;L studies (West Pharmaceutical Services Technical Report TR-2020-FLUROTEC).</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1360"/>
      </w:tblGrid>
      <w:tr>
        <w:trPr>
          <w:tblHeader/>
        </w:trPr>
        <w:tc>
          <w:tcPr>
            <w:tcW w:type="dxa" w:w="2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Assessment Parameter</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Criterion</w:t>
            </w:r>
          </w:p>
        </w:tc>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c>
          <w:tcPr>
            <w:tcW w:type="dxa" w:w="1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Conclusion</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Glass hydrolytic class</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Class 1 (USP &lt;660&gt;)</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Class 1 confirmed (supplier certificate)</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Stopper vulcanization/type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Bromobutyl (low sulfur extractables)</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Confirmed per supplier CoC</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FluroTec coating integrity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Uniform coverage; no pinholes (supplier QC)</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 visual QC by vendor</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Stopper dimensions (20 mm)</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Per ISO 8362-2: OD 20.0 ± 0.3 mm</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20.1 mm (mean, n=50)</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Vial neck ring OD</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Per ISO 8362-1: 20.0 ± 0.2 mm</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20.0 mm (mean, n=50)</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Crimping force qualification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100–200 N target; stopper insertion force 20–40 N</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150 N / 30 N (validated)</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Protein adsorption to stopper</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2% protein loss after 24h contact at 2–8°C</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0.8% loss (A280 measurement)</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Chemical compatibility (PS-80)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 PS-80 absorption &gt;10% after 24h</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3.2% PS-80 reduction (acceptable)</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bl>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4. CCI TEST METHOD SELECTION AND SCIENTIFIC RATIONALE</w:t>
      </w:r>
    </w:p>
    <w:p>
      <w:pPr>
        <w:pStyle w:val="Heading2"/>
        <w:spacing w:before="280" w:after="120"/>
      </w:pPr>
      <w:r>
        <w:rPr>
          <w:rFonts w:ascii="Arial" w:cs="Arial" w:eastAsia="Arial" w:hAnsi="Arial"/>
          <w:b/>
          <w:bCs/>
          <w:color w:val="2E75B6"/>
          <w:sz w:val="24"/>
          <w:szCs w:val="24"/>
        </w:rPr>
        <w:t xml:space="preserve">4.1 Method Selection Framework (per USP &lt;1207&gt;)</w:t>
      </w:r>
    </w:p>
    <w:p>
      <w:pPr>
        <w:spacing w:before="80" w:after="80"/>
      </w:pPr>
      <w:r>
        <w:rPr>
          <w:rFonts w:ascii="Arial" w:cs="Arial" w:eastAsia="Arial" w:hAnsi="Arial"/>
          <w:color w:val="404040"/>
          <w:sz w:val="20"/>
          <w:szCs w:val="20"/>
        </w:rPr>
        <w:t xml:space="preserve">Per USP &lt;1207&gt;, deterministic methods are preferred over probabilistic methods for regulatory submissions due to their quantitative, operator-independent, and non-destructive nature. Method selection was driven by container/closure type (rigid glass vial), product type (sterile liquid biologic, aqueous), and regulatory expectations for Phase 1 IND.</w:t>
      </w:r>
    </w:p>
    <w:p>
      <w:pPr>
        <w:spacing w:before="6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1400"/>
        <w:gridCol w:w="2160"/>
      </w:tblGrid>
      <w:tr>
        <w:trPr>
          <w:tblHeader/>
        </w:trPr>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 Class</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Applicability to this System</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Selected?</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Deterministic</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Vacuum Decay (ASTM F2338)</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Rigid vials, aqueous fill — high sensitivity, non-destructive, automated</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PRIMARY METHOD</w:t>
            </w:r>
          </w:p>
        </w:tc>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Industry standard for glass vial/stopper CCS; FDA-accepted; USP &lt;1207&gt; preferred</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Deterministic</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Headspace Gas Analysis (O2/N2)</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Quantifies headspace O2 as integrity indicator</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SECONDARY (STABILITY)</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Used on stability samples to detect slow oxygen ingress</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Deterministic</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High-Voltage Leak Detection (HVLD)</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Applicable to conductive liquids; requires ionic content</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NOT SELECTED</w:t>
            </w:r>
          </w:p>
        </w:tc>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Aqueous formulation suitable, but vacuum decay preferred for regulatory alignment</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Probabilistic</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Dye Ingress (Methylene Blue)</w:t>
            </w:r>
          </w:p>
        </w:tc>
        <w:tc>
          <w:tcPr>
            <w:tcW w:type="dxa" w:w="2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Destructive; qualitative; used for method validation reference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CONFIRMATORY ONLY</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Used to challenge vacuum decay method sensitivity; not for routine release</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Probabilistic</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Microbial Ingress</w:t>
            </w:r>
          </w:p>
        </w:tc>
        <w:tc>
          <w:tcPr>
            <w:tcW w:type="dxa" w:w="2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Biological challenge; resource-intensive</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NOT SELECTED FOR ROUTINE USE</w:t>
            </w:r>
          </w:p>
        </w:tc>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Safety concerns; deterministic method preferred per USP &lt;1207&gt;</w:t>
            </w:r>
          </w:p>
        </w:tc>
      </w:tr>
    </w:tbl>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5. VACUUM DECAY METHOD DEVELOPMENT AND VALIDATION</w:t>
      </w:r>
    </w:p>
    <w:p>
      <w:pPr>
        <w:pStyle w:val="Heading2"/>
        <w:spacing w:before="280" w:after="120"/>
      </w:pPr>
      <w:r>
        <w:rPr>
          <w:rFonts w:ascii="Arial" w:cs="Arial" w:eastAsia="Arial" w:hAnsi="Arial"/>
          <w:b/>
          <w:bCs/>
          <w:color w:val="2E75B6"/>
          <w:sz w:val="24"/>
          <w:szCs w:val="24"/>
        </w:rPr>
        <w:t xml:space="preserve">5.1 Vacuum Decay Principle</w:t>
      </w:r>
    </w:p>
    <w:p>
      <w:pPr>
        <w:spacing w:before="80" w:after="80"/>
      </w:pPr>
      <w:r>
        <w:rPr>
          <w:rFonts w:ascii="Arial" w:cs="Arial" w:eastAsia="Arial" w:hAnsi="Arial"/>
          <w:color w:val="404040"/>
          <w:sz w:val="20"/>
          <w:szCs w:val="20"/>
        </w:rPr>
        <w:t xml:space="preserve">Vacuum decay testing (ASTM F2338) measures the rate of vacuum decay in a hermetically sealed test chamber containing the vial under test. A defective package (containing a leak path) results in measurable increase in the test chamber pressure due to gas or liquid flux from the package. The method is non-destructive, operator-independent, and provides a quantitative sensitivity threshold in absolute leak size (μm equivalent).</w:t>
      </w:r>
    </w:p>
    <w:p>
      <w:pPr>
        <w:spacing w:before="60" w:after="60"/>
      </w:pPr>
      <w:r>
        <w:t xml:space="preserve"/>
      </w:r>
    </w:p>
    <w:p>
      <w:pPr>
        <w:pStyle w:val="Heading2"/>
        <w:spacing w:before="280" w:after="120"/>
      </w:pPr>
      <w:r>
        <w:rPr>
          <w:rFonts w:ascii="Arial" w:cs="Arial" w:eastAsia="Arial" w:hAnsi="Arial"/>
          <w:b/>
          <w:bCs/>
          <w:color w:val="2E75B6"/>
          <w:sz w:val="24"/>
          <w:szCs w:val="24"/>
        </w:rPr>
        <w:t xml:space="preserve">5.2 Equipment and Instrument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200"/>
        <w:gridCol w:w="1760"/>
      </w:tblGrid>
      <w:tr>
        <w:trPr>
          <w:tblHeader/>
        </w:trPr>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Instrument</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Model/Vendor</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IQ/OQ/PQ Status</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Last Calibration</w:t>
            </w:r>
          </w:p>
        </w:tc>
        <w:tc>
          <w:tcPr>
            <w:tcW w:type="dxa" w:w="1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Qualification Ref</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Vacuum Decay Leak Tester</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Uson Optima vT, Uson Industries</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IQ/OQ/PQ Completed</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IQ-OQ-001</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Calibrated Pressure Transducer</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Internal to Uson Optima</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Calibrated per NIST traceable standards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CAL-002</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 Vials (laser-drilled)</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In-house, confirmed by FIB-SEM</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Verified; 10 μm, 20 μm, 50 μm defects</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POS-CTL-001</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Negative Control Vials (intact)</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Production vials; confirmed sealed</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 defect by FIB-SEM</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NEG-CTL-001</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Barometric Pressure Sensor</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Setra Model 370</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Calibrated</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CAL-003</w:t>
            </w:r>
          </w:p>
        </w:tc>
      </w:tr>
    </w:tbl>
    <w:p>
      <w:pPr>
        <w:spacing w:before="60" w:after="60"/>
      </w:pPr>
      <w:r>
        <w:t xml:space="preserve"/>
      </w:r>
    </w:p>
    <w:p>
      <w:pPr>
        <w:pStyle w:val="Heading2"/>
        <w:spacing w:before="280" w:after="120"/>
      </w:pPr>
      <w:r>
        <w:rPr>
          <w:rFonts w:ascii="Arial" w:cs="Arial" w:eastAsia="Arial" w:hAnsi="Arial"/>
          <w:b/>
          <w:bCs/>
          <w:color w:val="2E75B6"/>
          <w:sz w:val="24"/>
          <w:szCs w:val="24"/>
        </w:rPr>
        <w:t xml:space="preserve">5.3 Positive Control Vial Preparation</w:t>
      </w:r>
    </w:p>
    <w:p>
      <w:pPr>
        <w:spacing w:before="80" w:after="80"/>
      </w:pPr>
      <w:r>
        <w:rPr>
          <w:rFonts w:ascii="Arial" w:cs="Arial" w:eastAsia="Arial" w:hAnsi="Arial"/>
          <w:color w:val="404040"/>
          <w:sz w:val="20"/>
          <w:szCs w:val="20"/>
        </w:rPr>
        <w:t xml:space="preserve">Positive control vials with defined leak defects were prepared by laser-drilling through the stopper (simulating stopper penetration defects) at three defect sizes: 10 μm, 20 μm, and 50 μm equivalent circular orifice (ECO). Defect geometry was confirmed by focused ion beam scanning electron microscopy (FIB-SEM). All positive controls contained Cervimab placebo formulation (formulation without protein) at the same viscosity to represent worst-case conditions.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2200"/>
        <w:gridCol w:w="2760"/>
      </w:tblGrid>
      <w:tr>
        <w:trPr>
          <w:tblHeader/>
        </w:trP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 Type</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Defect Size (ECO)</w:t>
            </w:r>
          </w:p>
        </w:tc>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Vials</w:t>
            </w:r>
          </w:p>
        </w:tc>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Preparation Method</w:t>
            </w:r>
          </w:p>
        </w:tc>
        <w:tc>
          <w:tcPr>
            <w:tcW w:type="dxa" w:w="2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Confirmation Method</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Negative control (intact)</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None (intact)</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30</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Standard production fill/stopper/crimp</w:t>
            </w:r>
          </w:p>
        </w:tc>
        <w:tc>
          <w:tcPr>
            <w:tcW w:type="dxa" w:w="2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FIB-SEM: no defect confirmed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 — small</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 μm</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Laser drill through stopper</w:t>
            </w:r>
          </w:p>
        </w:tc>
        <w:tc>
          <w:tcPr>
            <w:tcW w:type="dxa" w:w="2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FIB-SEM: 9.8 ± 0.6 μm confirmed</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 — medium</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 μm</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Laser drill through stopper</w:t>
            </w:r>
          </w:p>
        </w:tc>
        <w:tc>
          <w:tcPr>
            <w:tcW w:type="dxa" w:w="2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FIB-SEM: 19.7 ± 0.8 μm confirmed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 — large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50 μm</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Laser drill through stopper</w:t>
            </w:r>
          </w:p>
        </w:tc>
        <w:tc>
          <w:tcPr>
            <w:tcW w:type="dxa" w:w="2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FIB-SEM: 50.2 ± 1.1 μm confirmed</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 — cap defect</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Crimped cap with 2 mm notch</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Mechanical damage to crimp</w:t>
            </w:r>
          </w:p>
        </w:tc>
        <w:tc>
          <w:tcPr>
            <w:tcW w:type="dxa" w:w="2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Visual confirmation</w:t>
            </w:r>
          </w:p>
        </w:tc>
      </w:tr>
    </w:tbl>
    <w:p>
      <w:pPr>
        <w:spacing w:before="60" w:after="60"/>
      </w:pPr>
      <w:r>
        <w:t xml:space="preserve"/>
      </w:r>
    </w:p>
    <w:p>
      <w:pPr>
        <w:pStyle w:val="Heading2"/>
        <w:spacing w:before="280" w:after="120"/>
      </w:pPr>
      <w:r>
        <w:rPr>
          <w:rFonts w:ascii="Arial" w:cs="Arial" w:eastAsia="Arial" w:hAnsi="Arial"/>
          <w:b/>
          <w:bCs/>
          <w:color w:val="2E75B6"/>
          <w:sz w:val="24"/>
          <w:szCs w:val="24"/>
        </w:rPr>
        <w:t xml:space="preserve">5.4 Method Parameter Optimization</w:t>
      </w:r>
    </w:p>
    <w:p>
      <w:pPr>
        <w:spacing w:before="80" w:after="80"/>
      </w:pPr>
      <w:r>
        <w:rPr>
          <w:rFonts w:ascii="Arial" w:cs="Arial" w:eastAsia="Arial" w:hAnsi="Arial"/>
          <w:color w:val="404040"/>
          <w:sz w:val="20"/>
          <w:szCs w:val="20"/>
        </w:rPr>
        <w:t xml:space="preserve">Vacuum level, equilibration time, and test time were optimized using a Design of Experiments (DoE) approach (full factorial, 3 parameters x 2 levels). Signal-to-noise ratio (SNR) and false positive/false negative rates were the primary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Range Evaluated</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Optimized Value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Vacuum Level</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5–30 mbar absolute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 mbar (absolute)</w:t>
            </w:r>
          </w:p>
        </w:tc>
        <w:tc>
          <w:tcPr>
            <w:tcW w:type="dxa" w:w="3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Maximum sensitivity without stopper distortion or foaming</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Equilibration Time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5–20 sec</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 sec</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Adequate pressure stabilization before measurement</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Test Time (measurement)</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5–20 sec</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 sec</w:t>
            </w:r>
          </w:p>
        </w:tc>
        <w:tc>
          <w:tcPr>
            <w:tcW w:type="dxa" w:w="3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Sufficient decay signal for 10 μm defect detection</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Temperature of test</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15–25°C</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 ± 2°C</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Ambient; minimizes temperature-induced pressure variation</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Fill volume effect</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 mL, 10.5 mL, 15 mL</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10.5 mL (production)</w:t>
            </w:r>
          </w:p>
        </w:tc>
        <w:tc>
          <w:tcPr>
            <w:tcW w:type="dxa" w:w="3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Sensitivity confirmed across fill range; production fill tested</w:t>
            </w:r>
          </w:p>
        </w:tc>
      </w:tr>
    </w:tbl>
    <w:p>
      <w:pPr>
        <w:spacing w:before="60" w:after="60"/>
      </w:pPr>
      <w:r>
        <w:t xml:space="preserve"/>
      </w:r>
    </w:p>
    <w:p>
      <w:pPr>
        <w:pStyle w:val="Heading2"/>
        <w:spacing w:before="280" w:after="120"/>
      </w:pPr>
      <w:r>
        <w:rPr>
          <w:rFonts w:ascii="Arial" w:cs="Arial" w:eastAsia="Arial" w:hAnsi="Arial"/>
          <w:b/>
          <w:bCs/>
          <w:color w:val="2E75B6"/>
          <w:sz w:val="24"/>
          <w:szCs w:val="24"/>
        </w:rPr>
        <w:t xml:space="preserve">5.5 Vacuum Decay Validation – Results</w:t>
      </w:r>
    </w:p>
    <w:p>
      <w:pPr>
        <w:pStyle w:val="Heading3"/>
        <w:spacing w:before="200" w:after="100"/>
      </w:pPr>
      <w:r>
        <w:rPr>
          <w:rFonts w:ascii="Arial" w:cs="Arial" w:eastAsia="Arial" w:hAnsi="Arial"/>
          <w:b/>
          <w:bCs/>
          <w:color w:val="404040"/>
          <w:sz w:val="22"/>
          <w:szCs w:val="22"/>
        </w:rPr>
        <w:t xml:space="preserve">5.5.1 Sensitivity / Limit of Detection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200"/>
        <w:gridCol w:w="1600"/>
        <w:gridCol w:w="2360"/>
      </w:tblGrid>
      <w:tr>
        <w:trPr>
          <w:tblHeader/>
        </w:trPr>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Defect Size (ECO)</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Positive Controls Tested</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Detected by Vacuum Decay</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Detection Rate</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Signal (Δmbar)</w:t>
            </w:r>
          </w:p>
        </w:tc>
        <w:tc>
          <w:tcPr>
            <w:tcW w:type="dxa" w:w="2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 μm</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9/10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0.42 Δmbar</w:t>
            </w:r>
          </w:p>
        </w:tc>
        <w:tc>
          <w:tcPr>
            <w:tcW w:type="dxa" w:w="2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≥90% detection</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 μm</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10/10</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1.14 Δmbar</w:t>
            </w:r>
          </w:p>
        </w:tc>
        <w:tc>
          <w:tcPr>
            <w:tcW w:type="dxa" w:w="2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≥90% detection</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50 μm</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10/10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3.82 Δmbar</w:t>
            </w:r>
          </w:p>
        </w:tc>
        <w:tc>
          <w:tcPr>
            <w:tcW w:type="dxa" w:w="2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≥90% detection</w:t>
            </w:r>
          </w:p>
        </w:tc>
      </w:tr>
    </w:tbl>
    <w:p>
      <w:pPr>
        <w:spacing w:before="80" w:after="80"/>
      </w:pPr>
      <w:r>
        <w:rPr>
          <w:rFonts w:ascii="Arial" w:cs="Arial" w:eastAsia="Arial" w:hAnsi="Arial"/>
          <w:i/>
          <w:iCs/>
          <w:color w:val="404040"/>
          <w:sz w:val="20"/>
          <w:szCs w:val="20"/>
        </w:rPr>
        <w:t xml:space="preserve">Limit of Detection (LoD): 10 μm ECO (90% detection rate). The validated minimum detectable leak is 10 μm, which is below the safe level of concern threshold for microbial ingress of approximately 0.2 μm for bacteria (Brevundimonas diminuta) and 20–50 μm for yeast/mold. Therefore, the method sensitivity is adequate to ensure sterility assurance.</w:t>
      </w:r>
    </w:p>
    <w:p>
      <w:pPr>
        <w:spacing w:before="60" w:after="60"/>
      </w:pPr>
      <w:r>
        <w:t xml:space="preserve"/>
      </w:r>
    </w:p>
    <w:p>
      <w:pPr>
        <w:pStyle w:val="Heading3"/>
        <w:spacing w:before="200" w:after="100"/>
      </w:pPr>
      <w:r>
        <w:rPr>
          <w:rFonts w:ascii="Arial" w:cs="Arial" w:eastAsia="Arial" w:hAnsi="Arial"/>
          <w:b/>
          <w:bCs/>
          <w:color w:val="404040"/>
          <w:sz w:val="22"/>
          <w:szCs w:val="22"/>
        </w:rPr>
        <w:t xml:space="preserve">5.5.2 Specificity / False Positive Rate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1600"/>
        <w:gridCol w:w="276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Vial Type</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Tested</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False Positives</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False Positive Rate</w:t>
            </w:r>
          </w:p>
        </w:tc>
        <w:tc>
          <w:tcPr>
            <w:tcW w:type="dxa" w:w="2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Intact negative controls (production)</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2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 false positive in 30 (3.3%)</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Intact vials (stressed: 3 F/T cycles)</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2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 false positive in 30 (3.3%)</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Intact vials (stressed: 40°C/4 wk)</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2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 false positive in 30 (3.3%)</w:t>
            </w:r>
          </w:p>
        </w:tc>
      </w:tr>
    </w:tbl>
    <w:p>
      <w:pPr>
        <w:spacing w:before="60" w:after="60"/>
      </w:pPr>
      <w:r>
        <w:t xml:space="preserve"/>
      </w:r>
    </w:p>
    <w:p>
      <w:pPr>
        <w:pStyle w:val="Heading3"/>
        <w:spacing w:before="200" w:after="100"/>
      </w:pPr>
      <w:r>
        <w:rPr>
          <w:rFonts w:ascii="Arial" w:cs="Arial" w:eastAsia="Arial" w:hAnsi="Arial"/>
          <w:b/>
          <w:bCs/>
          <w:color w:val="404040"/>
          <w:sz w:val="22"/>
          <w:szCs w:val="22"/>
        </w:rPr>
        <w:t xml:space="preserve">5.5.3 Repeatability and Reproducibility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1600"/>
        <w:gridCol w:w="1000"/>
        <w:gridCol w:w="1360"/>
      </w:tblGrid>
      <w:tr>
        <w:trPr>
          <w:tblHeader/>
        </w:trPr>
        <w:tc>
          <w:tcPr>
            <w:tcW w:type="dxa" w:w="2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Type</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Measurements</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Signal (Δmbar)</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RSD</w:t>
            </w:r>
          </w:p>
        </w:tc>
        <w:tc>
          <w:tcPr>
            <w:tcW w:type="dxa" w:w="1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Intra-day repeatability (intact)</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Day 1, same analyst</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0.04 (baseline)</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8.2%</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 RSD ≤15%</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Inter-day repeatability (intact)</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Day 1–3, same analyst</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60 (20/day)</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0.04</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10.1%</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 RSD ≤15%</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Inter-analyst reproducibility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 analysts, Day 2</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60 (20/analyst)</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0.04</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11.4%</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 RSD ≤20%</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Repeatability (20 μm positive ctrl)</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Day 1, same analyst</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1.14</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6.8%</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 RSD ≤15%</w:t>
            </w:r>
          </w:p>
        </w:tc>
      </w:tr>
      <w:tr>
        <w:tc>
          <w:tcPr>
            <w:tcW w:type="dxa" w:w="2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Reproducibility (20 μm positive ctrl)</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 analysts, 3 days</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90 total</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1.13</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9.3%</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 RSD ≤20%</w:t>
            </w:r>
          </w:p>
        </w:tc>
      </w:tr>
    </w:tbl>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6. DYE INGRESS CONFIRMATORY STUDY</w:t>
      </w:r>
    </w:p>
    <w:p>
      <w:pPr>
        <w:pStyle w:val="Heading2"/>
        <w:spacing w:before="280" w:after="120"/>
      </w:pPr>
      <w:r>
        <w:rPr>
          <w:rFonts w:ascii="Arial" w:cs="Arial" w:eastAsia="Arial" w:hAnsi="Arial"/>
          <w:b/>
          <w:bCs/>
          <w:color w:val="2E75B6"/>
          <w:sz w:val="24"/>
          <w:szCs w:val="24"/>
        </w:rPr>
        <w:t xml:space="preserve">6.1 Study Design</w:t>
      </w:r>
    </w:p>
    <w:p>
      <w:pPr>
        <w:spacing w:before="80" w:after="80"/>
      </w:pPr>
      <w:r>
        <w:rPr>
          <w:rFonts w:ascii="Arial" w:cs="Arial" w:eastAsia="Arial" w:hAnsi="Arial"/>
          <w:color w:val="404040"/>
          <w:sz w:val="20"/>
          <w:szCs w:val="20"/>
        </w:rPr>
        <w:t xml:space="preserve">A confirmatory dye ingress study was conducted using 0.1% (w/v) Methylene Blue solution to provide independent orthogonal verification of vacuum decay results. This probabilistic method was used as a confirmatory tool per USP &lt;1207&gt; and is not intended for routine release testing. Positive control vials (10 μm, 20 μm, 50 μm defects) and intact negative control vials were subjected to dye immersion under vacuum conditions.</w:t>
      </w:r>
    </w:p>
    <w:p>
      <w:pPr>
        <w:spacing w:before="60" w:after="60"/>
      </w:pPr>
      <w:r>
        <w:t xml:space="preserve"/>
      </w:r>
    </w:p>
    <w:p>
      <w:pPr>
        <w:pStyle w:val="Heading2"/>
        <w:spacing w:before="280" w:after="120"/>
      </w:pPr>
      <w:r>
        <w:rPr>
          <w:rFonts w:ascii="Arial" w:cs="Arial" w:eastAsia="Arial" w:hAnsi="Arial"/>
          <w:b/>
          <w:bCs/>
          <w:color w:val="2E75B6"/>
          <w:sz w:val="24"/>
          <w:szCs w:val="24"/>
        </w:rPr>
        <w:t xml:space="preserve">6.2 Dye Ingress Test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58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Dye Solution</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0.1% (w/v) Methylene Blue in purified water</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Immersion Conditions</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300 mbar vacuum for 30 minutes, then return to atmospheric pressure</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Immersion Time at Atmospheric Pressure</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30 minutes additional</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Vials per Group</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 positive control (each defect size) + 30 intact negative controls</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Inspection Method</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Visual inspection; vial contents sampled and spectrophotometric detection at 665 nm</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Acceptance Criterion (negative ctrl)</w:t>
            </w:r>
          </w:p>
        </w:tc>
        <w:tc>
          <w:tcPr>
            <w:tcW w:type="dxa" w:w="5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Absorbance at 665 nm &lt; 0.010 AU (no dye ingress)</w:t>
            </w:r>
          </w:p>
        </w:tc>
      </w:tr>
      <w:tr>
        <w:tc>
          <w:tcPr>
            <w:tcW w:type="dxa" w:w="3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Acceptance Criterion (positive ctrl)</w:t>
            </w:r>
          </w:p>
        </w:tc>
        <w:tc>
          <w:tcPr>
            <w:tcW w:type="dxa" w:w="5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≥90% detection for each defect size</w:t>
            </w:r>
          </w:p>
        </w:tc>
      </w:tr>
    </w:tbl>
    <w:p>
      <w:pPr>
        <w:spacing w:before="60" w:after="60"/>
      </w:pPr>
      <w:r>
        <w:t xml:space="preserve"/>
      </w:r>
    </w:p>
    <w:p>
      <w:pPr>
        <w:pStyle w:val="Heading2"/>
        <w:spacing w:before="280" w:after="120"/>
      </w:pPr>
      <w:r>
        <w:rPr>
          <w:rFonts w:ascii="Arial" w:cs="Arial" w:eastAsia="Arial" w:hAnsi="Arial"/>
          <w:b/>
          <w:bCs/>
          <w:color w:val="2E75B6"/>
          <w:sz w:val="24"/>
          <w:szCs w:val="24"/>
        </w:rPr>
        <w:t xml:space="preserve">6.3 Dye Ingress Results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800"/>
        <w:gridCol w:w="2000"/>
        <w:gridCol w:w="1400"/>
        <w:gridCol w:w="1500"/>
        <w:gridCol w:w="1660"/>
      </w:tblGrid>
      <w:tr>
        <w:trPr>
          <w:tblHeader/>
        </w:trPr>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Vial Group</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Defect Size</w:t>
            </w:r>
          </w:p>
        </w:tc>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Tested</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with Dye Ingress Detected</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Detection Rate</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A665 nm</w:t>
            </w:r>
          </w:p>
        </w:tc>
        <w:tc>
          <w:tcPr>
            <w:tcW w:type="dxa" w:w="16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Negative control (intact)</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None</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30</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0.003</w:t>
            </w:r>
          </w:p>
        </w:tc>
        <w:tc>
          <w:tcPr>
            <w:tcW w:type="dxa" w:w="16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 μm</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8</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80%</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0.042</w:t>
            </w:r>
          </w:p>
        </w:tc>
        <w:tc>
          <w:tcPr>
            <w:tcW w:type="dxa" w:w="16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Note: Lower detection vs vacuum decay</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 μm</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0.118</w:t>
            </w:r>
          </w:p>
        </w:tc>
        <w:tc>
          <w:tcPr>
            <w:tcW w:type="dxa" w:w="16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50 μm</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100%</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0.412</w:t>
            </w:r>
          </w:p>
        </w:tc>
        <w:tc>
          <w:tcPr>
            <w:tcW w:type="dxa" w:w="16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Cap defect (2mm notch)</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Cap defect</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0.583</w:t>
            </w:r>
          </w:p>
        </w:tc>
        <w:tc>
          <w:tcPr>
            <w:tcW w:type="dxa" w:w="16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bl>
    <w:p>
      <w:pPr>
        <w:spacing w:before="60" w:after="60"/>
      </w:pPr>
      <w:r>
        <w:t xml:space="preserve"/>
      </w:r>
    </w:p>
    <w:p>
      <w:pPr>
        <w:pBdr>
          <w:left w:val="single" w:color="1F6B3E" w:sz="16"/>
        </w:pBdr>
        <w:shd w:fill="D6F0E3" w:val="clear"/>
        <w:spacing w:before="120" w:after="120"/>
        <w:ind w:left="180"/>
      </w:pPr>
      <w:r>
        <w:rPr>
          <w:rFonts w:ascii="Arial" w:cs="Arial" w:eastAsia="Arial" w:hAnsi="Arial"/>
          <w:color w:val="1F6B3E"/>
          <w:sz w:val="19"/>
          <w:szCs w:val="19"/>
        </w:rPr>
        <w:t xml:space="preserve">Conclusion: Vacuum decay demonstrated superior sensitivity (90% detection at 10 μm) compared to dye ingress (80% detection at 10 μm), confirming vacuum decay as the more sensitive and preferred primary method. Both methods demonstrated 100% specificity (0/30 false positives in intact vials). This cross-validation supports the suitability of vacuum decay as the validated CCI test method.</w:t>
      </w:r>
    </w:p>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7. WORST-CASE CONDITION TESTING</w:t>
      </w:r>
    </w:p>
    <w:p>
      <w:pPr>
        <w:pStyle w:val="Heading2"/>
        <w:spacing w:before="280" w:after="120"/>
      </w:pPr>
      <w:r>
        <w:rPr>
          <w:rFonts w:ascii="Arial" w:cs="Arial" w:eastAsia="Arial" w:hAnsi="Arial"/>
          <w:b/>
          <w:bCs/>
          <w:color w:val="2E75B6"/>
          <w:sz w:val="24"/>
          <w:szCs w:val="24"/>
        </w:rPr>
        <w:t xml:space="preserve">7.1 Crimping Force Variation Study</w:t>
      </w:r>
    </w:p>
    <w:p>
      <w:pPr>
        <w:spacing w:before="80" w:after="80"/>
      </w:pPr>
      <w:r>
        <w:rPr>
          <w:rFonts w:ascii="Arial" w:cs="Arial" w:eastAsia="Arial" w:hAnsi="Arial"/>
          <w:color w:val="404040"/>
          <w:sz w:val="20"/>
          <w:szCs w:val="20"/>
        </w:rPr>
        <w:t xml:space="preserve">To assess the impact of crimp seal variability on container closure integrity, vials were sealed at three crimping forces: target (150 N), below target (100 N), and above target (200 N). CCI was assessed by vacuum decay (n=20 per group).</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200"/>
        <w:gridCol w:w="1600"/>
        <w:gridCol w:w="2160"/>
      </w:tblGrid>
      <w:tr>
        <w:trPr>
          <w:tblHeader/>
        </w:trPr>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Crimping Force</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Vials Tested</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Failures (Vacuum Decay)</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Failure Rate</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Signal (Δmbar)</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Conclusion</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 N (low end of range)</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0.04</w:t>
            </w:r>
          </w:p>
        </w:tc>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 — acceptable</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150 N (target)</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0.04</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 — optimal</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200 N (high end of range)</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0.05</w:t>
            </w:r>
          </w:p>
        </w:tc>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 — acceptable</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75 N (below minimum; challenge)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4</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0.31</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Fail — confirms lower bound</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250 N (above maximum; challenge)</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0.12</w:t>
            </w:r>
          </w:p>
        </w:tc>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Fail — vial neck damage confirmed</w:t>
            </w:r>
          </w:p>
        </w:tc>
      </w:tr>
    </w:tbl>
    <w:p>
      <w:pPr>
        <w:spacing w:before="80" w:after="80"/>
      </w:pPr>
      <w:r>
        <w:rPr>
          <w:rFonts w:ascii="Arial" w:cs="Arial" w:eastAsia="Arial" w:hAnsi="Arial"/>
          <w:i/>
          <w:iCs/>
          <w:color w:val="404040"/>
          <w:sz w:val="20"/>
          <w:szCs w:val="20"/>
        </w:rPr>
        <w:t xml:space="preserve">Conclusion: Crimping force range of 100–200 N is validated. Process control specification set to 150 ± 30 N to ensure a safety margin from the failure zones.</w:t>
      </w:r>
    </w:p>
    <w:p>
      <w:pPr>
        <w:spacing w:before="60" w:after="60"/>
      </w:pPr>
      <w:r>
        <w:t xml:space="preserve"/>
      </w:r>
    </w:p>
    <w:p>
      <w:pPr>
        <w:pStyle w:val="Heading2"/>
        <w:spacing w:before="280" w:after="120"/>
      </w:pPr>
      <w:r>
        <w:rPr>
          <w:rFonts w:ascii="Arial" w:cs="Arial" w:eastAsia="Arial" w:hAnsi="Arial"/>
          <w:b/>
          <w:bCs/>
          <w:color w:val="2E75B6"/>
          <w:sz w:val="24"/>
          <w:szCs w:val="24"/>
        </w:rPr>
        <w:t xml:space="preserve">7.2 Freeze-Thaw Stress (CCI Post F/T)</w:t>
      </w:r>
    </w:p>
    <w:p>
      <w:pPr>
        <w:spacing w:before="80" w:after="80"/>
      </w:pPr>
      <w:r>
        <w:rPr>
          <w:rFonts w:ascii="Arial" w:cs="Arial" w:eastAsia="Arial" w:hAnsi="Arial"/>
          <w:color w:val="404040"/>
          <w:sz w:val="20"/>
          <w:szCs w:val="20"/>
        </w:rPr>
        <w:t xml:space="preserve">Vials (n=30) were subjected to 5 freeze-thaw cycles (-80°C / +25°C) and re-tested by vacuum decay to assess integrity after thermal cycling. This simulates potential cold-chain excursions.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1600"/>
        <w:gridCol w:w="316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Vials</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Failures</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Failure Rate</w:t>
            </w:r>
          </w:p>
        </w:tc>
        <w:tc>
          <w:tcPr>
            <w:tcW w:type="dxa" w:w="3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Conclusion</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Baseline (no F/T)</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3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Post 1 F/T cycle</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30</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3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Post 3 F/T cycles</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3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Post 5 F/T cycles</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30</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3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bl>
    <w:p>
      <w:pPr>
        <w:spacing w:before="60" w:after="60"/>
      </w:pPr>
      <w:r>
        <w:t xml:space="preserve"/>
      </w:r>
    </w:p>
    <w:p>
      <w:pPr>
        <w:pStyle w:val="Heading2"/>
        <w:spacing w:before="280" w:after="120"/>
      </w:pPr>
      <w:r>
        <w:rPr>
          <w:rFonts w:ascii="Arial" w:cs="Arial" w:eastAsia="Arial" w:hAnsi="Arial"/>
          <w:b/>
          <w:bCs/>
          <w:color w:val="2E75B6"/>
          <w:sz w:val="24"/>
          <w:szCs w:val="24"/>
        </w:rPr>
        <w:t xml:space="preserve">7.3 Mechanical Shock and Vibration Study</w:t>
      </w:r>
    </w:p>
    <w:p>
      <w:pPr>
        <w:spacing w:before="80" w:after="80"/>
      </w:pPr>
      <w:r>
        <w:rPr>
          <w:rFonts w:ascii="Arial" w:cs="Arial" w:eastAsia="Arial" w:hAnsi="Arial"/>
          <w:color w:val="404040"/>
          <w:sz w:val="20"/>
          <w:szCs w:val="20"/>
        </w:rPr>
        <w:t xml:space="preserve">Vials (n=20) were subjected to simulated shipping conditions per ISTA 2A (random vibration, drop testing, low pressure simulation) and re-tested by vacuum decay.</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800"/>
        <w:gridCol w:w="1200"/>
        <w:gridCol w:w="216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Stress Type</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Standard</w:t>
            </w:r>
          </w:p>
        </w:tc>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Vials</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Failures</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Conclusion</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Random vibration (shipping)</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ISTA 2A, 30 min/axis</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Drop test (60 cm, flat/corner)</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ISTA 2A, 5 drops</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Low pressure (altitude simulation, 11.6 kPa)</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ASTM D4169, Cycle C</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2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Combined (vibration + drop)</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ISTA 2A complete sequence</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w:t>
            </w:r>
          </w:p>
        </w:tc>
        <w:tc>
          <w:tcPr>
            <w:tcW w:type="dxa" w:w="2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bl>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8. STABILITY-LINKED CCI TESTING</w:t>
      </w:r>
    </w:p>
    <w:p>
      <w:pPr>
        <w:pStyle w:val="Heading2"/>
        <w:spacing w:before="280" w:after="120"/>
      </w:pPr>
      <w:r>
        <w:rPr>
          <w:rFonts w:ascii="Arial" w:cs="Arial" w:eastAsia="Arial" w:hAnsi="Arial"/>
          <w:b/>
          <w:bCs/>
          <w:color w:val="2E75B6"/>
          <w:sz w:val="24"/>
          <w:szCs w:val="24"/>
        </w:rPr>
        <w:t xml:space="preserve">8.1 CCI on Stability Samples</w:t>
      </w:r>
    </w:p>
    <w:p>
      <w:pPr>
        <w:spacing w:before="80" w:after="80"/>
      </w:pPr>
      <w:r>
        <w:rPr>
          <w:rFonts w:ascii="Arial" w:cs="Arial" w:eastAsia="Arial" w:hAnsi="Arial"/>
          <w:color w:val="404040"/>
          <w:sz w:val="20"/>
          <w:szCs w:val="20"/>
        </w:rPr>
        <w:t xml:space="preserve">Container closure integrity testing is incorporated into the stability protocol (CVM-CMC-STA-001) as a stability-indicating test. Both vacuum decay (primary) and headspace O2 analysis (secondary) are performed at selected stability time points to confirm maintenance of CCI throughout shelf life.</w:t>
      </w:r>
    </w:p>
    <w:p>
      <w:pPr>
        <w:spacing w:before="60" w:after="60"/>
      </w:pPr>
      <w:r>
        <w:t xml:space="preserve"/>
      </w:r>
    </w:p>
    <w:p>
      <w:pPr>
        <w:pStyle w:val="Heading2"/>
        <w:spacing w:before="280" w:after="120"/>
      </w:pPr>
      <w:r>
        <w:rPr>
          <w:rFonts w:ascii="Arial" w:cs="Arial" w:eastAsia="Arial" w:hAnsi="Arial"/>
          <w:b/>
          <w:bCs/>
          <w:color w:val="2E75B6"/>
          <w:sz w:val="24"/>
          <w:szCs w:val="24"/>
        </w:rPr>
        <w:t xml:space="preserve">8.2 Headspace Oxygen Analysis (Secondary CCI Indicator)</w:t>
      </w:r>
    </w:p>
    <w:p>
      <w:pPr>
        <w:spacing w:before="80" w:after="80"/>
      </w:pPr>
      <w:r>
        <w:rPr>
          <w:rFonts w:ascii="Arial" w:cs="Arial" w:eastAsia="Arial" w:hAnsi="Arial"/>
          <w:color w:val="404040"/>
          <w:sz w:val="20"/>
          <w:szCs w:val="20"/>
        </w:rPr>
        <w:t xml:space="preserve">Headspace oxygen analysis was conducted using the Lighthouse FMS-Headspace analyzer (laser-based O2 measurement, non-destructive). Vials were filled under nitrogen overlay targeting &lt; 1% O2 headspace. Vials were retested on stability to detect any O2 ingress indicative of slow leak paths not detected by vacuum decay.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800"/>
        <w:gridCol w:w="1600"/>
        <w:gridCol w:w="1600"/>
        <w:gridCol w:w="1600"/>
        <w:gridCol w:w="1160"/>
      </w:tblGrid>
      <w:tr>
        <w:trPr>
          <w:tblHeader/>
        </w:trPr>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Stability Time Point</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Storage Condition</w:t>
            </w:r>
          </w:p>
        </w:tc>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Vials</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 Headspace O2 (%)</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 Headspace O2 (%)</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1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T=0 (fill day)</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N/A</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0.34%</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0.51%</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1.0%</w:t>
            </w:r>
          </w:p>
        </w:tc>
        <w:tc>
          <w:tcPr>
            <w:tcW w:type="dxa" w:w="1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T=1 month</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5°C (real-time)</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0.36%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0.54%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1.0%</w:t>
            </w:r>
          </w:p>
        </w:tc>
        <w:tc>
          <w:tcPr>
            <w:tcW w:type="dxa" w:w="1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T=3 months</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5°C (real-time)</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0.37%</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0.55%</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1.0%</w:t>
            </w:r>
          </w:p>
        </w:tc>
        <w:tc>
          <w:tcPr>
            <w:tcW w:type="dxa" w:w="1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T=6 months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5°C (real-time)</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0.39%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0.58%</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1.0%</w:t>
            </w:r>
          </w:p>
        </w:tc>
        <w:tc>
          <w:tcPr>
            <w:tcW w:type="dxa" w:w="1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T=1 month</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25°C/60% RH (accelerated)</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0.40%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0.60%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1.0%</w:t>
            </w:r>
          </w:p>
        </w:tc>
        <w:tc>
          <w:tcPr>
            <w:tcW w:type="dxa" w:w="1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T=3 months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25°C/60% RH (accelerated)</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0.41%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0.62%</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1.0%</w:t>
            </w:r>
          </w:p>
        </w:tc>
        <w:tc>
          <w:tcPr>
            <w:tcW w:type="dxa" w:w="1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T=1 month</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40°C/75% RH (accelerated)</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0.43%</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0.65%</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1.0%</w:t>
            </w:r>
          </w:p>
        </w:tc>
        <w:tc>
          <w:tcPr>
            <w:tcW w:type="dxa" w:w="1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bl>
    <w:p>
      <w:pPr>
        <w:spacing w:before="80" w:after="80"/>
      </w:pPr>
      <w:r>
        <w:rPr>
          <w:rFonts w:ascii="Arial" w:cs="Arial" w:eastAsia="Arial" w:hAnsi="Arial"/>
          <w:i/>
          <w:iCs/>
          <w:color w:val="404040"/>
          <w:sz w:val="20"/>
          <w:szCs w:val="20"/>
        </w:rPr>
        <w:t xml:space="preserve">Headspace O2 levels remained stable and well below the 1.0% limit across all time points and conditions. No evidence of O2 ingress was detected, confirming sustained CCI throughout the stability study period.</w:t>
      </w:r>
    </w:p>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9. SUMMARY OF CCI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rPr>
          <w:tblHeader/>
        </w:trPr>
        <w:tc>
          <w:tcPr>
            <w:tcW w:type="dxa" w:w="3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Validation Parameter</w:t>
            </w:r>
          </w:p>
        </w:tc>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Acceptance Criterion</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c>
          <w:tcPr>
            <w:tcW w:type="dxa" w:w="1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Pass/Fail</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Limit of Detection (vacuum decay)</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 μm ECO (minimum defect detectable)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 μm ECO achieved</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 detection (10 μm)</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≥90% detection rate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90% (9/10)</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 detection (20 μm)</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≥90% detection rate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 (10/10)</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 detection (50 μm)</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≥90% detection rate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100% (10/10)</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Specificity (false positive rate, intact)</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≤3.3% (1/30)</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 (0/30)</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Intra-day repeatability (intact, %RSD)</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≤15% RSD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8.2% RSD</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Inter-analyst reproducibility (%RSD)</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 RSD</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11.4% RSD</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Dye ingress concordance (20 μm)</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≥90% cross-validation agreement</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100%</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Post F/T integrity (5 cycles)</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 failures</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0/30 failures</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Post shipping simulation integrity</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 failures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0/20 failures</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Headspace O2 (T=6 months, 5°C)</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1.0%</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0.39% mean</w:t>
            </w:r>
          </w:p>
        </w:tc>
        <w:tc>
          <w:tcPr>
            <w:tcW w:type="dxa" w:w="1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Crimping force range (100–200 N)</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 CCI failures within range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 failures</w:t>
            </w:r>
          </w:p>
        </w:tc>
        <w:tc>
          <w:tcPr>
            <w:tcW w:type="dxa" w:w="1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bl>
    <w:p>
      <w:pPr>
        <w:spacing w:before="60" w:after="60"/>
      </w:pPr>
      <w:r>
        <w:t xml:space="preserve"/>
      </w:r>
    </w:p>
    <w:p>
      <w:pPr>
        <w:pBdr>
          <w:left w:val="single" w:color="1F6B3E" w:sz="16"/>
        </w:pBdr>
        <w:shd w:fill="D6F0E3" w:val="clear"/>
        <w:spacing w:before="120" w:after="120"/>
        <w:ind w:left="180"/>
      </w:pPr>
      <w:r>
        <w:rPr>
          <w:rFonts w:ascii="Arial" w:cs="Arial" w:eastAsia="Arial" w:hAnsi="Arial"/>
          <w:color w:val="1F6B3E"/>
          <w:sz w:val="19"/>
          <w:szCs w:val="19"/>
        </w:rPr>
        <w:t xml:space="preserve">Overall Validation Conclusion: The vacuum decay method (10 mbar, 10 sec equilibration, 10 sec test) is validated as the primary CCI test for Cervimab DP (20 mL glass vial, FluroTec stopper, aluminum crimp seal). All acceptance criteria were met. The validated method will be used for Phase 1 batch release and stability testing.</w:t>
      </w:r>
    </w:p>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10. ROUTINE CCI TEST ACCEPTANCE CRITERIA AND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6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Routine Test Specification</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Primary Method</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Vacuum Decay (ASTM F2338; Uson Optima vT)</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Vacuum Level</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 mbar (absolute)</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Equilibration Time</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 seconds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Test Time</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 seconds</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Test Temperature</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 ± 5°C (ambient)</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 Criterion (Δmbar threshold)</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≤0.15 Δmbar (3-sigma limit above intact vial mean: 0.04 + 3x0.037 = 0.15)</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Sample Size (release)</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AQL 0.065 per MIL-STD-1916 Class I critical defect; minimum 20 vials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Controls Required Per Run?</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1 x 20 μm positive control must be detected; 1 x intact negative control must pass</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Failed Vial Disposition</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Reject; do not release for clinical use; investigate per CVM-QA-DEV-001</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Secondary Method (stability only)</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Headspace O2 analysis; acceptance: &lt; 1.0% O2</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Frequency</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Every production batch (release); every stability time point per STA-001</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Analyst Qualification Required?</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Yes; must complete CCI instrument training CVM-CMC-TRN-011</w:t>
            </w:r>
          </w:p>
        </w:tc>
      </w:tr>
    </w:tbl>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11. CONCLUSIONS</w:t>
      </w:r>
    </w:p>
    <w:p>
      <w:pPr>
        <w:spacing w:before="80" w:after="80"/>
      </w:pPr>
      <w:r>
        <w:rPr>
          <w:rFonts w:ascii="Arial" w:cs="Arial" w:eastAsia="Arial" w:hAnsi="Arial"/>
          <w:color w:val="404040"/>
          <w:sz w:val="20"/>
          <w:szCs w:val="20"/>
        </w:rPr>
        <w:t xml:space="preserve">This Container Closure Integrity Validation Report demonstrates that the container closure system selected for Cervimab Drug Product (20 mL Type I borosilicate glass vial, 20 mm West FluroTec® stopper, aluminum crimp seal) provides robust and validated protection against microbial ingress, oxygen ingress, and liquid leakage throughout the proposed Phase 1 shelf life.</w:t>
      </w:r>
    </w:p>
    <w:p>
      <w:pPr>
        <w:spacing w:before="60" w:after="60"/>
      </w:pPr>
      <w:r>
        <w:t xml:space="preserve"/>
      </w:r>
    </w:p>
    <w:p>
      <w:pPr>
        <w:spacing w:before="80" w:after="80"/>
      </w:pPr>
      <w:r>
        <w:rPr>
          <w:rFonts w:ascii="Arial" w:cs="Arial" w:eastAsia="Arial" w:hAnsi="Arial"/>
          <w:color w:val="404040"/>
          <w:sz w:val="20"/>
          <w:szCs w:val="20"/>
        </w:rPr>
        <w:t xml:space="preserve">Key conclusions:</w:t>
      </w:r>
    </w:p>
    <w:p>
      <w:pPr>
        <w:pStyle w:val="ListParagraph"/>
        <w:numPr>
          <w:ilvl w:val="0"/>
          <w:numId w:val="2"/>
        </w:numPr>
        <w:spacing w:before="40" w:after="40"/>
      </w:pPr>
      <w:r>
        <w:rPr>
          <w:rFonts w:ascii="Arial" w:cs="Arial" w:eastAsia="Arial" w:hAnsi="Arial"/>
          <w:color w:val="404040"/>
          <w:sz w:val="20"/>
          <w:szCs w:val="20"/>
        </w:rPr>
        <w:t xml:space="preserve">The vacuum decay method was validated with a 10 μm minimum detectable leak size, well below the threshold for microbial ingress.</w:t>
      </w:r>
    </w:p>
    <w:p>
      <w:pPr>
        <w:pStyle w:val="ListParagraph"/>
        <w:numPr>
          <w:ilvl w:val="0"/>
          <w:numId w:val="2"/>
        </w:numPr>
        <w:spacing w:before="40" w:after="40"/>
      </w:pPr>
      <w:r>
        <w:rPr>
          <w:rFonts w:ascii="Arial" w:cs="Arial" w:eastAsia="Arial" w:hAnsi="Arial"/>
          <w:color w:val="404040"/>
          <w:sz w:val="20"/>
          <w:szCs w:val="20"/>
        </w:rPr>
        <w:t xml:space="preserve">Zero false positives were observed in 30 intact control vials, confirming high specificity.</w:t>
      </w:r>
    </w:p>
    <w:p>
      <w:pPr>
        <w:pStyle w:val="ListParagraph"/>
        <w:numPr>
          <w:ilvl w:val="0"/>
          <w:numId w:val="2"/>
        </w:numPr>
        <w:spacing w:before="40" w:after="40"/>
      </w:pPr>
      <w:r>
        <w:rPr>
          <w:rFonts w:ascii="Arial" w:cs="Arial" w:eastAsia="Arial" w:hAnsi="Arial"/>
          <w:color w:val="404040"/>
          <w:sz w:val="20"/>
          <w:szCs w:val="20"/>
        </w:rPr>
        <w:t xml:space="preserve">Inter-analyst reproducibility met all criteria (%RSD ≤20%).</w:t>
      </w:r>
    </w:p>
    <w:p>
      <w:pPr>
        <w:pStyle w:val="ListParagraph"/>
        <w:numPr>
          <w:ilvl w:val="0"/>
          <w:numId w:val="2"/>
        </w:numPr>
        <w:spacing w:before="40" w:after="40"/>
      </w:pPr>
      <w:r>
        <w:rPr>
          <w:rFonts w:ascii="Arial" w:cs="Arial" w:eastAsia="Arial" w:hAnsi="Arial"/>
          <w:color w:val="404040"/>
          <w:sz w:val="20"/>
          <w:szCs w:val="20"/>
        </w:rPr>
        <w:t xml:space="preserve">Orthogonal confirmation by dye ingress validated vacuum decay sensitivity.</w:t>
      </w:r>
    </w:p>
    <w:p>
      <w:pPr>
        <w:pStyle w:val="ListParagraph"/>
        <w:numPr>
          <w:ilvl w:val="0"/>
          <w:numId w:val="2"/>
        </w:numPr>
        <w:spacing w:before="40" w:after="40"/>
      </w:pPr>
      <w:r>
        <w:rPr>
          <w:rFonts w:ascii="Arial" w:cs="Arial" w:eastAsia="Arial" w:hAnsi="Arial"/>
          <w:color w:val="404040"/>
          <w:sz w:val="20"/>
          <w:szCs w:val="20"/>
        </w:rPr>
        <w:t xml:space="preserve">Container closure integrity was maintained under worst-case crimping force variation, 5 freeze-thaw cycles, and ISTA 2A shipping simulation.</w:t>
      </w:r>
    </w:p>
    <w:p>
      <w:pPr>
        <w:pStyle w:val="ListParagraph"/>
        <w:numPr>
          <w:ilvl w:val="0"/>
          <w:numId w:val="2"/>
        </w:numPr>
        <w:spacing w:before="40" w:after="40"/>
      </w:pPr>
      <w:r>
        <w:rPr>
          <w:rFonts w:ascii="Arial" w:cs="Arial" w:eastAsia="Arial" w:hAnsi="Arial"/>
          <w:color w:val="404040"/>
          <w:sz w:val="20"/>
          <w:szCs w:val="20"/>
        </w:rPr>
        <w:t xml:space="preserve">Headspace oxygen remained stable over 6 months at real-time conditions, confirming long-term seal integrity.</w:t>
      </w:r>
    </w:p>
    <w:p>
      <w:pPr>
        <w:pStyle w:val="ListParagraph"/>
        <w:numPr>
          <w:ilvl w:val="0"/>
          <w:numId w:val="2"/>
        </w:numPr>
        <w:spacing w:before="40" w:after="40"/>
      </w:pPr>
      <w:r>
        <w:rPr>
          <w:rFonts w:ascii="Arial" w:cs="Arial" w:eastAsia="Arial" w:hAnsi="Arial"/>
          <w:color w:val="404040"/>
          <w:sz w:val="20"/>
          <w:szCs w:val="20"/>
        </w:rPr>
        <w:t xml:space="preserve">The validated CCI test procedure is suitable for routine Phase 1 batch release and stability testing.</w:t>
      </w:r>
    </w:p>
    <w:p>
      <w:pPr>
        <w:spacing w:before="60" w:after="60"/>
      </w:pPr>
      <w:r>
        <w:t xml:space="preserve"/>
      </w:r>
    </w:p>
    <w:p>
      <w:pPr>
        <w:spacing w:before="80" w:after="80"/>
      </w:pPr>
      <w:r>
        <w:rPr>
          <w:rFonts w:ascii="Arial" w:cs="Arial" w:eastAsia="Arial" w:hAnsi="Arial"/>
          <w:color w:val="404040"/>
          <w:sz w:val="20"/>
          <w:szCs w:val="20"/>
        </w:rPr>
        <w:t xml:space="preserve">This CCI validation supports the Phase 1 IND CMC filing and complies with USP &lt;1207&gt;, ICH Q1A(R2), 21 CFR 211.94, and FDA guidance for container closure integrity of sterile biologic products.</w:t>
      </w:r>
    </w:p>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12. APPENDICES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rPr>
          <w:tblHeader/>
        </w:trPr>
        <w:tc>
          <w:tcPr>
            <w:tcW w:type="dxa" w:w="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Appendix</w:t>
            </w:r>
          </w:p>
        </w:tc>
        <w:tc>
          <w:tcPr>
            <w:tcW w:type="dxa" w:w="6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Title</w:t>
            </w:r>
          </w:p>
        </w:tc>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Vacuum Decay Method Procedure (SOP CVM-CMC-SOP-CCI-001)</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Attached</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Uson Optima vT IQ/OQ/PQ Qualification Package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Attached</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Positive Control Vial FIB-SEM Characterization Report</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Attached</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Dye Ingress Raw Data and Visual Inspection Photographs</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Attached</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Headspace O2 Analysis Raw Data (T0 through T=6 months)</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Attached</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Crimping Force Validation Study Raw Data</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Attached</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G</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ISTA 2A Shipping Simulation Report</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Attached</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H</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Freeze-Thaw CCI Raw Data</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Attached</w:t>
            </w:r>
          </w:p>
        </w:tc>
      </w:tr>
      <w:tr>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West Pharmaceutical Services FluroTec® Extractables/Leachables Data Package (Reference)</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On file</w:t>
            </w:r>
          </w:p>
        </w:tc>
      </w:tr>
      <w:tr>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J</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Schott FIOLAX® Type I Glass Drug Master File (DMF) Reference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On file</w:t>
            </w:r>
          </w:p>
        </w:tc>
      </w:tr>
    </w:tbl>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13. 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 Title</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Printed Name / Signature</w:t>
            </w:r>
          </w:p>
        </w:tc>
        <w:tc>
          <w:tcPr>
            <w:tcW w:type="dxa" w:w="3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CCI Study Lead / QC Analyst</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CMC Development Lead</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Pharmaceutical Sciences Head</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QA Reviewer</w:t>
            </w:r>
          </w:p>
        </w:tc>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QA Approver (Authorized Person)</w:t>
            </w:r>
          </w:p>
        </w:tc>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___________________________</w:t>
            </w:r>
          </w:p>
        </w:tc>
        <w:tc>
          <w:tcPr>
            <w:tcW w:type="dxa" w:w="3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___________</w:t>
            </w:r>
          </w:p>
        </w:tc>
      </w:tr>
    </w:tbl>
    <w:p>
      <w:pPr>
        <w:spacing w:before="60" w:after="60"/>
      </w:pPr>
      <w:r>
        <w:t xml:space="preserve"/>
      </w:r>
    </w:p>
    <w:p>
      <w:pPr>
        <w:pBdr>
          <w:top w:val="single" w:color="2E75B6" w:sz="4" w:space="6"/>
        </w:pBdr>
        <w:spacing w:before="240" w:after="80"/>
        <w:jc w:val="center"/>
      </w:pPr>
      <w:r>
        <w:rPr>
          <w:rFonts w:ascii="Arial" w:cs="Arial" w:eastAsia="Arial" w:hAnsi="Arial"/>
          <w:b/>
          <w:bCs/>
          <w:color w:val="1F4E79"/>
          <w:sz w:val="18"/>
          <w:szCs w:val="18"/>
        </w:rPr>
        <w:t xml:space="preserve">END OF CONTAINER CLOSURE INTEGRITY VALIDATION REPORT  —  CVM-CMC-CCI-001  —  EXAMPLE DOCUMENT ONLY</w:t>
      </w:r>
    </w:p>
    <w:p>
      <w:pPr>
        <w:spacing w:before="80" w:after="80"/>
      </w:pPr>
      <w:r>
        <w:rPr>
          <w:rFonts w:ascii="Arial" w:cs="Arial" w:eastAsia="Arial" w:hAnsi="Arial"/>
          <w:i/>
          <w:iCs/>
          <w:color w:val="888888"/>
          <w:sz w:val="20"/>
          <w:szCs w:val="20"/>
        </w:rPr>
        <w:t xml:space="preserve">This document is provided for illustrative and educational purposes only. It does not represent an actual product, actual validation study, or regulatory submission. All data, lot numbers, and personnel identifiers are fictional.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404040"/>
        <w:sz w:val="16"/>
        <w:szCs w:val="16"/>
      </w:rPr>
      <w:t xml:space="preserve">Doc No: CVM-CMC-CCI-001  |  Phase 1 IND  |  Version 1.0  |  Example BioPharma, Inc.  |  NOT FOR REGULATORY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80"/>
    </w:pPr>
    <w:r>
      <w:rPr>
        <w:rFonts w:ascii="Arial" w:cs="Arial" w:eastAsia="Arial" w:hAnsi="Arial"/>
        <w:b/>
        <w:bCs/>
        <w:color w:val="1F4E79"/>
        <w:sz w:val="16"/>
        <w:szCs w:val="16"/>
      </w:rPr>
      <w:t xml:space="preserve">CERVIMAB  |  Container Closure Integrity Validation Report  |  Phase 1 CMC</w:t>
    </w:r>
    <w:r>
      <w:rPr>
        <w:rFonts w:ascii="Arial" w:cs="Arial" w:eastAsia="Arial" w:hAnsi="Arial"/>
        <w:color w:val="AA0000"/>
        <w:sz w:val="16"/>
        <w:szCs w:val="16"/>
      </w:rPr>
      <w:t xml:space="preserve">	CONFIDENTIAL  |  EXAMPLE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2026-03-16T13:39:55.469Z</dcterms:created>
  <dcterms:modified xsi:type="dcterms:W3CDTF">2026-03-16T13:39:55.469Z</dcterms:modified>
</cp:coreProperties>
</file>

<file path=docProps/custom.xml><?xml version="1.0" encoding="utf-8"?>
<Properties xmlns="http://schemas.openxmlformats.org/officeDocument/2006/custom-properties" xmlns:vt="http://schemas.openxmlformats.org/officeDocument/2006/docPropsVTypes"/>
</file>