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4E79"/>
          <w:sz w:val="44"/>
          <w:szCs w:val="44"/>
        </w:rPr>
        <w:t xml:space="preserve">DRUG PRODUCT PROCESS DEVELOPMENT REPORT</w:t>
      </w:r>
    </w:p>
    <w:p>
      <w:pPr>
        <w:spacing w:before="80" w:after="80"/>
        <w:jc w:val="center"/>
      </w:pPr>
      <w:r>
        <w:rPr>
          <w:rFonts w:ascii="Arial" w:cs="Arial" w:eastAsia="Arial" w:hAnsi="Arial"/>
          <w:b/>
          <w:bCs/>
          <w:color w:val="2E75B6"/>
          <w:sz w:val="30"/>
          <w:szCs w:val="30"/>
        </w:rPr>
        <w:t xml:space="preserve">Cervimab (Anti-PD-1 Monoclonal Antibody)</w:t>
      </w:r>
    </w:p>
    <w:p>
      <w:pPr>
        <w:spacing w:before="60" w:after="60"/>
        <w:jc w:val="center"/>
      </w:pPr>
      <w:r>
        <w:rPr>
          <w:rFonts w:ascii="Arial" w:cs="Arial" w:eastAsia="Arial" w:hAnsi="Arial"/>
          <w:color w:val="404040"/>
          <w:sz w:val="22"/>
          <w:szCs w:val="22"/>
        </w:rPr>
        <w:t xml:space="preserve">200 mg/10 mL (20 mg/mL) Concentrate for Solution for Infusion</w:t>
      </w:r>
    </w:p>
    <w:p>
      <w:pPr>
        <w:spacing w:before="60" w:after="60"/>
        <w:jc w:val="center"/>
      </w:pPr>
      <w:r>
        <w:rPr>
          <w:rFonts w:ascii="Arial" w:cs="Arial" w:eastAsia="Arial" w:hAnsi="Arial"/>
          <w:color w:val="404040"/>
          <w:sz w:val="22"/>
          <w:szCs w:val="22"/>
        </w:rPr>
        <w:t xml:space="preserve">Phase 1 Investigational New Drug Application (IND)</w:t>
      </w:r>
    </w:p>
    <w:p>
      <w:pPr>
        <w:spacing w:before="60" w:after="60"/>
      </w:pPr>
      <w:r>
        <w:t xml:space="preserve"/>
      </w:r>
    </w:p>
    <w:p>
      <w:pPr>
        <w:pBdr>
          <w:top w:val="single" w:color="AA0000" w:sz="4" w:space="4"/>
          <w:bottom w:val="single" w:color="AA0000" w:sz="4" w:space="4"/>
        </w:pBdr>
        <w:spacing w:before="160" w:after="160"/>
        <w:jc w:val="center"/>
      </w:pPr>
      <w:r>
        <w:rPr>
          <w:rFonts w:ascii="Arial" w:cs="Arial" w:eastAsia="Arial" w:hAnsi="Arial"/>
          <w:b/>
          <w:bCs/>
          <w:color w:val="AA0000"/>
          <w:sz w:val="20"/>
          <w:szCs w:val="20"/>
        </w:rPr>
        <w:t xml:space="preserve">FOR EXAMPLE / ILLUSTRATIVE PURPOSES ONLY  –  NOT FOR ACTUAL REGULATORY SUBMISSION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r>
              <w:rPr>
                <w:rFonts w:ascii="Arial" w:cs="Arial" w:eastAsia="Arial" w:hAnsi="Arial"/>
                <w:b/>
                <w:bCs/>
                <w:color w:val="1F4E79"/>
                <w:sz w:val="18"/>
                <w:szCs w:val="18"/>
              </w:rPr>
              <w:t xml:space="preserve">Document Number:</w:t>
            </w:r>
          </w:p>
        </w:tc>
        <w:tc>
          <w:tcPr>
            <w:tcW w:type="dxa" w:w="6360"/>
            <w:tcBorders>
              <w:top w:val="single" w:color="AAAAAA" w:sz="4"/>
              <w:left w:val="single" w:color="AAAAAA" w:sz="4"/>
              <w:bottom w:val="single" w:color="AAAAAA" w:sz="4"/>
              <w:right w:val="single" w:color="AAAAAA" w:sz="4"/>
            </w:tcBorders>
            <w:shd w:fill="D6E4F0" w:val="clear"/>
            <w:tcMar>
              <w:top w:type="dxa" w:w="60"/>
              <w:left w:type="dxa" w:w="120"/>
              <w:bottom w:type="dxa" w:w="60"/>
              <w:right w:type="dxa" w:w="120"/>
            </w:tcMar>
            <w:vAlign w:val="center"/>
          </w:tcPr>
          <w:p>
            <w:r>
              <w:rPr>
                <w:rFonts w:ascii="Arial" w:cs="Arial" w:eastAsia="Arial" w:hAnsi="Arial"/>
                <w:b/>
                <w:bCs/>
                <w:color w:val="1F4E79"/>
                <w:sz w:val="18"/>
                <w:szCs w:val="18"/>
              </w:rPr>
              <w:t xml:space="preserve">CVM-CMC-PDR-001</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Version:</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(Phase 1 IND Filing)</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Product Name:</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Cervimab (Anti-PD-1 mAb, IgG4 isotype)</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Indication:</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dMMR/MSI-H Metastatic Colorectal Cancer</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Sponsor:</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Example BioPharma, Inc.</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Date:</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[DD-MMM-YYYY]</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Authored By:</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CMC Development Team</w:t>
            </w:r>
          </w:p>
        </w:tc>
      </w:tr>
      <w:tr>
        <w:tc>
          <w:tcPr>
            <w:tcW w:type="dxa" w:w="3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Reviewed By:</w:t>
            </w:r>
          </w:p>
        </w:tc>
        <w:tc>
          <w:tcPr>
            <w:tcW w:type="dxa" w:w="6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Head of Pharmaceutical Sciences</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Approved By:</w:t>
            </w:r>
          </w:p>
        </w:tc>
        <w:tc>
          <w:tcPr>
            <w:tcW w:type="dxa" w:w="6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VP of CMC / Regulatory Affairs</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1. EXECUTIVE SUMMARY</w:t>
      </w:r>
    </w:p>
    <w:p>
      <w:pPr>
        <w:spacing w:before="80" w:after="80"/>
      </w:pPr>
      <w:r>
        <w:rPr>
          <w:rFonts w:ascii="Arial" w:cs="Arial" w:eastAsia="Arial" w:hAnsi="Arial"/>
          <w:color w:val="404040"/>
          <w:sz w:val="20"/>
          <w:szCs w:val="20"/>
        </w:rPr>
        <w:t xml:space="preserve">This Process Development Report (PDR) summarizes the pharmaceutical development activities conducted for Cervimab Drug Product (DP), a sterile, preservative-free, liquid formulation of an anti-PD-1 monoclonal antibody (IgG4 isotype) intended for intravenous infusion. Cervimab targets the Programmed Cell Death Protein 1 (PD-1) receptor to restore T-cell-mediated anti-tumor immunity and is being developed for the treatment of mismatch repair-deficient (dMMR) / microsatellite instability-high (MSI-H) metastatic colorectal cancer (mCRC).</w:t>
      </w:r>
    </w:p>
    <w:p>
      <w:pPr>
        <w:spacing w:before="80" w:after="80"/>
      </w:pPr>
      <w:r>
        <w:rPr>
          <w:rFonts w:ascii="Arial" w:cs="Arial" w:eastAsia="Arial" w:hAnsi="Arial"/>
          <w:color w:val="404040"/>
          <w:sz w:val="20"/>
          <w:szCs w:val="20"/>
        </w:rPr>
        <w:t xml:space="preserve">This report supports the Phase 1 Investigational New Drug (IND) Application submitted to the United States Food and Drug Administration (FDA) and documents compliance with 21 CFR Parts 210, 211, and 600 series; ICH Q8(R2), Q9, Q10; and FDA guidance documents including the 2019 CMC guidance for early-phase INDs.</w:t>
      </w:r>
    </w:p>
    <w:p>
      <w:pPr>
        <w:spacing w:before="60" w:after="60"/>
      </w:pPr>
      <w:r>
        <w:t xml:space="preserve"/>
      </w:r>
    </w:p>
    <w:p>
      <w:pPr>
        <w:spacing w:before="80" w:after="80"/>
      </w:pPr>
      <w:r>
        <w:rPr>
          <w:rFonts w:ascii="Arial" w:cs="Arial" w:eastAsia="Arial" w:hAnsi="Arial"/>
          <w:b/>
          <w:bCs/>
          <w:color w:val="404040"/>
          <w:sz w:val="20"/>
          <w:szCs w:val="20"/>
        </w:rPr>
        <w:t xml:space="preserve">Key outcomes of Phase 1 process development include:</w:t>
      </w:r>
    </w:p>
    <w:p>
      <w:pPr>
        <w:pStyle w:val="ListParagraph"/>
        <w:numPr>
          <w:ilvl w:val="0"/>
          <w:numId w:val="2"/>
        </w:numPr>
        <w:spacing w:before="40" w:after="40"/>
      </w:pPr>
      <w:r>
        <w:rPr>
          <w:rFonts w:ascii="Arial" w:cs="Arial" w:eastAsia="Arial" w:hAnsi="Arial"/>
          <w:color w:val="404040"/>
          <w:sz w:val="20"/>
          <w:szCs w:val="20"/>
        </w:rPr>
        <w:t xml:space="preserve">Defined a robust liquid formulation (histidine buffer, pH 6.0, sucrose as stabilizer, PS-80 as surfactant) supporting 18-month storage at 2–8°C.</w:t>
      </w:r>
    </w:p>
    <w:p>
      <w:pPr>
        <w:pStyle w:val="ListParagraph"/>
        <w:numPr>
          <w:ilvl w:val="0"/>
          <w:numId w:val="2"/>
        </w:numPr>
        <w:spacing w:before="40" w:after="40"/>
      </w:pPr>
      <w:r>
        <w:rPr>
          <w:rFonts w:ascii="Arial" w:cs="Arial" w:eastAsia="Arial" w:hAnsi="Arial"/>
          <w:color w:val="404040"/>
          <w:sz w:val="20"/>
          <w:szCs w:val="20"/>
        </w:rPr>
        <w:t xml:space="preserve">Established a scalable aseptic fill-finish process at bench scale (2.0 L) suitable for Phase 1 manufacturing.</w:t>
      </w:r>
    </w:p>
    <w:p>
      <w:pPr>
        <w:pStyle w:val="ListParagraph"/>
        <w:numPr>
          <w:ilvl w:val="0"/>
          <w:numId w:val="2"/>
        </w:numPr>
        <w:spacing w:before="40" w:after="40"/>
      </w:pPr>
      <w:r>
        <w:rPr>
          <w:rFonts w:ascii="Arial" w:cs="Arial" w:eastAsia="Arial" w:hAnsi="Arial"/>
          <w:color w:val="404040"/>
          <w:sz w:val="20"/>
          <w:szCs w:val="20"/>
        </w:rPr>
        <w:t xml:space="preserve">Characterized critical quality attributes (CQAs) of the drug product through forced degradation and stress studies.</w:t>
      </w:r>
    </w:p>
    <w:p>
      <w:pPr>
        <w:pStyle w:val="ListParagraph"/>
        <w:numPr>
          <w:ilvl w:val="0"/>
          <w:numId w:val="2"/>
        </w:numPr>
        <w:spacing w:before="40" w:after="40"/>
      </w:pPr>
      <w:r>
        <w:rPr>
          <w:rFonts w:ascii="Arial" w:cs="Arial" w:eastAsia="Arial" w:hAnsi="Arial"/>
          <w:color w:val="404040"/>
          <w:sz w:val="20"/>
          <w:szCs w:val="20"/>
        </w:rPr>
        <w:t xml:space="preserve">Demonstrated container closure integrity and compatibility of Cervimab with Type I borosilicate glass vials and FluroTec-coated stoppers.</w:t>
      </w:r>
    </w:p>
    <w:p>
      <w:pPr>
        <w:pStyle w:val="ListParagraph"/>
        <w:numPr>
          <w:ilvl w:val="0"/>
          <w:numId w:val="2"/>
        </w:numPr>
        <w:spacing w:before="40" w:after="40"/>
      </w:pPr>
      <w:r>
        <w:rPr>
          <w:rFonts w:ascii="Arial" w:cs="Arial" w:eastAsia="Arial" w:hAnsi="Arial"/>
          <w:color w:val="404040"/>
          <w:sz w:val="20"/>
          <w:szCs w:val="20"/>
        </w:rPr>
        <w:t xml:space="preserve">Established preliminary specifications consistent with ICH Q6B and FDA guidance for Phase 1.</w:t>
      </w:r>
    </w:p>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2. BACKGROUND AND MOLECULE CHARACTERIZATION</w:t>
      </w:r>
    </w:p>
    <w:p>
      <w:pPr>
        <w:pStyle w:val="Heading2"/>
        <w:spacing w:before="280" w:after="120"/>
      </w:pPr>
      <w:r>
        <w:rPr>
          <w:rFonts w:ascii="Arial" w:cs="Arial" w:eastAsia="Arial" w:hAnsi="Arial"/>
          <w:b/>
          <w:bCs/>
          <w:color w:val="2E75B6"/>
          <w:sz w:val="24"/>
          <w:szCs w:val="24"/>
        </w:rPr>
        <w:t xml:space="preserve">2.1 Molecule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Property</w:t>
            </w:r>
          </w:p>
        </w:tc>
        <w:tc>
          <w:tcPr>
            <w:tcW w:type="dxa" w:w="6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Molecule Type</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Recombinant human IgG4 monoclonal antibody (mAb)</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Target Antigen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PD-1 (Programmed Death-1; CD279)</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Mechanism of Action</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Blocks PD-1/PD-L1 and PD-1/PD-L2 interactions, restoring T-cell cytotoxic activity</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Expression System</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Chinese Hamster Ovary (CHO-K1) cells, serum-free fed-batch bioreactor</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Heavy Chain Isotype</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IgG4 (S228P hinge stabilizing mutation)</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Light Chain Type</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Kappa (κ)</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Molecular Weight</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~148 kDa (intact mAb, non-glycosylated backbone; glycosylation at Asn-297)</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Glycosylation</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N-linked at CH2 domain; predominantly complex-type biantennary (G0F, G1F, G2F forms)</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Isoelectric Point (pI)</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~8.9 (calculated); ~8.6–9.1 (measured by cIEF)</w:t>
            </w:r>
          </w:p>
        </w:tc>
      </w:tr>
      <w:tr>
        <w:tc>
          <w:tcPr>
            <w:tcW w:type="dxa" w:w="3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Extinction Coefficient (ε280)</w:t>
            </w:r>
          </w:p>
        </w:tc>
        <w:tc>
          <w:tcPr>
            <w:tcW w:type="dxa" w:w="61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1.47 mL mg⁻¹ cm⁻¹ (calculated, ProtParam)</w:t>
            </w:r>
          </w:p>
        </w:tc>
      </w:tr>
      <w:tr>
        <w:tc>
          <w:tcPr>
            <w:tcW w:type="dxa" w:w="3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Disulfide Bonds</w:t>
            </w:r>
          </w:p>
        </w:tc>
        <w:tc>
          <w:tcPr>
            <w:tcW w:type="dxa" w:w="61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 intrachain, 2 interchain (canonical IgG structure)</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2.2 Critical Quality Attributes (CQAs) for Drug Product</w:t>
      </w:r>
    </w:p>
    <w:p>
      <w:pPr>
        <w:pBdr>
          <w:left w:val="single" w:color="2E75B6" w:sz="16"/>
        </w:pBdr>
        <w:shd w:fill="D6E4F0" w:val="clear"/>
        <w:spacing w:before="120" w:after="120"/>
        <w:ind w:left="180"/>
      </w:pPr>
      <w:r>
        <w:rPr>
          <w:rFonts w:ascii="Arial" w:cs="Arial" w:eastAsia="Arial" w:hAnsi="Arial"/>
          <w:b w:val="false"/>
          <w:bCs w:val="false"/>
          <w:color w:val="2E75B6"/>
          <w:sz w:val="19"/>
          <w:szCs w:val="19"/>
        </w:rPr>
        <w:t xml:space="preserve">CQAs are physical, chemical, biological, or microbiological properties or characteristics that should be within an appropriate limit, range, or distribution to ensure the desired product quality. CQAs are defined per ICH Q8(R2) and FDA guidance.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CQA Category</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 Attribute</w:t>
            </w:r>
          </w:p>
        </w:tc>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Criticality Rationale</w:t>
            </w:r>
          </w:p>
        </w:tc>
        <w:tc>
          <w:tcPr>
            <w:tcW w:type="dxa" w:w="2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Strategy</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Identity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Correct heavy/light chain sequence; PD-1 binding</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Ensures therapeutic relevance and patient safety</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MS peptide mapping; SPR binding assay</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Purity – Aggregation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Monomer content (%HMW species by SEC-HPLC)</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Aggregates may increase immunogenicity risk</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SEC-HPLC specification: ≥1% HMW limit</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Purity – Fragmentation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Intact IgG (non-reduced CE-SDS)</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Fragments alter PK/PD profile</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CE-SDS: ≤99% under non-reduced conditions</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Charge Variants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Acidic/basic species (CEX-HPLC)</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Charge heterogeneity from deamidation, C-terminal Lys; affects potency</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CEX-HPLC; report result (Phase 1)</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Potency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Relative cell-based PD-1/PD-L1 blockade activity</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Directly relates to clinical efficacy</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Cell-based assay; 70–130% spec</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Glycosylation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N-glycan profile (CE-LIF or MS)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Affects Fc effector function and PK</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Profile reporting (Phase 1)</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Oxidation (Met-254, Met-432)</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 oxidized Met (peptide map / LC-MS)</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Can reduce Fc-FcRn affinity; affects PK</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RP-HPLC peptide map; limit ≤10%</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Subvisible Particles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Particles per mL (≥1μm, ≥10μm) by MFI/HIAC</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Immunogenicity risk; patient safety</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&lt;787&gt;; MFI for enhanced sensitivity</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Visible Particles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Appearance (color, clarity, visible particles)</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Direct safety concern</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 visual inspection; AQL sampling</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Sterility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microbial growth</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Patient safety (IV route)</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&lt;71&gt;; sterility test on each batch</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Endotoxin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Bacterial endotoxins (LAL)</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Pyrogenicity risk (IV route)</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&lt;85&gt;; limit &lt;0.083 EU/mg</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Container Closure Integrity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headspace O2 ingress or dye ingress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Sterility assurance; oxidative stability</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or dye ingress per ICH Q1A</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3. FORMULATION DEVELOPMENT</w:t>
      </w:r>
    </w:p>
    <w:p>
      <w:pPr>
        <w:pStyle w:val="Heading2"/>
        <w:spacing w:before="280" w:after="120"/>
      </w:pPr>
      <w:r>
        <w:rPr>
          <w:rFonts w:ascii="Arial" w:cs="Arial" w:eastAsia="Arial" w:hAnsi="Arial"/>
          <w:b/>
          <w:bCs/>
          <w:color w:val="2E75B6"/>
          <w:sz w:val="24"/>
          <w:szCs w:val="24"/>
        </w:rPr>
        <w:t xml:space="preserve">3.1 Development Strategy and Rationale</w:t>
      </w:r>
    </w:p>
    <w:p>
      <w:pPr>
        <w:spacing w:before="80" w:after="80"/>
      </w:pPr>
      <w:r>
        <w:rPr>
          <w:rFonts w:ascii="Arial" w:cs="Arial" w:eastAsia="Arial" w:hAnsi="Arial"/>
          <w:color w:val="404040"/>
          <w:sz w:val="20"/>
          <w:szCs w:val="20"/>
        </w:rPr>
        <w:t xml:space="preserve">Formulation development was guided by the physicochemical properties of Cervimab and industry knowledge of IgG4 mAb behavior. A Quality by Design (QbD) approach per ICH Q8(R2) was applied, with formulation screening focused on protein stability, minimizing aggregation, and maintaining potency under relevant stress conditions. The target product profile (TPP) for Phase 1 specified a ready-to-dilute liquid concentrate for IV infusion with a minimum shelf life of 18 months at 2–8°C.</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3.2 Buffer and pH Screening</w:t>
      </w:r>
    </w:p>
    <w:p>
      <w:pPr>
        <w:spacing w:before="80" w:after="80"/>
      </w:pPr>
      <w:r>
        <w:rPr>
          <w:rFonts w:ascii="Arial" w:cs="Arial" w:eastAsia="Arial" w:hAnsi="Arial"/>
          <w:color w:val="404040"/>
          <w:sz w:val="20"/>
          <w:szCs w:val="20"/>
        </w:rPr>
        <w:t xml:space="preserve">A systematic pH and buffer screening study was conducted at 5 mg/mL protein concentration. Accelerated stability (40°C/4 weeks) and freeze-thaw stress (5 cycles, -80°C/+25°C) were used to rank formulations. Three buffer systems were evaluated: citrate (pH 5.0–6.5), histidine (pH 5.5–6.5), and phosphate (pH 6.0–7.2).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2100"/>
        <w:gridCol w:w="1800"/>
        <w:gridCol w:w="1960"/>
        <w:gridCol w:w="1000"/>
      </w:tblGrid>
      <w:tr>
        <w:trPr>
          <w:tblHeader/>
        </w:trPr>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Buffer</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 Tested</w:t>
            </w:r>
          </w:p>
        </w:tc>
        <w:tc>
          <w:tcPr>
            <w:tcW w:type="dxa" w:w="2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Aggregation (SEC-HPLC, % HMW at 40°C/4wk)</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Fragmentation (CE-SDS, % intact)</w:t>
            </w:r>
          </w:p>
        </w:tc>
        <w:tc>
          <w:tcPr>
            <w:tcW w:type="dxa" w:w="1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Viscosity (mPa·s at 20 mg/mL)</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Selected?</w:t>
            </w:r>
          </w:p>
        </w:tc>
      </w:tr>
      <w:tr>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Citrate 10 mM</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5.0</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2.8%</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98.4%</w:t>
            </w:r>
          </w:p>
        </w:tc>
        <w:tc>
          <w:tcPr>
            <w:tcW w:type="dxa" w:w="1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6.2</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Citrate 10 mM</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5.5</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98.8%</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5.8</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Citrate 10 mM</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1.4%</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99.1%</w:t>
            </w:r>
          </w:p>
        </w:tc>
        <w:tc>
          <w:tcPr>
            <w:tcW w:type="dxa" w:w="1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5.6</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Histidine 10 mM</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5.5</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1.6%</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99.0%</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5.5</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Histidine 10 mM</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1.1%</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99.3%</w:t>
            </w:r>
          </w:p>
        </w:tc>
        <w:tc>
          <w:tcPr>
            <w:tcW w:type="dxa" w:w="1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5.3</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YES ✓</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Histidine 10 mM</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6.5</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1.3%</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99.2%</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5.4</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Phosphate 10 mM</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6.5</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1.8%</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98.7%</w:t>
            </w:r>
          </w:p>
        </w:tc>
        <w:tc>
          <w:tcPr>
            <w:tcW w:type="dxa" w:w="1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5.9</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Phosphate 10 mM</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7.0</w:t>
            </w:r>
          </w:p>
        </w:tc>
        <w:tc>
          <w:tcPr>
            <w:tcW w:type="dxa" w:w="2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98.5%</w:t>
            </w:r>
          </w:p>
        </w:tc>
        <w:tc>
          <w:tcPr>
            <w:tcW w:type="dxa" w:w="1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6.1</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r>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Phosphate 10 mM</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7.2</w:t>
            </w:r>
          </w:p>
        </w:tc>
        <w:tc>
          <w:tcPr>
            <w:tcW w:type="dxa" w:w="2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2.6%</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98.3%</w:t>
            </w:r>
          </w:p>
        </w:tc>
        <w:tc>
          <w:tcPr>
            <w:tcW w:type="dxa" w:w="1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6.3</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w:t>
            </w:r>
          </w:p>
        </w:tc>
      </w:tr>
    </w:tbl>
    <w:p>
      <w:pPr>
        <w:spacing w:before="60" w:after="60"/>
      </w:pPr>
      <w:r>
        <w:t xml:space="preserve"/>
      </w:r>
    </w:p>
    <w:p>
      <w:pPr>
        <w:pBdr>
          <w:left w:val="single" w:color="1F6B3E" w:sz="16"/>
        </w:pBdr>
        <w:shd w:fill="D6F0E3" w:val="clear"/>
        <w:spacing w:before="120" w:after="120"/>
        <w:ind w:left="180"/>
      </w:pPr>
      <w:r>
        <w:rPr>
          <w:rFonts w:ascii="Arial" w:cs="Arial" w:eastAsia="Arial" w:hAnsi="Arial"/>
          <w:b w:val="false"/>
          <w:bCs w:val="false"/>
          <w:color w:val="1F6B3E"/>
          <w:sz w:val="19"/>
          <w:szCs w:val="19"/>
        </w:rPr>
        <w:t xml:space="preserve">Selected buffer: 10 mM Histidine/Histidine-HCl, pH 6.0. Rationale: lowest aggregation propensity across all stress conditions tested, minimal buffering interference with IV diluents (0.9% NaCl, 5% Dextrose), and well-established safety profile in approved IgG4 products.</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3.3 Stabilizer Screening</w:t>
      </w:r>
    </w:p>
    <w:p>
      <w:pPr>
        <w:spacing w:before="80" w:after="80"/>
      </w:pPr>
      <w:r>
        <w:rPr>
          <w:rFonts w:ascii="Arial" w:cs="Arial" w:eastAsia="Arial" w:hAnsi="Arial"/>
          <w:color w:val="404040"/>
          <w:sz w:val="20"/>
          <w:szCs w:val="20"/>
        </w:rPr>
        <w:t xml:space="preserve">Excipient screening for stabilizers evaluated sucrose, trehalose, sorbitol, and mannitol at concentrations of 2–10% (w/v) in the selected histidine buffer (pH 6.0). Thermal stress (45°C/2 weeks), freeze-thaw stress (5 cycles), and agitation stress (200 rpm/48 hr) were applied.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900"/>
        <w:gridCol w:w="1900"/>
        <w:gridCol w:w="1700"/>
        <w:gridCol w:w="1560"/>
      </w:tblGrid>
      <w:tr>
        <w:trPr>
          <w:tblHeader/>
        </w:trPr>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Stabilizer</w:t>
            </w:r>
          </w:p>
        </w:tc>
        <w:tc>
          <w:tcPr>
            <w:tcW w:type="dxa" w:w="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 (%w/v)</w:t>
            </w:r>
          </w:p>
        </w:tc>
        <w:tc>
          <w:tcPr>
            <w:tcW w:type="dxa" w:w="1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HMW Post-FT (5x)</w:t>
            </w:r>
          </w:p>
        </w:tc>
        <w:tc>
          <w:tcPr>
            <w:tcW w:type="dxa" w:w="1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HMW Post-Agitation</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Tm1 by DSF (°C)</w:t>
            </w:r>
          </w:p>
        </w:tc>
        <w:tc>
          <w:tcPr>
            <w:tcW w:type="dxa" w:w="1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Sucrose</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0.42%</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0.38%</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71.3</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Suboptimal</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Sucrose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0.22%</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0.19%</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73.8</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Acceptable</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Sucrose</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0.11%</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0.09%</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75.1</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SELECTED</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Sucrose</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0.10%</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0.08%</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75.3</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Comparable; higher osmolality</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Trehalose</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0.14%</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0.12%</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74.4</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Slightly inferior to sucrose</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Sorbitol</w:t>
            </w:r>
          </w:p>
        </w:tc>
        <w:tc>
          <w:tcPr>
            <w:tcW w:type="dxa" w:w="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0.31%</w:t>
            </w:r>
          </w:p>
        </w:tc>
        <w:tc>
          <w:tcPr>
            <w:tcW w:type="dxa" w:w="19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0.27%</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71.0</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Not selected</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Mannitol</w:t>
            </w:r>
          </w:p>
        </w:tc>
        <w:tc>
          <w:tcPr>
            <w:tcW w:type="dxa" w:w="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0.55%</w:t>
            </w:r>
          </w:p>
        </w:tc>
        <w:tc>
          <w:tcPr>
            <w:tcW w:type="dxa" w:w="19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0.49%</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70.5</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selected (precipitation risk)</w:t>
            </w:r>
          </w:p>
        </w:tc>
      </w:tr>
    </w:tbl>
    <w:p>
      <w:pPr>
        <w:spacing w:before="60" w:after="60"/>
      </w:pPr>
      <w:r>
        <w:t xml:space="preserve"/>
      </w:r>
    </w:p>
    <w:p>
      <w:pPr>
        <w:pBdr>
          <w:left w:val="single" w:color="1F6B3E" w:sz="16"/>
        </w:pBdr>
        <w:shd w:fill="D6F0E3" w:val="clear"/>
        <w:spacing w:before="120" w:after="120"/>
        <w:ind w:left="180"/>
      </w:pPr>
      <w:r>
        <w:rPr>
          <w:rFonts w:ascii="Arial" w:cs="Arial" w:eastAsia="Arial" w:hAnsi="Arial"/>
          <w:b w:val="false"/>
          <w:bCs w:val="false"/>
          <w:color w:val="1F6B3E"/>
          <w:sz w:val="19"/>
          <w:szCs w:val="19"/>
        </w:rPr>
        <w:t xml:space="preserve">Selected stabilizer: 8% (w/v) sucrose. Rationale: lowest aggregation under freeze-thaw and agitation stress, highest thermal stability (Tm1), and established excipient for commercial IV biologics. Resulting osmolality ~310 mOsm/kg is physiologically compatible.</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3.4 Surfactant Screening</w:t>
      </w:r>
    </w:p>
    <w:p>
      <w:pPr>
        <w:spacing w:before="80" w:after="80"/>
      </w:pPr>
      <w:r>
        <w:rPr>
          <w:rFonts w:ascii="Arial" w:cs="Arial" w:eastAsia="Arial" w:hAnsi="Arial"/>
          <w:color w:val="404040"/>
          <w:sz w:val="20"/>
          <w:szCs w:val="20"/>
        </w:rPr>
        <w:t xml:space="preserve">Polysorbate 80 (PS-80) and Polysorbate 20 (PS-20) were evaluated at 0.01–0.08% (w/v) for protection against interfacial stress (agitation, freeze-thaw). Subvisible particle (SVP) measurements were made by Micro-Flow Imaging (MFI).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800"/>
        <w:gridCol w:w="1800"/>
        <w:gridCol w:w="1800"/>
        <w:gridCol w:w="1560"/>
      </w:tblGrid>
      <w:tr>
        <w:trPr>
          <w:tblHeader/>
        </w:trPr>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Surfactant</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 (%w/v)</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SVP (≥10μm/mL) Post-Agitation</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SVP (≥1μm/mL) Post-Agitation</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HMW Post-Agitation</w:t>
            </w:r>
          </w:p>
        </w:tc>
        <w:tc>
          <w:tcPr>
            <w:tcW w:type="dxa" w:w="1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None (control)</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28</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3,200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1.8%</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Unacceptable</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PS-20</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810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0.6%</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Acceptable</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PS-20</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0.04%</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450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Acceptable</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PS-80</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750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0.7%</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Acceptable</w:t>
            </w:r>
          </w:p>
        </w:tc>
      </w:tr>
      <w:tr>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PS-80</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0.04%</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380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0.3%</w:t>
            </w:r>
          </w:p>
        </w:tc>
        <w:tc>
          <w:tcPr>
            <w:tcW w:type="dxa" w:w="1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SELECTED</w:t>
            </w:r>
          </w:p>
        </w:tc>
      </w:tr>
      <w:tr>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PS-80</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0.08%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360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0.3%</w:t>
            </w:r>
          </w:p>
        </w:tc>
        <w:tc>
          <w:tcPr>
            <w:tcW w:type="dxa" w:w="1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additional benefit; higher oxidation risk</w:t>
            </w:r>
          </w:p>
        </w:tc>
      </w:tr>
    </w:tbl>
    <w:p>
      <w:pPr>
        <w:spacing w:before="60" w:after="60"/>
      </w:pPr>
      <w:r>
        <w:t xml:space="preserve"/>
      </w:r>
    </w:p>
    <w:p>
      <w:pPr>
        <w:pBdr>
          <w:left w:val="single" w:color="1F6B3E" w:sz="16"/>
        </w:pBdr>
        <w:shd w:fill="D6F0E3" w:val="clear"/>
        <w:spacing w:before="120" w:after="120"/>
        <w:ind w:left="180"/>
      </w:pPr>
      <w:r>
        <w:rPr>
          <w:rFonts w:ascii="Arial" w:cs="Arial" w:eastAsia="Arial" w:hAnsi="Arial"/>
          <w:b w:val="false"/>
          <w:bCs w:val="false"/>
          <w:color w:val="1F6B3E"/>
          <w:sz w:val="19"/>
          <w:szCs w:val="19"/>
        </w:rPr>
        <w:t xml:space="preserve">Selected surfactant: 0.04% (w/v) PS-80. Rationale: best SVP reduction at lowest effective concentration, acceptable peroxide content per lot specification, established safety profile in IV biologics. PS-80 also aligned with reference product class (e.g., pembrolizumab, nivolumab formulations).</w:t>
      </w:r>
    </w:p>
    <w:p>
      <w:pPr>
        <w:spacing w:before="60" w:after="60"/>
      </w:pPr>
      <w:r>
        <w:t xml:space="preserve"/>
      </w:r>
    </w:p>
    <w:p>
      <w:r>
        <w:br/>
      </w:r>
    </w:p>
    <w:p>
      <w:pPr>
        <w:pStyle w:val="Heading2"/>
        <w:spacing w:before="280" w:after="120"/>
      </w:pPr>
      <w:r>
        <w:rPr>
          <w:rFonts w:ascii="Arial" w:cs="Arial" w:eastAsia="Arial" w:hAnsi="Arial"/>
          <w:b/>
          <w:bCs/>
          <w:color w:val="2E75B6"/>
          <w:sz w:val="24"/>
          <w:szCs w:val="24"/>
        </w:rPr>
        <w:t xml:space="preserve">3.5 Protein Concentration Optimization</w:t>
      </w:r>
    </w:p>
    <w:p>
      <w:pPr>
        <w:spacing w:before="80" w:after="80"/>
      </w:pPr>
      <w:r>
        <w:rPr>
          <w:rFonts w:ascii="Arial" w:cs="Arial" w:eastAsia="Arial" w:hAnsi="Arial"/>
          <w:color w:val="404040"/>
          <w:sz w:val="20"/>
          <w:szCs w:val="20"/>
        </w:rPr>
        <w:t xml:space="preserve">Cervimab was evaluated at 10, 20, and 50 mg/mL to assess viscosity, colloidal stability (DLS), and manufacturing feasibility. The Phase 1 clinical dose of 200 mg/infusion in a 100 mL IV bag (final infusion concentration ~2 mg/mL) drove the selection of a 20 mg/mL DP concentrate as the optimal balance between vial count per patient and formulation risk.</w:t>
      </w: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800"/>
        <w:gridCol w:w="2600"/>
        <w:gridCol w:w="1360"/>
      </w:tblGrid>
      <w:tr>
        <w:trPr>
          <w:tblHeader/>
        </w:trPr>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Concentration</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Viscosity (mPa·s, 20°C)</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Z-average (DLS, nm)</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HMW (40°C/4wk)</w:t>
            </w:r>
          </w:p>
        </w:tc>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Manufacturability</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Decision</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mg/mL</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3.1</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8.4</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0.9%</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Straightforward; more vials needed</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preferred</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 mg/mL</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5.3</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8.7</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1.1%</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Straightforward; 1 vial per dose</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SELECTED</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50 mg/mL</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14.8</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9.2</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2.3%</w:t>
            </w:r>
          </w:p>
        </w:tc>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High viscosity concerns; filtration issues</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selected</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4. DRUG PRODUCT MANUFACTURING PROCESS DEVELOPMENT</w:t>
      </w:r>
    </w:p>
    <w:p>
      <w:pPr>
        <w:pStyle w:val="Heading2"/>
        <w:spacing w:before="280" w:after="120"/>
      </w:pPr>
      <w:r>
        <w:rPr>
          <w:rFonts w:ascii="Arial" w:cs="Arial" w:eastAsia="Arial" w:hAnsi="Arial"/>
          <w:b/>
          <w:bCs/>
          <w:color w:val="2E75B6"/>
          <w:sz w:val="24"/>
          <w:szCs w:val="24"/>
        </w:rPr>
        <w:t xml:space="preserve">4.1 Process Overview</w:t>
      </w:r>
    </w:p>
    <w:p>
      <w:pPr>
        <w:spacing w:before="80" w:after="80"/>
      </w:pPr>
      <w:r>
        <w:rPr>
          <w:rFonts w:ascii="Arial" w:cs="Arial" w:eastAsia="Arial" w:hAnsi="Arial"/>
          <w:color w:val="404040"/>
          <w:sz w:val="20"/>
          <w:szCs w:val="20"/>
        </w:rPr>
        <w:t xml:space="preserve">The Cervimab DP manufacturing process consists of the following unit operations: (1) excipient solution preparation; (2) drug substance thaw and dilution/formulation compounding; (3) pre-filtration bioburden reduction (0.45 μm, optional); (4) sterilizing filtration (0.22 μm, 2x in series); (5) aseptic vial filling (time-pressure filling under ISO 5 / Grade A LAF); (6) stoppering and aluminum capping; (7) 100% visual inspection; (8) labeling and quarantine.</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4.2 Mixing and Hold Studies</w:t>
      </w:r>
    </w:p>
    <w:p>
      <w:pPr>
        <w:spacing w:before="80" w:after="80"/>
      </w:pPr>
      <w:r>
        <w:rPr>
          <w:rFonts w:ascii="Arial" w:cs="Arial" w:eastAsia="Arial" w:hAnsi="Arial"/>
          <w:color w:val="404040"/>
          <w:sz w:val="20"/>
          <w:szCs w:val="20"/>
        </w:rPr>
        <w:t xml:space="preserve">Mixing studies at 2.0 L scale confirmed adequate homogeneity with overhead stirring at 50–100 rpm in a 3.0 L jacketed stainless steel vessel. An in-use hold study was conducted to evaluate protein stability in the formulation vessel prior to filling. Samples were collected at 0, 4, 8, and 12 hours at 2–8°C under mixing (50 rpm).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200"/>
        <w:gridCol w:w="600"/>
        <w:gridCol w:w="1600"/>
        <w:gridCol w:w="1500"/>
        <w:gridCol w:w="1360"/>
      </w:tblGrid>
      <w:tr>
        <w:trPr>
          <w:tblHeader/>
        </w:trPr>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Hold Time (hr)</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Appearance</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 (mg/mL)</w:t>
            </w:r>
          </w:p>
        </w:tc>
        <w:tc>
          <w:tcPr>
            <w:tcW w:type="dxa" w:w="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HMW (SEC-HPLC)</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Intact (CE-SDS)</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Potency (RA%)</w:t>
            </w:r>
          </w:p>
        </w:tc>
      </w:tr>
      <w:tr>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 h (T0)</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20.1</w:t>
            </w:r>
          </w:p>
        </w:tc>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0.18%</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99.4%</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102%</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4 h</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w:t>
            </w:r>
          </w:p>
        </w:tc>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0.19%</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99.4%</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101%</w:t>
            </w:r>
          </w:p>
        </w:tc>
      </w:tr>
      <w:tr>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 h</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20.1</w:t>
            </w:r>
          </w:p>
        </w:tc>
        <w:tc>
          <w:tcPr>
            <w:tcW w:type="dxa" w:w="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0.21%</w:t>
            </w:r>
          </w:p>
        </w:tc>
        <w:tc>
          <w:tcPr>
            <w:tcW w:type="dxa" w:w="1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99.3%</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12 h</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w:t>
            </w:r>
          </w:p>
        </w:tc>
        <w:tc>
          <w:tcPr>
            <w:tcW w:type="dxa" w:w="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0.23%</w:t>
            </w:r>
          </w:p>
        </w:tc>
        <w:tc>
          <w:tcPr>
            <w:tcW w:type="dxa" w:w="1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99.3%</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w:t>
            </w:r>
          </w:p>
        </w:tc>
      </w:tr>
    </w:tbl>
    <w:p>
      <w:pPr>
        <w:spacing w:before="80" w:after="80"/>
      </w:pPr>
      <w:r>
        <w:rPr>
          <w:rFonts w:ascii="Arial" w:cs="Arial" w:eastAsia="Arial" w:hAnsi="Arial"/>
          <w:i/>
          <w:iCs/>
          <w:color w:val="404040"/>
          <w:sz w:val="20"/>
          <w:szCs w:val="20"/>
        </w:rPr>
        <w:t xml:space="preserve">Conclusion: A maximum bulk hold time of 12 hours at 2–8°C under stirring is acceptable. All stability-indicating attributes remained within acceptable ranges.</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4.3 Sterilizing Filtration Development</w:t>
      </w:r>
    </w:p>
    <w:p>
      <w:pPr>
        <w:spacing w:before="80" w:after="80"/>
      </w:pPr>
      <w:r>
        <w:rPr>
          <w:rFonts w:ascii="Arial" w:cs="Arial" w:eastAsia="Arial" w:hAnsi="Arial"/>
          <w:color w:val="404040"/>
          <w:sz w:val="20"/>
          <w:szCs w:val="20"/>
        </w:rPr>
        <w:t xml:space="preserve">Filter screening evaluated PVDF (Millipore Durapore®, Sartorius Sartopore®) and PES (Pall Supor®) membrane types for protein compatibility and throughput.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600"/>
        <w:gridCol w:w="1800"/>
        <w:gridCol w:w="1800"/>
        <w:gridCol w:w="1360"/>
      </w:tblGrid>
      <w:tr>
        <w:trPr>
          <w:tblHeader/>
        </w:trPr>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Filter Type</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Material</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Vendor</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Protein Recovery</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Flow Rate (mL/min/cm²)</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Extractables Risk</w:t>
            </w:r>
          </w:p>
        </w:tc>
        <w:tc>
          <w:tcPr>
            <w:tcW w:type="dxa" w:w="13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Selection</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Durapore 0.22 μm</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PVDF</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Millipore</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99.1%</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18.3</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Low (well characterized)</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SELECTED</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Sartopore 0.22 μm</w:t>
            </w:r>
          </w:p>
        </w:tc>
        <w:tc>
          <w:tcPr>
            <w:tcW w:type="dxa" w:w="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PES/PVDF dual layer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Sartorius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98.8%</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Low</w:t>
            </w:r>
          </w:p>
        </w:tc>
        <w:tc>
          <w:tcPr>
            <w:tcW w:type="dxa" w:w="13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Acceptable (alternate)</w:t>
            </w:r>
          </w:p>
        </w:tc>
      </w:tr>
      <w:tr>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Supor 0.22 μm</w:t>
            </w:r>
          </w:p>
        </w:tc>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PES</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Pall</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97.6%</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16.2</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Low-Moderate</w:t>
            </w:r>
          </w:p>
        </w:tc>
        <w:tc>
          <w:tcPr>
            <w:tcW w:type="dxa" w:w="13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Not selected (lower recovery)</w:t>
            </w:r>
          </w:p>
        </w:tc>
      </w:tr>
    </w:tbl>
    <w:p>
      <w:pPr>
        <w:spacing w:before="60" w:after="60"/>
      </w:pPr>
      <w:r>
        <w:t xml:space="preserve"/>
      </w:r>
    </w:p>
    <w:p>
      <w:pPr>
        <w:spacing w:before="80" w:after="80"/>
      </w:pPr>
      <w:r>
        <w:rPr>
          <w:rFonts w:ascii="Arial" w:cs="Arial" w:eastAsia="Arial" w:hAnsi="Arial"/>
          <w:i/>
          <w:iCs/>
          <w:color w:val="404040"/>
          <w:sz w:val="20"/>
          <w:szCs w:val="20"/>
        </w:rPr>
        <w:t xml:space="preserve">Bacterial Retention Validation: Filter supplier validation data (AOAC SLT standard, Brevundimonas diminuta challenge at ≥10^7 CFU/cm²) reviewed and accepted per ICH Q4B Annex 8.</w:t>
      </w:r>
    </w:p>
    <w:p>
      <w:pPr>
        <w:spacing w:before="60" w:after="60"/>
      </w:pPr>
      <w:r>
        <w:t xml:space="preserve"/>
      </w:r>
    </w:p>
    <w:p>
      <w:pPr>
        <w:pStyle w:val="Heading2"/>
        <w:spacing w:before="280" w:after="120"/>
      </w:pPr>
      <w:r>
        <w:rPr>
          <w:rFonts w:ascii="Arial" w:cs="Arial" w:eastAsia="Arial" w:hAnsi="Arial"/>
          <w:b/>
          <w:bCs/>
          <w:color w:val="2E75B6"/>
          <w:sz w:val="24"/>
          <w:szCs w:val="24"/>
        </w:rPr>
        <w:t xml:space="preserve">4.4 Fill-Finish Process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Process Parameter</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Evaluated Range</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Selected Value</w:t>
            </w:r>
          </w:p>
        </w:tc>
        <w:tc>
          <w:tcPr>
            <w:tcW w:type="dxa" w:w="3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Fill volume</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10.0–11.0 mL</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10.5 mL</w:t>
            </w:r>
          </w:p>
        </w:tc>
        <w:tc>
          <w:tcPr>
            <w:tcW w:type="dxa" w:w="3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Delivers 200 mg dose with ≥0.5 mL overage per USP &lt;1&gt;</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Fill pump speed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50–300 mL/min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150 mL/min</w:t>
            </w:r>
          </w:p>
        </w:tc>
        <w:tc>
          <w:tcPr>
            <w:tcW w:type="dxa" w:w="3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Minimizes shear; achieves cycle time &lt; 3 hr for 2 L batch</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Headspace O2 target</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1% (N2 overlay)</w:t>
            </w:r>
          </w:p>
        </w:tc>
        <w:tc>
          <w:tcPr>
            <w:tcW w:type="dxa" w:w="3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Minimizes oxidation of Met and Trp residues</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Stopper insertion force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20–40 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30 N</w:t>
            </w:r>
          </w:p>
        </w:tc>
        <w:tc>
          <w:tcPr>
            <w:tcW w:type="dxa" w:w="3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Ensures full seating without stopper distortion</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Crimping force (cap)</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100–200 N</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150 N</w:t>
            </w:r>
          </w:p>
        </w:tc>
        <w:tc>
          <w:tcPr>
            <w:tcW w:type="dxa" w:w="3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Adequate seal without vial breakage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Fill temperature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2–8°C</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2–8°C</w:t>
            </w:r>
          </w:p>
        </w:tc>
        <w:tc>
          <w:tcPr>
            <w:tcW w:type="dxa" w:w="37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Minimizes thermal exposure; limits aggregation during fill</w:t>
            </w:r>
          </w:p>
        </w:tc>
      </w:tr>
      <w:tr>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Nitrogen purge (vial)</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 sec pre-fill</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 sec</w:t>
            </w:r>
          </w:p>
        </w:tc>
        <w:tc>
          <w:tcPr>
            <w:tcW w:type="dxa" w:w="37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Achieves headspace O2 &lt; 1%</w:t>
            </w:r>
          </w:p>
        </w:tc>
      </w:tr>
    </w:tbl>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5. FORCED DEGRADATION AND PRELIMINARY STABILITY DATA</w:t>
      </w:r>
    </w:p>
    <w:p>
      <w:pPr>
        <w:pStyle w:val="Heading2"/>
        <w:spacing w:before="280" w:after="120"/>
      </w:pPr>
      <w:r>
        <w:rPr>
          <w:rFonts w:ascii="Arial" w:cs="Arial" w:eastAsia="Arial" w:hAnsi="Arial"/>
          <w:b/>
          <w:bCs/>
          <w:color w:val="2E75B6"/>
          <w:sz w:val="24"/>
          <w:szCs w:val="24"/>
        </w:rPr>
        <w:t xml:space="preserve">5.1 Forced Degradation Study Design</w:t>
      </w:r>
    </w:p>
    <w:p>
      <w:pPr>
        <w:spacing w:before="80" w:after="80"/>
      </w:pPr>
      <w:r>
        <w:rPr>
          <w:rFonts w:ascii="Arial" w:cs="Arial" w:eastAsia="Arial" w:hAnsi="Arial"/>
          <w:color w:val="404040"/>
          <w:sz w:val="20"/>
          <w:szCs w:val="20"/>
        </w:rPr>
        <w:t xml:space="preserve">Forced degradation studies were conducted per ICH Q1A(R2) guidelines to identify degradation pathways and validate the stability-indicating capability of analytical methods. Studies were conducted at 1 mg/mL in selected formulation (histidine pH 6.0, sucrose 8%, PS-80 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200"/>
        <w:gridCol w:w="4560"/>
      </w:tblGrid>
      <w:tr>
        <w:trPr>
          <w:tblHeader/>
        </w:trPr>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Stress Condition</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Conditions</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Duration</w:t>
            </w:r>
          </w:p>
        </w:tc>
        <w:tc>
          <w:tcPr>
            <w:tcW w:type="dxa" w:w="45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Degradation Pathway Observed</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Heat</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40°C</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4 weeks</w:t>
            </w:r>
          </w:p>
        </w:tc>
        <w:tc>
          <w:tcPr>
            <w:tcW w:type="dxa" w:w="4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Aggregation (HMW by SEC); deamidation of Asn residues (peptide map)</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Heat (accelerated)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50°C</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 week</w:t>
            </w:r>
          </w:p>
        </w:tc>
        <w:tc>
          <w:tcPr>
            <w:tcW w:type="dxa" w:w="4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Significant aggregation; fragmentation (Fc hinge)</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Oxidative</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 H2O2, 25°C</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24 hr</w:t>
            </w:r>
          </w:p>
        </w:tc>
        <w:tc>
          <w:tcPr>
            <w:tcW w:type="dxa" w:w="4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Met-254/Met-432 oxidation; Trp-33 (CDR) oxidation (LC-MS)</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Photostress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ICH Q1B Option 2 (1.2M Lux·hr)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UV/Vis chamber</w:t>
            </w:r>
          </w:p>
        </w:tc>
        <w:tc>
          <w:tcPr>
            <w:tcW w:type="dxa" w:w="4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Trp oxidation; slight increase in acidic species (CEX-HPLC)</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Acid</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 3.5, 25°C</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 hr</w:t>
            </w:r>
          </w:p>
        </w:tc>
        <w:tc>
          <w:tcPr>
            <w:tcW w:type="dxa" w:w="4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Fragmentation (SE-HPLC); loss of native structure (CD)</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Base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 10.0, 25°C</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 hr</w:t>
            </w:r>
          </w:p>
        </w:tc>
        <w:tc>
          <w:tcPr>
            <w:tcW w:type="dxa" w:w="4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Aggregation; deamidation; charge variant shifts (CEX-HPLC)</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Freeze-Thaw (5x)</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-80°C / +25°C</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 cycles</w:t>
            </w:r>
          </w:p>
        </w:tc>
        <w:tc>
          <w:tcPr>
            <w:tcW w:type="dxa" w:w="4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Minimal change; SVP increase without PS-80; controlled with PS-80</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Agitation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 rpm, 25°C</w:t>
            </w:r>
          </w:p>
        </w:tc>
        <w:tc>
          <w:tcPr>
            <w:tcW w:type="dxa" w:w="12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48 hr</w:t>
            </w:r>
          </w:p>
        </w:tc>
        <w:tc>
          <w:tcPr>
            <w:tcW w:type="dxa" w:w="45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SVP increase and visible particle formation without PS-80</w:t>
            </w:r>
          </w:p>
        </w:tc>
      </w:tr>
      <w:tr>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Mechanical shear</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Vortex, 2500 rpm</w:t>
            </w:r>
          </w:p>
        </w:tc>
        <w:tc>
          <w:tcPr>
            <w:tcW w:type="dxa" w:w="12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30 min</w:t>
            </w:r>
          </w:p>
        </w:tc>
        <w:tc>
          <w:tcPr>
            <w:tcW w:type="dxa" w:w="45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Turbidity increase without PS-80; fully controlled with PS-80</w:t>
            </w:r>
          </w:p>
        </w:tc>
      </w:tr>
    </w:tbl>
    <w:p>
      <w:pPr>
        <w:spacing w:before="60" w:after="60"/>
      </w:pPr>
      <w:r>
        <w:t xml:space="preserve"/>
      </w:r>
    </w:p>
    <w:p>
      <w:pPr>
        <w:pStyle w:val="Heading2"/>
        <w:spacing w:before="280" w:after="120"/>
      </w:pPr>
      <w:r>
        <w:rPr>
          <w:rFonts w:ascii="Arial" w:cs="Arial" w:eastAsia="Arial" w:hAnsi="Arial"/>
          <w:b/>
          <w:bCs/>
          <w:color w:val="2E75B6"/>
          <w:sz w:val="24"/>
          <w:szCs w:val="24"/>
        </w:rPr>
        <w:t xml:space="preserve">5.2 Real-Time and Accelerated Stability Summary (Phase 1 Supportive)</w:t>
      </w:r>
    </w:p>
    <w:p>
      <w:pPr>
        <w:spacing w:before="80" w:after="80"/>
      </w:pPr>
      <w:r>
        <w:rPr>
          <w:rFonts w:ascii="Arial" w:cs="Arial" w:eastAsia="Arial" w:hAnsi="Arial"/>
          <w:color w:val="404040"/>
          <w:sz w:val="20"/>
          <w:szCs w:val="20"/>
        </w:rPr>
        <w:t xml:space="preserve">Preliminary stability data from real-time (5°C) and accelerated (25°C/60% RH and 40°C/75% RH) conditions are summarized below for Engineering Batch ENG-001 (20 mg/mL in selected formulation, Type I glass vials, FluroTec stoppers). Full ICH-compliant stability data will be generated per Stability Protocol CVM-CMC-STA-001.</w:t>
      </w:r>
    </w:p>
    <w:p>
      <w:pPr>
        <w:spacing w:before="60"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700"/>
        <w:gridCol w:w="1800"/>
        <w:gridCol w:w="1600"/>
        <w:gridCol w:w="1660"/>
      </w:tblGrid>
      <w:tr>
        <w:trPr>
          <w:tblHeader/>
        </w:trPr>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T0</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5°C/6mo (real-time)</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25°C/60% RH/3mo</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40°C/75% RH/1mo</w:t>
            </w:r>
          </w:p>
        </w:tc>
        <w:tc>
          <w:tcPr>
            <w:tcW w:type="dxa" w:w="16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Specification</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Appearance</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 pale yellow tinge</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Slight turbidity, pale yellow</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 to pale yellow</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Conc. (mg/mL)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20.1</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19.9</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19.8</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19.0–21.0</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6.1</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5.8–6.2</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SEC-HPLC % monomer</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99.8%</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99.7%</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99.4%</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98.7%</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≥97.0%</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SEC-HPLC % HMW</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0.18%</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0.20%</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0.46%</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1.1%</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 (Phase 1 interim)</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CE-SDS (non-reduced, % intact)</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99.4%</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99.3%</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99.1%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98.3%</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≥98.0%</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Potency (RA%)</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102%</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101%</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99%</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95%</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70–130%</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Endotoxin (EU/mg)</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0.01</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0.01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0.01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0.01</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&lt; 0.083</w:t>
            </w:r>
          </w:p>
        </w:tc>
      </w:tr>
      <w:tr>
        <w:tc>
          <w:tcPr>
            <w:tcW w:type="dxa" w:w="2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Sterility</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c>
          <w:tcPr>
            <w:tcW w:type="dxa" w:w="1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c>
          <w:tcPr>
            <w:tcW w:type="dxa" w:w="1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N/A</w:t>
            </w:r>
          </w:p>
        </w:tc>
        <w:tc>
          <w:tcPr>
            <w:tcW w:type="dxa" w:w="16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N/A</w:t>
            </w:r>
          </w:p>
        </w:tc>
        <w:tc>
          <w:tcPr>
            <w:tcW w:type="dxa" w:w="1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No growth</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SVP (≥10μm/mL, MFI)</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1.2</w:t>
            </w:r>
          </w:p>
        </w:tc>
        <w:tc>
          <w:tcPr>
            <w:tcW w:type="dxa" w:w="1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1.4</w:t>
            </w:r>
          </w:p>
        </w:tc>
        <w:tc>
          <w:tcPr>
            <w:tcW w:type="dxa" w:w="1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3.8</w:t>
            </w:r>
          </w:p>
        </w:tc>
        <w:tc>
          <w:tcPr>
            <w:tcW w:type="dxa" w:w="16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≤3 per USP &lt;787&gt;</w:t>
            </w:r>
          </w:p>
        </w:tc>
      </w:tr>
    </w:tbl>
    <w:p>
      <w:pPr>
        <w:spacing w:before="80" w:after="80"/>
      </w:pPr>
      <w:r>
        <w:rPr>
          <w:rFonts w:ascii="Arial" w:cs="Arial" w:eastAsia="Arial" w:hAnsi="Arial"/>
          <w:i/>
          <w:iCs/>
          <w:color w:val="404040"/>
          <w:sz w:val="20"/>
          <w:szCs w:val="20"/>
        </w:rPr>
        <w:t xml:space="preserve">6-month real-time and 3-month accelerated data support an initial proposed shelf life of 18 months at 2–8°C. Data package will be updated at 12- and 24-month time points.</w:t>
      </w:r>
    </w:p>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6. PRELIMINARY DRUG PRODUCT RELEASE SPECIFICATIONS</w:t>
      </w:r>
    </w:p>
    <w:p>
      <w:pPr>
        <w:pBdr>
          <w:left w:val="single" w:color="2E75B6" w:sz="16"/>
        </w:pBdr>
        <w:shd w:fill="D6E4F0" w:val="clear"/>
        <w:spacing w:before="120" w:after="120"/>
        <w:ind w:left="180"/>
      </w:pPr>
      <w:r>
        <w:rPr>
          <w:rFonts w:ascii="Arial" w:cs="Arial" w:eastAsia="Arial" w:hAnsi="Arial"/>
          <w:b w:val="false"/>
          <w:bCs w:val="false"/>
          <w:color w:val="2E75B6"/>
          <w:sz w:val="19"/>
          <w:szCs w:val="19"/>
        </w:rPr>
        <w:t xml:space="preserve">Phase 1 specifications are intentionally wider than commercial specifications. They are set to ensure patient safety while allowing for process and analytical learning. Specifications will be tightened based on batch data as development progresses (ICH Q6B; FDA Phase 1 CMC Guidance 2019).</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1 Acceptance Criterion</w:t>
            </w:r>
          </w:p>
        </w:tc>
        <w:tc>
          <w:tcPr>
            <w:tcW w:type="dxa" w:w="2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Scientific Rationale</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Appearance (color)</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Visual vs. reference standards (Ph. Eur. 2.2.2)</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Colorless to pale yellow</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Within expected IgG4 color range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Appearance (clarity)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Visual; turbidimetry</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essentially free of particles</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Turbidity indicates aggregation/precipitation</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Protein Concentration</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UV-Vis A280 (validated)</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19.0 – 21.0 mg/mL (±5%)</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Ensures dose accuracy for 200 mg IV dose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Calibrated pH electrode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5.8 – 6.2</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 around formulation target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Osmolality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Vapor pressure osmometry</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280 – 340 mOsm/kg</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Physiological range for IV infusion</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Purity (SEC-HPLC)</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SEC: TSKgel G3000SWxL</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≥97.0% monomer; ≤1.0% HMW</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HMW limit derived from immunogenicity risk assessment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Purity (non-red CE-SDS)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Capillary electrophoresis, non-reduced</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≥98.0% intact IgG</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Fragments not expected at &gt;2% in stable formulation</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Charge Heterogeneity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CEX-HPLC (Dionex ProPac WCX-10)</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Report result (Phase 1)</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Characterization only; limits post Phase 1</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Potency</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Cell-based PD-1/PD-L1 blockade assay</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70 – 130% (relative to reference standard)</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Broader range for Phase 1; validates LoD &amp; LoQ</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Subvisible Particles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HIAC (USP &lt;787&gt;) or MFI</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≤25/mL ≥1μm; ≤3/mL ≥10μm</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&lt;787&gt; limits; MFI for enhanced detection</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Visible Particulates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100% visual inspection (white + black)</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Essentially free of visible particles</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Patient safety; USP &lt;1&gt; requirements</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Sterility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&lt;71&gt; membrane filtration</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growth (14 days, aerobic + anaerobic)</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Mandatory release test for sterile biological</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Bacterial Endotoxins</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&lt;85&gt; LAL kinetic turbidimetric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&lt; 0.083 EU/mg protein</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FDA limit for IV biologics: 5 EU/kg/hr; 60 mg max dose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Container Closure Integrity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Vacuum decay (deterministic)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No failure detected</w:t>
            </w:r>
          </w:p>
        </w:tc>
        <w:tc>
          <w:tcPr>
            <w:tcW w:type="dxa" w:w="2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Sterility assurance per USP &lt;1207&gt;</w:t>
            </w:r>
          </w:p>
        </w:tc>
      </w:tr>
      <w:tr>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Extractables (PS-80)</w:t>
            </w:r>
          </w:p>
        </w:tc>
        <w:tc>
          <w:tcPr>
            <w:tcW w:type="dxa" w:w="2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Colorimetric or HPLC</w:t>
            </w:r>
          </w:p>
        </w:tc>
        <w:tc>
          <w:tcPr>
            <w:tcW w:type="dxa" w:w="2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0.030 – 0.050% (w/v)</w:t>
            </w:r>
          </w:p>
        </w:tc>
        <w:tc>
          <w:tcPr>
            <w:tcW w:type="dxa" w:w="2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Confirms PS-80 level within effective range</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7. DRUG PRODUCT COMPATIBILITY STUDIES</w:t>
      </w:r>
    </w:p>
    <w:p>
      <w:pPr>
        <w:pStyle w:val="Heading2"/>
        <w:spacing w:before="280" w:after="120"/>
      </w:pPr>
      <w:r>
        <w:rPr>
          <w:rFonts w:ascii="Arial" w:cs="Arial" w:eastAsia="Arial" w:hAnsi="Arial"/>
          <w:b/>
          <w:bCs/>
          <w:color w:val="2E75B6"/>
          <w:sz w:val="24"/>
          <w:szCs w:val="24"/>
        </w:rPr>
        <w:t xml:space="preserve">7.1 In-Use Dilution Compatibility (Infusion Simulation)</w:t>
      </w:r>
    </w:p>
    <w:p>
      <w:pPr>
        <w:spacing w:before="80" w:after="80"/>
      </w:pPr>
      <w:r>
        <w:rPr>
          <w:rFonts w:ascii="Arial" w:cs="Arial" w:eastAsia="Arial" w:hAnsi="Arial"/>
          <w:color w:val="404040"/>
          <w:sz w:val="20"/>
          <w:szCs w:val="20"/>
        </w:rPr>
        <w:t xml:space="preserve">Cervimab DP (20 mg/mL) was diluted to 2 mg/mL in 0.9% Sodium Chloride Injection USP and 5% Dextrose Injection USP in 100 mL DEHP-free polyolefin IV bags (commercially representative). Compatibility was evaluated at 25°C (room temperature) over 24 hours.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1400"/>
        <w:gridCol w:w="1100"/>
        <w:gridCol w:w="1100"/>
        <w:gridCol w:w="1400"/>
        <w:gridCol w:w="700"/>
        <w:gridCol w:w="1060"/>
      </w:tblGrid>
      <w:tr>
        <w:trPr>
          <w:tblHeader/>
        </w:trPr>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Diluent</w:t>
            </w:r>
          </w:p>
        </w:tc>
        <w:tc>
          <w:tcPr>
            <w:tcW w:type="dxa" w:w="1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 Point</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Appearance</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 (mg/mL)</w:t>
            </w:r>
          </w:p>
        </w:tc>
        <w:tc>
          <w:tcPr>
            <w:tcW w:type="dxa" w:w="11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HMW (SEC)</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SVP (≥10μm/mL)</w:t>
            </w:r>
          </w:p>
        </w:tc>
        <w:tc>
          <w:tcPr>
            <w:tcW w:type="dxa" w:w="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w:t>
            </w:r>
          </w:p>
        </w:tc>
        <w:tc>
          <w:tcPr>
            <w:tcW w:type="dxa" w:w="10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Assessment</w:t>
            </w:r>
          </w:p>
        </w:tc>
      </w:tr>
      <w:tr>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0.9% NaCl</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T=0</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2.01</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0.22%</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1.8</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0.9% NaCl</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T=4h, RT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2.00</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0.23%</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0.9% NaCl</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T=24h, RT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1.98</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0.25%</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2.3</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6.1</w:t>
            </w:r>
          </w:p>
        </w:tc>
        <w:tc>
          <w:tcPr>
            <w:tcW w:type="dxa" w:w="1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 Dextrose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T=0</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2.01</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0.22%</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1.8</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 Dextrose</w:t>
            </w:r>
          </w:p>
        </w:tc>
        <w:tc>
          <w:tcPr>
            <w:tcW w:type="dxa" w:w="10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T=4h, RT</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1.99</w:t>
            </w:r>
          </w:p>
        </w:tc>
        <w:tc>
          <w:tcPr>
            <w:tcW w:type="dxa" w:w="11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0.24%</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2.1</w:t>
            </w:r>
          </w:p>
        </w:tc>
        <w:tc>
          <w:tcPr>
            <w:tcW w:type="dxa" w:w="7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6.0</w:t>
            </w:r>
          </w:p>
        </w:tc>
        <w:tc>
          <w:tcPr>
            <w:tcW w:type="dxa" w:w="10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5% Dextrose</w:t>
            </w:r>
          </w:p>
        </w:tc>
        <w:tc>
          <w:tcPr>
            <w:tcW w:type="dxa" w:w="1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T=24h, RT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Clear, colorless</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1.97</w:t>
            </w:r>
          </w:p>
        </w:tc>
        <w:tc>
          <w:tcPr>
            <w:tcW w:type="dxa" w:w="1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0.27%</w:t>
            </w:r>
          </w:p>
        </w:tc>
        <w:tc>
          <w:tcPr>
            <w:tcW w:type="dxa" w:w="1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2.6</w:t>
            </w:r>
          </w:p>
        </w:tc>
        <w:tc>
          <w:tcPr>
            <w:tcW w:type="dxa" w:w="7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6.1</w:t>
            </w:r>
          </w:p>
        </w:tc>
        <w:tc>
          <w:tcPr>
            <w:tcW w:type="dxa" w:w="10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Pass</w:t>
            </w:r>
          </w:p>
        </w:tc>
      </w:tr>
    </w:tbl>
    <w:p>
      <w:pPr>
        <w:spacing w:before="80" w:after="80"/>
      </w:pPr>
      <w:r>
        <w:rPr>
          <w:rFonts w:ascii="Arial" w:cs="Arial" w:eastAsia="Arial" w:hAnsi="Arial"/>
          <w:i/>
          <w:iCs/>
          <w:color w:val="404040"/>
          <w:sz w:val="20"/>
          <w:szCs w:val="20"/>
        </w:rPr>
        <w:t xml:space="preserve">Conclusion: Cervimab is compatible with both 0.9% NaCl and 5% Dextrose diluents for up to 24 hours at room temperature. Clinical protocol will specify a 4-hour infusion window with product use within 8 hours of dilution (inclusive of refrigeration hold).</w:t>
      </w:r>
    </w:p>
    <w:p>
      <w:pPr>
        <w:spacing w:before="60" w:after="60"/>
      </w:pPr>
      <w:r>
        <w:t xml:space="preserve"/>
      </w:r>
    </w:p>
    <w:p>
      <w:r>
        <w:br/>
      </w:r>
    </w:p>
    <w:p>
      <w:pPr>
        <w:pStyle w:val="Heading1"/>
        <w:pBdr>
          <w:bottom w:val="single" w:color="2E75B6" w:sz="6" w:space="6"/>
        </w:pBdr>
        <w:spacing w:before="360" w:after="160"/>
      </w:pPr>
      <w:r>
        <w:rPr>
          <w:rFonts w:ascii="Arial" w:cs="Arial" w:eastAsia="Arial" w:hAnsi="Arial"/>
          <w:b/>
          <w:bCs/>
          <w:color w:val="1F4E79"/>
          <w:sz w:val="28"/>
          <w:szCs w:val="28"/>
        </w:rPr>
        <w:t xml:space="preserve">8. CONCLUSIONS AND PHASE 1 READINESS STATEMENT</w:t>
      </w:r>
    </w:p>
    <w:p>
      <w:pPr>
        <w:spacing w:before="80" w:after="80"/>
      </w:pPr>
      <w:r>
        <w:rPr>
          <w:rFonts w:ascii="Arial" w:cs="Arial" w:eastAsia="Arial" w:hAnsi="Arial"/>
          <w:color w:val="404040"/>
          <w:sz w:val="20"/>
          <w:szCs w:val="20"/>
        </w:rPr>
        <w:t xml:space="preserve">Based on the pharmaceutical development activities summarized in this report, Cervimab Drug Product has been successfully developed as a 20 mg/mL sterile concentrate for IV infusion. The Phase 1 formulation (10 mM histidine pH 6.0, 8% sucrose, 0.04% PS-80) provides robust physicochemical and biological stability, is compatible with standard IV diluents, and is manufactured using an established, scalable aseptic fill-finish process.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Development Milestone</w:t>
            </w:r>
          </w:p>
        </w:tc>
        <w:tc>
          <w:tcPr>
            <w:tcW w:type="dxa" w:w="38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5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Phase 1 formulation selected and optimized</w:t>
            </w:r>
          </w:p>
        </w:tc>
        <w:tc>
          <w:tcPr>
            <w:tcW w:type="dxa" w:w="3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Complete</w:t>
            </w:r>
          </w:p>
        </w:tc>
      </w:tr>
      <w:tr>
        <w:tc>
          <w:tcPr>
            <w:tcW w:type="dxa" w:w="5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Manufacturing process defined (2.0 L scale)</w:t>
            </w:r>
          </w:p>
        </w:tc>
        <w:tc>
          <w:tcPr>
            <w:tcW w:type="dxa" w:w="3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Complete</w:t>
            </w:r>
          </w:p>
        </w:tc>
      </w:tr>
      <w:tr>
        <w:tc>
          <w:tcPr>
            <w:tcW w:type="dxa" w:w="5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CQAs identified and analytical methods developed</w:t>
            </w:r>
          </w:p>
        </w:tc>
        <w:tc>
          <w:tcPr>
            <w:tcW w:type="dxa" w:w="3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Complete</w:t>
            </w:r>
          </w:p>
        </w:tc>
      </w:tr>
      <w:tr>
        <w:tc>
          <w:tcPr>
            <w:tcW w:type="dxa" w:w="5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Forced degradation / stress studies complete</w:t>
            </w:r>
          </w:p>
        </w:tc>
        <w:tc>
          <w:tcPr>
            <w:tcW w:type="dxa" w:w="3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Complete</w:t>
            </w:r>
          </w:p>
        </w:tc>
      </w:tr>
      <w:tr>
        <w:tc>
          <w:tcPr>
            <w:tcW w:type="dxa" w:w="5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Preliminary 6-month real-time stability data available</w:t>
            </w:r>
          </w:p>
        </w:tc>
        <w:tc>
          <w:tcPr>
            <w:tcW w:type="dxa" w:w="3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Complete (ENG-001)</w:t>
            </w:r>
          </w:p>
        </w:tc>
      </w:tr>
      <w:tr>
        <w:tc>
          <w:tcPr>
            <w:tcW w:type="dxa" w:w="5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Phase 1 release specifications established</w:t>
            </w:r>
          </w:p>
        </w:tc>
        <w:tc>
          <w:tcPr>
            <w:tcW w:type="dxa" w:w="3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Complete</w:t>
            </w:r>
          </w:p>
        </w:tc>
      </w:tr>
      <w:tr>
        <w:tc>
          <w:tcPr>
            <w:tcW w:type="dxa" w:w="5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Phase 1 GMP batch manufactured (CVM-DP-P1-001)</w:t>
            </w:r>
          </w:p>
        </w:tc>
        <w:tc>
          <w:tcPr>
            <w:tcW w:type="dxa" w:w="3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Complete</w:t>
            </w:r>
          </w:p>
        </w:tc>
      </w:tr>
      <w:tr>
        <w:tc>
          <w:tcPr>
            <w:tcW w:type="dxa" w:w="5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Container closure integrity validated</w:t>
            </w:r>
          </w:p>
        </w:tc>
        <w:tc>
          <w:tcPr>
            <w:tcW w:type="dxa" w:w="3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Complete (see CCI report CVM-CMC-CCI-001)</w:t>
            </w:r>
          </w:p>
        </w:tc>
      </w:tr>
      <w:tr>
        <w:tc>
          <w:tcPr>
            <w:tcW w:type="dxa" w:w="5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ICH-compliant stability protocol initiated (STA-001)</w:t>
            </w:r>
          </w:p>
        </w:tc>
        <w:tc>
          <w:tcPr>
            <w:tcW w:type="dxa" w:w="38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 Progress</w:t>
            </w:r>
          </w:p>
        </w:tc>
      </w:tr>
      <w:tr>
        <w:tc>
          <w:tcPr>
            <w:tcW w:type="dxa" w:w="55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Phase 2/3 scale-up development</w:t>
            </w:r>
          </w:p>
        </w:tc>
        <w:tc>
          <w:tcPr>
            <w:tcW w:type="dxa" w:w="38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Planned</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9.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8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Reference</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 Q8(R2) Pharmaceutical Development. August 2009.</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2</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ICH Q9 Quality Risk Management. November 2005.</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3</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 Q10 Pharmaceutical Quality System. June 2008.</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4</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ICH Q6B Specifications: Test Procedures and Acceptance Criteria for Biotechnological/Biological Products. March 1999.</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5</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ICH Q1A(R2) Stability Testing of New Drug Substances and Products. February 2003.</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6</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FDA Guidance for Industry: INDs for Phase 2 and 3 Studies of Drugs, Including Specified Therapeutic Biotechnology-Derived Products. CMC Content and Format. 1995.</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7</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FDA Guidance for Industry: Content and Format of Investigational New Drug Applications (INDs) for Phase 1 Studies of Drugs, Including Well-Characterized, Therapeutic, Biotechnology-Derived Products. November 1995.</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8</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FDA Guidance for Industry: Immunogenicity Testing of Therapeutic Protein Products — Developing and Validating Assays for Anti-Drug Antibody Detection. January 2019.</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9</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&lt;1&gt; Injections and Implanted Drug Products. Current Edition.</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&lt;71&gt; Sterility Tests. Current Edition.</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11</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&lt;85&gt; Bacterial Endotoxins Test. Current Edition.</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12</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USP &lt;787&gt; Subvisible Particulate Matter in Therapeutic Protein Injections. Current Edition.</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13</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USP &lt;1207&gt; Package Integrity Evaluation — Sterile Products. Current Edition.</w:t>
            </w:r>
          </w:p>
        </w:tc>
      </w:tr>
      <w:tr>
        <w:tc>
          <w:tcPr>
            <w:tcW w:type="dxa" w:w="4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14</w:t>
            </w:r>
          </w:p>
        </w:tc>
        <w:tc>
          <w:tcPr>
            <w:tcW w:type="dxa" w:w="896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Arial" w:cs="Arial" w:eastAsia="Arial" w:hAnsi="Arial"/>
                <w:color w:val="404040"/>
                <w:sz w:val="18"/>
                <w:szCs w:val="18"/>
              </w:rPr>
              <w:t xml:space="preserve">Mahler H-C, et al. Protein Aggregation: Pathways, Induction Factors and Analysis. J Pharm Sci. 2009;98(9):2909–2934.</w:t>
            </w:r>
          </w:p>
        </w:tc>
      </w:tr>
      <w:tr>
        <w:tc>
          <w:tcPr>
            <w:tcW w:type="dxa" w:w="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15</w:t>
            </w:r>
          </w:p>
        </w:tc>
        <w:tc>
          <w:tcPr>
            <w:tcW w:type="dxa" w:w="89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Carpenter JF, et al. Overlooking Subvisible Particles in Therapeutic Protein Products: Gaps That May Compromise Product Quality. J Pharm Sci. 2009;98(4):1201–1205.</w:t>
            </w:r>
          </w:p>
        </w:tc>
      </w:tr>
    </w:tbl>
    <w:p>
      <w:pPr>
        <w:spacing w:before="60" w:after="60"/>
      </w:pPr>
      <w:r>
        <w:t xml:space="preserve"/>
      </w:r>
    </w:p>
    <w:p>
      <w:pPr>
        <w:pStyle w:val="Heading1"/>
        <w:pBdr>
          <w:bottom w:val="single" w:color="2E75B6" w:sz="6" w:space="6"/>
        </w:pBdr>
        <w:spacing w:before="360" w:after="160"/>
      </w:pPr>
      <w:r>
        <w:rPr>
          <w:rFonts w:ascii="Arial" w:cs="Arial" w:eastAsia="Arial" w:hAnsi="Arial"/>
          <w:b/>
          <w:bCs/>
          <w:color w:val="1F4E79"/>
          <w:sz w:val="28"/>
          <w:szCs w:val="28"/>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500"/>
        <w:gridCol w:w="4660"/>
      </w:tblGrid>
      <w:tr>
        <w:trPr>
          <w:tblHeader/>
        </w:trPr>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1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46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of Change</w:t>
            </w:r>
          </w:p>
        </w:tc>
      </w:tr>
      <w:tr>
        <w:tc>
          <w:tcPr>
            <w:tcW w:type="dxa" w:w="8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1.0</w:t>
            </w:r>
          </w:p>
        </w:tc>
        <w:tc>
          <w:tcPr>
            <w:tcW w:type="dxa" w:w="14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[DD-MMM-YYYY]</w:t>
            </w:r>
          </w:p>
        </w:tc>
        <w:tc>
          <w:tcPr>
            <w:tcW w:type="dxa" w:w="250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CMC Development Team</w:t>
            </w:r>
          </w:p>
        </w:tc>
        <w:tc>
          <w:tcPr>
            <w:tcW w:type="dxa" w:w="4660"/>
            <w:tcBorders>
              <w:top w:val="single" w:color="AAAAAA" w:sz="4"/>
              <w:left w:val="single" w:color="AAAAAA" w:sz="4"/>
              <w:bottom w:val="single" w:color="AAAAAA" w:sz="4"/>
              <w:right w:val="single" w:color="AAAAAA" w:sz="4"/>
            </w:tcBorders>
            <w:shd w:fill="F5F5F5" w:val="clear"/>
            <w:tcMar>
              <w:top w:type="dxa" w:w="60"/>
              <w:left w:type="dxa" w:w="120"/>
              <w:bottom w:type="dxa" w:w="60"/>
              <w:right w:type="dxa" w:w="120"/>
            </w:tcMar>
            <w:vAlign w:val="center"/>
          </w:tcPr>
          <w:p>
            <w:r>
              <w:rPr>
                <w:rFonts w:ascii="Arial" w:cs="Arial" w:eastAsia="Arial" w:hAnsi="Arial"/>
                <w:color w:val="404040"/>
                <w:sz w:val="18"/>
                <w:szCs w:val="18"/>
              </w:rPr>
              <w:t xml:space="preserve">Initial version for Phase 1 IND filing</w:t>
            </w:r>
          </w:p>
        </w:tc>
      </w:tr>
    </w:tbl>
    <w:p>
      <w:pPr>
        <w:spacing w:before="60" w:after="60"/>
      </w:pPr>
      <w:r>
        <w:t xml:space="preserve"/>
      </w:r>
    </w:p>
    <w:p>
      <w:pPr>
        <w:pBdr>
          <w:top w:val="single" w:color="2E75B6" w:sz="4" w:space="6"/>
        </w:pBdr>
        <w:spacing w:before="240" w:after="80"/>
        <w:jc w:val="center"/>
      </w:pPr>
      <w:r>
        <w:rPr>
          <w:rFonts w:ascii="Arial" w:cs="Arial" w:eastAsia="Arial" w:hAnsi="Arial"/>
          <w:b/>
          <w:bCs/>
          <w:color w:val="1F4E79"/>
          <w:sz w:val="18"/>
          <w:szCs w:val="18"/>
        </w:rPr>
        <w:t xml:space="preserve">END OF PROCESS DEVELOPMENT REPORT  —  CVM-CMC-PDR-001  —  EXAMPLE DOCUMENT ONLY</w:t>
      </w:r>
    </w:p>
    <w:p>
      <w:pPr>
        <w:spacing w:before="80" w:after="80"/>
      </w:pPr>
      <w:r>
        <w:rPr>
          <w:rFonts w:ascii="Arial" w:cs="Arial" w:eastAsia="Arial" w:hAnsi="Arial"/>
          <w:i/>
          <w:iCs/>
          <w:color w:val="888888"/>
          <w:sz w:val="20"/>
          <w:szCs w:val="20"/>
        </w:rPr>
        <w:t xml:space="preserve">This document is provided for illustrative and educational purposes. It does not represent an actual product, clinical program, or regulatory submission. All data are fictional.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404040"/>
        <w:sz w:val="16"/>
        <w:szCs w:val="16"/>
      </w:rPr>
      <w:t xml:space="preserve">Doc No: CVM-CMC-PDR-001  |  Phase 1 IND  |  Version 1.0  |  Example BioPharma, Inc.  |  NOT FOR REGULATORY SUBMISSION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80"/>
    </w:pPr>
    <w:r>
      <w:rPr>
        <w:rFonts w:ascii="Arial" w:cs="Arial" w:eastAsia="Arial" w:hAnsi="Arial"/>
        <w:b/>
        <w:bCs/>
        <w:color w:val="1F4E79"/>
        <w:sz w:val="16"/>
        <w:szCs w:val="16"/>
      </w:rPr>
      <w:t xml:space="preserve">CERVIMAB  |  Drug Product Process Development Report  |  Phase 1 CMC</w:t>
    </w:r>
    <w:r>
      <w:rPr>
        <w:rFonts w:ascii="Arial" w:cs="Arial" w:eastAsia="Arial" w:hAnsi="Arial"/>
        <w:color w:val="AA0000"/>
        <w:sz w:val="16"/>
        <w:szCs w:val="16"/>
      </w:rPr>
      <w:t xml:space="preserve">	CONFIDENTIAL  |  EXAMPLE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2026-03-16T13:36:27.188Z</dcterms:created>
  <dcterms:modified xsi:type="dcterms:W3CDTF">2026-03-16T13:36:27.189Z</dcterms:modified>
</cp:coreProperties>
</file>

<file path=docProps/custom.xml><?xml version="1.0" encoding="utf-8"?>
<Properties xmlns="http://schemas.openxmlformats.org/officeDocument/2006/custom-properties" xmlns:vt="http://schemas.openxmlformats.org/officeDocument/2006/docPropsVTypes"/>
</file>