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120" w:after="120"/>
        <w:jc w:val="center"/>
      </w:pPr>
      <w:r>
        <w:rPr>
          <w:rFonts w:ascii="Arial" w:cs="Arial" w:eastAsia="Arial" w:hAnsi="Arial"/>
          <w:b/>
          <w:bCs/>
          <w:color w:val="1F3864"/>
          <w:sz w:val="28"/>
          <w:szCs w:val="28"/>
        </w:rPr>
        <w:t xml:space="preserve">INVESTIGATIONAL NEW DRUG APPLICATION</w:t>
      </w:r>
    </w:p>
    <w:p>
      <w:pPr>
        <w:spacing w:before="60" w:after="60"/>
        <w:jc w:val="center"/>
      </w:pPr>
      <w:r>
        <w:rPr>
          <w:rFonts w:ascii="Arial" w:cs="Arial" w:eastAsia="Arial" w:hAnsi="Arial"/>
          <w:b/>
          <w:bCs/>
          <w:color w:val="2E5FA3"/>
          <w:sz w:val="24"/>
          <w:szCs w:val="24"/>
        </w:rPr>
        <w:t xml:space="preserve">CERVIMAB (anti-PD-1 monoclonal antibody)</w:t>
      </w:r>
    </w:p>
    <w:p>
      <w:pPr>
        <w:spacing w:before="60" w:after="60"/>
      </w:pPr>
      <w:r>
        <w:t xml:space="preserve"/>
      </w:r>
    </w:p>
    <w:p>
      <w:pPr>
        <w:spacing w:before="120" w:after="60"/>
        <w:jc w:val="center"/>
      </w:pPr>
      <w:r>
        <w:rPr>
          <w:rFonts w:ascii="Arial" w:cs="Arial" w:eastAsia="Arial" w:hAnsi="Arial"/>
          <w:b/>
          <w:bCs/>
          <w:color w:val="1F3864"/>
          <w:sz w:val="32"/>
          <w:szCs w:val="32"/>
        </w:rPr>
        <w:t xml:space="preserve">CLINICAL STUDY PROTOCOL</w:t>
      </w:r>
    </w:p>
    <w:p>
      <w:pPr>
        <w:spacing w:before="60" w:after="60"/>
        <w:jc w:val="center"/>
      </w:pPr>
      <w:r>
        <w:rPr>
          <w:rFonts w:ascii="Arial" w:cs="Arial" w:eastAsia="Arial" w:hAnsi="Arial"/>
          <w:b/>
          <w:bCs/>
          <w:color w:val="595959"/>
          <w:sz w:val="22"/>
          <w:szCs w:val="22"/>
        </w:rPr>
        <w:t xml:space="preserve">Protocol Number: CRV-DDI-002</w:t>
      </w:r>
    </w:p>
    <w:p>
      <w:pPr>
        <w:spacing w:before="60" w:after="60"/>
      </w:pPr>
      <w:r>
        <w:t xml:space="preserve"/>
      </w:r>
    </w:p>
    <w:p>
      <w:pPr>
        <w:spacing w:before="60" w:after="60"/>
        <w:jc w:val="center"/>
      </w:pPr>
      <w:r>
        <w:rPr>
          <w:rFonts w:ascii="Arial" w:cs="Arial" w:eastAsia="Arial" w:hAnsi="Arial"/>
          <w:b/>
          <w:bCs/>
          <w:color w:val="2E5FA3"/>
          <w:sz w:val="22"/>
          <w:szCs w:val="22"/>
        </w:rPr>
        <w:t xml:space="preserve">A Phase 1, Open-Label, Fixed-Sequence, Drug–Drug Interaction Study</w:t>
      </w:r>
    </w:p>
    <w:p>
      <w:pPr>
        <w:spacing w:before="60" w:after="60"/>
        <w:jc w:val="center"/>
      </w:pPr>
      <w:r>
        <w:rPr>
          <w:rFonts w:ascii="Arial" w:cs="Arial" w:eastAsia="Arial" w:hAnsi="Arial"/>
          <w:color w:val="2E5FA3"/>
          <w:sz w:val="22"/>
          <w:szCs w:val="22"/>
        </w:rPr>
        <w:t xml:space="preserve">to Evaluate the Effect of Cervimab on the Pharmacokinetics of Sensitive CYP3A4,</w:t>
      </w:r>
    </w:p>
    <w:p>
      <w:pPr>
        <w:spacing w:before="60" w:after="60"/>
        <w:jc w:val="center"/>
      </w:pPr>
      <w:r>
        <w:rPr>
          <w:rFonts w:ascii="Arial" w:cs="Arial" w:eastAsia="Arial" w:hAnsi="Arial"/>
          <w:color w:val="2E5FA3"/>
          <w:sz w:val="22"/>
          <w:szCs w:val="22"/>
        </w:rPr>
        <w:t xml:space="preserve">CYP1A2, and CYP2C9 Substrate Cocktail Probes in Patients with</w:t>
      </w:r>
    </w:p>
    <w:p>
      <w:pPr>
        <w:spacing w:before="60" w:after="60"/>
        <w:jc w:val="center"/>
      </w:pPr>
      <w:r>
        <w:rPr>
          <w:rFonts w:ascii="Arial" w:cs="Arial" w:eastAsia="Arial" w:hAnsi="Arial"/>
          <w:color w:val="2E5FA3"/>
          <w:sz w:val="22"/>
          <w:szCs w:val="22"/>
        </w:rPr>
        <w:t xml:space="preserve">Advanced Solid Tumors</w:t>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tblHeader/>
        </w:trPr>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Information</w:t>
            </w:r>
          </w:p>
        </w:tc>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Sponsor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Vanguard Oncology Therapeutics, Inc.</w:t>
            </w:r>
          </w:p>
        </w:tc>
      </w:tr>
      <w:tr>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Protocol Version</w:t>
            </w:r>
          </w:p>
        </w:tc>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1.0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Protocol Date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February 10, 2025</w:t>
            </w:r>
          </w:p>
        </w:tc>
      </w:tr>
      <w:tr>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IND Number</w:t>
            </w:r>
          </w:p>
        </w:tc>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[XXXXX]</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Phase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Phase 1 (PK/DDI Sub-study)</w:t>
            </w:r>
          </w:p>
        </w:tc>
      </w:tr>
      <w:tr>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Design</w:t>
            </w:r>
          </w:p>
        </w:tc>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Open-Label, Fixed-Sequence, Crossover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Target Population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Advanced solid tumor patients (N=24)</w:t>
            </w:r>
          </w:p>
        </w:tc>
      </w:tr>
      <w:tr>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Regulatory Basis</w:t>
            </w:r>
          </w:p>
        </w:tc>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21 CFR 312; FDA DDI Guidance (2020); ICH M12</w:t>
            </w:r>
          </w:p>
        </w:tc>
      </w:tr>
    </w:tbl>
    <w:p>
      <w:pPr>
        <w:spacing w:before="60" w:after="60"/>
      </w:pPr>
      <w:r>
        <w:t xml:space="preserve"/>
      </w:r>
    </w:p>
    <w:p>
      <w:pPr>
        <w:spacing w:before="120" w:after="60"/>
        <w:jc w:val="center"/>
      </w:pPr>
      <w:r>
        <w:rPr>
          <w:rFonts w:ascii="Arial" w:cs="Arial" w:eastAsia="Arial" w:hAnsi="Arial"/>
          <w:b/>
          <w:bCs/>
          <w:color w:val="CC0000"/>
          <w:sz w:val="20"/>
          <w:szCs w:val="20"/>
        </w:rPr>
        <w:t xml:space="preserve">CONFIDENTIAL</w:t>
      </w:r>
    </w:p>
    <w:p>
      <w:pPr>
        <w:spacing w:before="60" w:after="60"/>
        <w:jc w:val="center"/>
      </w:pPr>
      <w:r>
        <w:rPr>
          <w:rFonts w:ascii="Arial" w:cs="Arial" w:eastAsia="Arial" w:hAnsi="Arial"/>
          <w:i/>
          <w:iCs/>
          <w:color w:val="595959"/>
          <w:sz w:val="18"/>
          <w:szCs w:val="18"/>
        </w:rPr>
        <w:t xml:space="preserve">This document contains confidential information belonging to Vanguard Oncology Therapeutics, Inc.</w:t>
      </w:r>
    </w:p>
    <w:p>
      <w:r>
        <w:br w:type="page"/>
      </w:r>
    </w:p>
    <w:p>
      <w:pPr>
        <w:pStyle w:val="Heading1"/>
        <w:spacing w:before="240" w:after="120"/>
      </w:pPr>
      <w:r>
        <w:rPr>
          <w:rFonts w:ascii="Arial" w:cs="Arial" w:eastAsia="Arial" w:hAnsi="Arial"/>
          <w:b/>
          <w:bCs/>
          <w:color w:val="595959"/>
          <w:sz w:val="22"/>
          <w:szCs w:val="22"/>
        </w:rPr>
        <w:t xml:space="preserve">PROTOCOL SYNOPSIS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Study Title</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 Phase 1, Open-Label, Fixed-Sequence, Drug-Drug Interaction Study to Evaluate the Effect of Cervimab on the Pharmacokinetics of Sensitive CYP3A4, CYP1A2, and CYP2C9 Substrate Cocktail Probes in Patients with Advanced Solid Tumors</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Protocol Number</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CRV-DDI-002</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Phase</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Phase 1 (DDI sub-study)</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Study Design</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Open-label, fixed-sequence, two-period crossover within a continued treatment context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Primary Objective</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To evaluate the effect of steady-state cervimab on the PK of CYP3A4 (midazolam), CYP1A2 (caffeine), and CYP2C9 (warfarin/S-warfarin) probe substrates</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Population</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Adult patients (≥18 years) with advanced or metastatic solid tumors who are candidates for cervimab therapy; N=24 (target 20 evaluable)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Probe Cocktail</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Midazolam 2 mg PO; Caffeine 100 mg PO; Warfarin 10 mg PO (+ Vitamin K1 10 mg PO) — administered simultaneously as a DDI cocktail</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Treatment Periods</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Period 1 (Reference): Probe cocktail alone on Day 1 pre-cervimab. Period 2 (Test): Probe cocktail on Day 43 (Cycle 3, Day 1) at cervimab steady state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Cervimab Dosing</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400 mg IV Q3W (standard therapeutic dose) beginning Day 8</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PK Sampling</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Dense PK for all three probes: pre-dose; 0.5, 1, 1.5, 2, 3, 4, 6, 8, 12, 24 h post probe dose. INR monitoring at 24 and 48 h (warfarin periods only)</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Primary PK Parameters</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Cmax, AUC0-24, AUC0-∞ for midazolam, caffeine, and S-warfarin in each period</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Statistical Criterion</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90% CI of Geometric Mean Ratio (Cervimab + Probe / Probe alone) within 70–143% (broadened per ICH M12 for oncology DDI studies)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Regulatory Basis</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FDA Guidance: In Vitro and Clinical Drug Interaction Studies (2020); ICH M12: Drug Interaction Studies (2023); ICH E6(R2)</w:t>
            </w:r>
          </w:p>
        </w:tc>
      </w:tr>
    </w:tbl>
    <w:p>
      <w:r>
        <w:br w:type="page"/>
      </w:r>
    </w:p>
    <w:p>
      <w:pPr>
        <w:pStyle w:val="Heading1"/>
        <w:spacing w:before="240" w:after="120"/>
      </w:pPr>
      <w:r>
        <w:rPr>
          <w:rFonts w:ascii="Arial" w:cs="Arial" w:eastAsia="Arial" w:hAnsi="Arial"/>
          <w:b/>
          <w:bCs/>
          <w:color w:val="595959"/>
          <w:sz w:val="22"/>
          <w:szCs w:val="22"/>
        </w:rPr>
        <w:t xml:space="preserve">1. INTRODUCTION AND BACKGROUND</w:t>
      </w:r>
    </w:p>
    <w:p>
      <w:pPr>
        <w:pStyle w:val="Heading2"/>
        <w:spacing w:before="240" w:after="120"/>
      </w:pPr>
      <w:r>
        <w:rPr>
          <w:rFonts w:ascii="Arial" w:cs="Arial" w:eastAsia="Arial" w:hAnsi="Arial"/>
          <w:b/>
          <w:bCs/>
          <w:color w:val="595959"/>
          <w:sz w:val="22"/>
          <w:szCs w:val="22"/>
        </w:rPr>
        <w:t xml:space="preserve">1.1 Background on Cervimab and Rationale for DDI Study</w:t>
      </w:r>
    </w:p>
    <w:p>
      <w:pPr>
        <w:spacing w:before="60" w:after="60"/>
        <w:jc w:val="both"/>
      </w:pPr>
      <w:r>
        <w:rPr>
          <w:rFonts w:ascii="Arial" w:cs="Arial" w:eastAsia="Arial" w:hAnsi="Arial"/>
          <w:color w:val="000000"/>
          <w:sz w:val="20"/>
          <w:szCs w:val="20"/>
        </w:rPr>
        <w:t xml:space="preserve">Cervimab is an IgG4 anti-PD-1 monoclonal antibody under clinical development for dMMR/MSI-H metastatic colorectal cancer and other solid tumors. Like all programmed death pathway inhibitors currently approved or in development, cervimab is co-administered with chemotherapy, targeted therapy, and/or supportive care medications in the oncology setting. Patients with advanced mCRC routinely receive FOLFOX (oxaliplatin/5-fluorouracil/leucovorin) or FOLFIRI ± bevacizumab or cetuximab, alongside analgesics, anticoagulants, antiemetics, and corticosteroids — agents that are substrates, inhibitors, or inducers of major cytochrome P450 (CYP) enzymes.</w:t>
      </w:r>
    </w:p>
    <w:p>
      <w:pPr>
        <w:spacing w:before="60" w:after="60"/>
        <w:jc w:val="both"/>
      </w:pPr>
      <w:r>
        <w:rPr>
          <w:rFonts w:ascii="Arial" w:cs="Arial" w:eastAsia="Arial" w:hAnsi="Arial"/>
          <w:color w:val="000000"/>
          <w:sz w:val="20"/>
          <w:szCs w:val="20"/>
        </w:rPr>
        <w:t xml:space="preserve">While monoclonal antibodies are not metabolized by CYP enzymes and thus are not expected to directly inhibit or induce CYP-mediated drug metabolism, there is growing recognition that inflammatory cytokines modulated by immunotherapy can regulate hepatic CYP enzyme expression via a phenomenon termed cytokine-mediated DDI (cDDI). Pro-inflammatory cytokines (IL-6, TNF-α, IFN-γ) suppress CYP3A4, CYP1A2, CYP2C9, and CYP2C19 activity in hepatocytes. By blocking PD-1 and promoting immune activation, cervimab may alter systemic cytokine levels, potentially modifying CYP substrate exposure.</w:t>
      </w:r>
    </w:p>
    <w:p>
      <w:pPr>
        <w:spacing w:before="60" w:after="60"/>
        <w:jc w:val="both"/>
      </w:pPr>
      <w:r>
        <w:rPr>
          <w:rFonts w:ascii="Arial" w:cs="Arial" w:eastAsia="Arial" w:hAnsi="Arial"/>
          <w:color w:val="000000"/>
          <w:sz w:val="20"/>
          <w:szCs w:val="20"/>
        </w:rPr>
        <w:t xml:space="preserve">The FDA Draft Guidance for Industry: Drug Interaction Studies — Study Design, Data Analysis, Implications for Dosing and Labeling (2020) and the finalized ICH M12 Guideline (Drug Interaction Studies, 2023) address the evaluation of cDDI potential for immunomodulatory agents. A prospective clinical DDI study using an established probe cocktail is the definitive approach to characterize this risk prior to Phase 3 and NDA submission.</w:t>
      </w:r>
    </w:p>
    <w:p>
      <w:pPr>
        <w:pStyle w:val="Heading2"/>
        <w:spacing w:before="240" w:after="120"/>
      </w:pPr>
      <w:r>
        <w:rPr>
          <w:rFonts w:ascii="Arial" w:cs="Arial" w:eastAsia="Arial" w:hAnsi="Arial"/>
          <w:b/>
          <w:bCs/>
          <w:color w:val="595959"/>
          <w:sz w:val="22"/>
          <w:szCs w:val="22"/>
        </w:rPr>
        <w:t xml:space="preserve">1.2 Scientific Basis for Probe Selection</w:t>
      </w:r>
    </w:p>
    <w:p>
      <w:pPr>
        <w:spacing w:before="60" w:after="60"/>
        <w:jc w:val="both"/>
      </w:pPr>
      <w:r>
        <w:rPr>
          <w:rFonts w:ascii="Arial" w:cs="Arial" w:eastAsia="Arial" w:hAnsi="Arial"/>
          <w:color w:val="000000"/>
          <w:sz w:val="20"/>
          <w:szCs w:val="20"/>
        </w:rPr>
        <w:t xml:space="preserve">The following probe substrate cocktail was selected based on sensitivity, established PK behavior, and clinical feasibility: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600"/>
        <w:gridCol w:w="236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Probe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Enzyme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Dose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Midazolam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CYP3A4 (sensitive)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 mg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Oral</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FDA-designated sensitive substrate; &gt;90% CYP3A4-mediated; extensive clinical data; validated bioanalytical methods widely available</w:t>
            </w:r>
          </w:p>
        </w:tc>
      </w:tr>
      <w:tr>
        <w:tc>
          <w:tcPr>
            <w:tcW w:type="dxa" w:w="2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Caffeine</w:t>
            </w:r>
          </w:p>
        </w:tc>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CYP1A2 (sensitive)</w:t>
            </w:r>
          </w:p>
        </w:tc>
        <w:tc>
          <w:tcPr>
            <w:tcW w:type="dxa" w:w="1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100 mg</w:t>
            </w:r>
          </w:p>
        </w:tc>
        <w:tc>
          <w:tcPr>
            <w:tcW w:type="dxa" w:w="1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Oral</w:t>
            </w:r>
          </w:p>
        </w:tc>
        <w:tc>
          <w:tcPr>
            <w:tcW w:type="dxa" w:w="23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FDA-designated CYP1A2 probe; caffeine N3-demethylation to paraxanthine is CYP1A2-specific; well-tolerated; widely used in cocktail studies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Warfarin (S-warfarin as PK marker)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CYP2C9 (sensitive)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10 mg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Oral</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Racemic warfarin used; S-enantiomer is a sensitive CYP2C9 probe; INR monitoring ensures safety; Vitamin K1 co-administered to attenuate anticoagulant effect</w:t>
            </w:r>
          </w:p>
        </w:tc>
      </w:tr>
    </w:tbl>
    <w:p>
      <w:pPr>
        <w:spacing w:before="60" w:after="60"/>
      </w:pPr>
      <w:r>
        <w:t xml:space="preserve"/>
      </w:r>
    </w:p>
    <w:p>
      <w:pPr>
        <w:spacing w:before="60" w:after="60"/>
        <w:jc w:val="both"/>
      </w:pPr>
      <w:r>
        <w:rPr>
          <w:rFonts w:ascii="Arial" w:cs="Arial" w:eastAsia="Arial" w:hAnsi="Arial"/>
          <w:color w:val="000000"/>
          <w:sz w:val="20"/>
          <w:szCs w:val="20"/>
        </w:rPr>
        <w:t xml:space="preserve">CYP2D6 is not included in this study as in vitro studies (Study VT-DMPK-003) showed no inhibitory or inductive effect of cervimab on CYP2D6 activity.</w:t>
      </w:r>
    </w:p>
    <w:p>
      <w:pPr>
        <w:pStyle w:val="Heading2"/>
        <w:spacing w:before="240" w:after="120"/>
      </w:pPr>
      <w:r>
        <w:rPr>
          <w:rFonts w:ascii="Arial" w:cs="Arial" w:eastAsia="Arial" w:hAnsi="Arial"/>
          <w:b/>
          <w:bCs/>
          <w:color w:val="595959"/>
          <w:sz w:val="22"/>
          <w:szCs w:val="22"/>
        </w:rPr>
        <w:t xml:space="preserve">1.3 Nonclinical DDI Assessment</w:t>
      </w:r>
    </w:p>
    <w:p>
      <w:pPr>
        <w:spacing w:before="60" w:after="60"/>
        <w:jc w:val="both"/>
      </w:pPr>
      <w:r>
        <w:rPr>
          <w:rFonts w:ascii="Arial" w:cs="Arial" w:eastAsia="Arial" w:hAnsi="Arial"/>
          <w:color w:val="000000"/>
          <w:sz w:val="20"/>
          <w:szCs w:val="20"/>
        </w:rPr>
        <w:t xml:space="preserve">A comprehensive in vitro CYP inhibition and induction assessment package was conducted for cervimab (see companion In Vitro CYP Assessment Report, VT-DMPK-004). Key findings are summarized in Section 3. Cervimab itself showed no direct CYP inhibition (IC50 &gt; 100 μg/mL for all tested CYPs) and no time-dependent inhibition (TDI) or direct induction in primary human hepatocyte assays. The primary DDI concern for this study is therefore indirect, cytokine-mediated modulation of CYP activity in vivo.</w:t>
      </w:r>
    </w:p>
    <w:p>
      <w:r>
        <w:br w:type="page"/>
      </w:r>
    </w:p>
    <w:p>
      <w:pPr>
        <w:pStyle w:val="Heading1"/>
        <w:spacing w:before="240" w:after="120"/>
      </w:pPr>
      <w:r>
        <w:rPr>
          <w:rFonts w:ascii="Arial" w:cs="Arial" w:eastAsia="Arial" w:hAnsi="Arial"/>
          <w:b/>
          <w:bCs/>
          <w:color w:val="595959"/>
          <w:sz w:val="22"/>
          <w:szCs w:val="22"/>
        </w:rPr>
        <w:t xml:space="preserve">2. STUDY OBJECTIVES AND ENDPOINTS</w:t>
      </w:r>
    </w:p>
    <w:p>
      <w:pPr>
        <w:pStyle w:val="Heading2"/>
        <w:spacing w:before="240" w:after="120"/>
      </w:pPr>
      <w:r>
        <w:rPr>
          <w:rFonts w:ascii="Arial" w:cs="Arial" w:eastAsia="Arial" w:hAnsi="Arial"/>
          <w:b/>
          <w:bCs/>
          <w:color w:val="595959"/>
          <w:sz w:val="22"/>
          <w:szCs w:val="22"/>
        </w:rPr>
        <w:t xml:space="preserve">2.1 Primary Objective</w:t>
      </w:r>
    </w:p>
    <w:p>
      <w:pPr>
        <w:spacing w:before="60" w:after="60"/>
        <w:jc w:val="both"/>
      </w:pPr>
      <w:r>
        <w:rPr>
          <w:rFonts w:ascii="Arial" w:cs="Arial" w:eastAsia="Arial" w:hAnsi="Arial"/>
          <w:color w:val="000000"/>
          <w:sz w:val="20"/>
          <w:szCs w:val="20"/>
        </w:rPr>
        <w:t xml:space="preserve">To evaluate the effect of cervimab at steady-state (400 mg Q3W IV) on the single-dose pharmacokinetics of sensitive probe substrates for CYP3A4 (midazolam), CYP1A2 (caffeine), and CYP2C9 (S-warfarin) in patients with advanced solid tumors.</w:t>
      </w:r>
    </w:p>
    <w:p>
      <w:pPr>
        <w:pStyle w:val="Heading2"/>
        <w:spacing w:before="240" w:after="120"/>
      </w:pPr>
      <w:r>
        <w:rPr>
          <w:rFonts w:ascii="Arial" w:cs="Arial" w:eastAsia="Arial" w:hAnsi="Arial"/>
          <w:b/>
          <w:bCs/>
          <w:color w:val="595959"/>
          <w:sz w:val="22"/>
          <w:szCs w:val="22"/>
        </w:rPr>
        <w:t xml:space="preserve">2.2 Primary Endpoints</w:t>
      </w:r>
    </w:p>
    <w:p>
      <w:pPr>
        <w:pStyle w:val="ListParagraph"/>
        <w:numPr>
          <w:ilvl w:val="0"/>
          <w:numId w:val="2"/>
        </w:numPr>
        <w:spacing w:before="40" w:after="40"/>
      </w:pPr>
      <w:r>
        <w:rPr>
          <w:rFonts w:ascii="Arial" w:cs="Arial" w:eastAsia="Arial" w:hAnsi="Arial"/>
          <w:sz w:val="20"/>
          <w:szCs w:val="20"/>
        </w:rPr>
        <w:t xml:space="preserve">Midazolam: Cmax, AUC0-24, AUC0-∞</w:t>
      </w:r>
    </w:p>
    <w:p>
      <w:pPr>
        <w:pStyle w:val="ListParagraph"/>
        <w:numPr>
          <w:ilvl w:val="0"/>
          <w:numId w:val="2"/>
        </w:numPr>
        <w:spacing w:before="40" w:after="40"/>
      </w:pPr>
      <w:r>
        <w:rPr>
          <w:rFonts w:ascii="Arial" w:cs="Arial" w:eastAsia="Arial" w:hAnsi="Arial"/>
          <w:sz w:val="20"/>
          <w:szCs w:val="20"/>
        </w:rPr>
        <w:t xml:space="preserve">Caffeine: Cmax, AUC0-24, AUC0-∞</w:t>
      </w:r>
    </w:p>
    <w:p>
      <w:pPr>
        <w:pStyle w:val="ListParagraph"/>
        <w:numPr>
          <w:ilvl w:val="0"/>
          <w:numId w:val="2"/>
        </w:numPr>
        <w:spacing w:before="40" w:after="40"/>
      </w:pPr>
      <w:r>
        <w:rPr>
          <w:rFonts w:ascii="Arial" w:cs="Arial" w:eastAsia="Arial" w:hAnsi="Arial"/>
          <w:sz w:val="20"/>
          <w:szCs w:val="20"/>
        </w:rPr>
        <w:t xml:space="preserve">S-Warfarin: Cmax, AUC0-24, AUC0-∞</w:t>
      </w:r>
    </w:p>
    <w:p>
      <w:pPr>
        <w:pStyle w:val="Heading2"/>
        <w:spacing w:before="240" w:after="120"/>
      </w:pPr>
      <w:r>
        <w:rPr>
          <w:rFonts w:ascii="Arial" w:cs="Arial" w:eastAsia="Arial" w:hAnsi="Arial"/>
          <w:b/>
          <w:bCs/>
          <w:color w:val="595959"/>
          <w:sz w:val="22"/>
          <w:szCs w:val="22"/>
        </w:rPr>
        <w:t xml:space="preserve">2.3 Secondary Objectives</w:t>
      </w:r>
    </w:p>
    <w:p>
      <w:pPr>
        <w:spacing w:before="60" w:after="60"/>
        <w:jc w:val="both"/>
      </w:pPr>
      <w:r>
        <w:rPr>
          <w:rFonts w:ascii="Arial" w:cs="Arial" w:eastAsia="Arial" w:hAnsi="Arial"/>
          <w:color w:val="000000"/>
          <w:sz w:val="20"/>
          <w:szCs w:val="20"/>
        </w:rPr>
        <w:t xml:space="preserve">To further characterize probe PK (Tmax, t½, CL/F); to assess the PK of cervimab at steady state; to evaluate safety and tolerability; and to assess any pharmacodynamic (PD) markers of immune activation.</w:t>
      </w:r>
    </w:p>
    <w:p>
      <w:pPr>
        <w:pStyle w:val="Heading2"/>
        <w:spacing w:before="240" w:after="120"/>
      </w:pPr>
      <w:r>
        <w:rPr>
          <w:rFonts w:ascii="Arial" w:cs="Arial" w:eastAsia="Arial" w:hAnsi="Arial"/>
          <w:b/>
          <w:bCs/>
          <w:color w:val="595959"/>
          <w:sz w:val="22"/>
          <w:szCs w:val="22"/>
        </w:rPr>
        <w:t xml:space="preserve">2.4 Secondary Endpoints</w:t>
      </w:r>
    </w:p>
    <w:p>
      <w:pPr>
        <w:pStyle w:val="ListParagraph"/>
        <w:numPr>
          <w:ilvl w:val="0"/>
          <w:numId w:val="2"/>
        </w:numPr>
        <w:spacing w:before="40" w:after="40"/>
      </w:pPr>
      <w:r>
        <w:rPr>
          <w:rFonts w:ascii="Arial" w:cs="Arial" w:eastAsia="Arial" w:hAnsi="Arial"/>
          <w:sz w:val="20"/>
          <w:szCs w:val="20"/>
        </w:rPr>
        <w:t xml:space="preserve">Tmax, t½, CL/F, and metabolic ratios (1-OH midazolam/midazolam; paraxanthine/caffeine) for each probe</w:t>
      </w:r>
    </w:p>
    <w:p>
      <w:pPr>
        <w:pStyle w:val="ListParagraph"/>
        <w:numPr>
          <w:ilvl w:val="0"/>
          <w:numId w:val="2"/>
        </w:numPr>
        <w:spacing w:before="40" w:after="40"/>
      </w:pPr>
      <w:r>
        <w:rPr>
          <w:rFonts w:ascii="Arial" w:cs="Arial" w:eastAsia="Arial" w:hAnsi="Arial"/>
          <w:sz w:val="20"/>
          <w:szCs w:val="20"/>
        </w:rPr>
        <w:t xml:space="preserve">Cervimab trough concentrations (Ctrough) at Cycles 1–3 to confirm steady state</w:t>
      </w:r>
    </w:p>
    <w:p>
      <w:pPr>
        <w:pStyle w:val="ListParagraph"/>
        <w:numPr>
          <w:ilvl w:val="0"/>
          <w:numId w:val="2"/>
        </w:numPr>
        <w:spacing w:before="40" w:after="40"/>
      </w:pPr>
      <w:r>
        <w:rPr>
          <w:rFonts w:ascii="Arial" w:cs="Arial" w:eastAsia="Arial" w:hAnsi="Arial"/>
          <w:sz w:val="20"/>
          <w:szCs w:val="20"/>
        </w:rPr>
        <w:t xml:space="preserve">International Normalized Ratio (INR) at pre-dose, 24 h, and 48 h post-warfarin administration in each period</w:t>
      </w:r>
    </w:p>
    <w:p>
      <w:pPr>
        <w:pStyle w:val="ListParagraph"/>
        <w:numPr>
          <w:ilvl w:val="0"/>
          <w:numId w:val="2"/>
        </w:numPr>
        <w:spacing w:before="40" w:after="40"/>
      </w:pPr>
      <w:r>
        <w:rPr>
          <w:rFonts w:ascii="Arial" w:cs="Arial" w:eastAsia="Arial" w:hAnsi="Arial"/>
          <w:sz w:val="20"/>
          <w:szCs w:val="20"/>
        </w:rPr>
        <w:t xml:space="preserve">Incidence and severity of AEs (NCI-CTCAE v5.0); immune-mediated AEs; infusion-related reactions</w:t>
      </w:r>
    </w:p>
    <w:p>
      <w:pPr>
        <w:pStyle w:val="ListParagraph"/>
        <w:numPr>
          <w:ilvl w:val="0"/>
          <w:numId w:val="2"/>
        </w:numPr>
        <w:spacing w:before="40" w:after="40"/>
      </w:pPr>
      <w:r>
        <w:rPr>
          <w:rFonts w:ascii="Arial" w:cs="Arial" w:eastAsia="Arial" w:hAnsi="Arial"/>
          <w:sz w:val="20"/>
          <w:szCs w:val="20"/>
        </w:rPr>
        <w:t xml:space="preserve">Serum cytokine panel (IL-6, IL-10, IFN-γ, TNF-α) pre- and post-cervimab to characterize cDDI mechanism</w:t>
      </w:r>
    </w:p>
    <w:p>
      <w:r>
        <w:br w:type="page"/>
      </w:r>
    </w:p>
    <w:p>
      <w:pPr>
        <w:pStyle w:val="Heading1"/>
        <w:spacing w:before="240" w:after="120"/>
      </w:pPr>
      <w:r>
        <w:rPr>
          <w:rFonts w:ascii="Arial" w:cs="Arial" w:eastAsia="Arial" w:hAnsi="Arial"/>
          <w:b/>
          <w:bCs/>
          <w:color w:val="595959"/>
          <w:sz w:val="22"/>
          <w:szCs w:val="22"/>
        </w:rPr>
        <w:t xml:space="preserve">3. IN VITRO DDI PACKAGE SUMMARY (REGULATORY CONTEXT)</w:t>
      </w:r>
    </w:p>
    <w:p>
      <w:pPr>
        <w:spacing w:before="60" w:after="60"/>
        <w:jc w:val="both"/>
      </w:pPr>
      <w:r>
        <w:rPr>
          <w:rFonts w:ascii="Arial" w:cs="Arial" w:eastAsia="Arial" w:hAnsi="Arial"/>
          <w:color w:val="000000"/>
          <w:sz w:val="20"/>
          <w:szCs w:val="20"/>
        </w:rPr>
        <w:t xml:space="preserve">Per FDA (2020) and ICH M12 (2023) guidance, the following in vitro assessments were conducted and are summarized here for context. Full reports are in Module 2.6.4 of the IND.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 Vitro Assessment</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CYP/Pathway</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2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Clinical DDI Predicted?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Reversible inhibition (IC50)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CYP1A2, 2B6, 2C8, 2C9, 2C19, 2D6, 3A4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IC50 &gt;100 μg/mL all isoforms (&gt;1000× Cmax)</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No (direct inhibition)</w:t>
            </w:r>
          </w:p>
        </w:tc>
      </w:tr>
      <w:tr>
        <w:tc>
          <w:tcPr>
            <w:tcW w:type="dxa" w:w="24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Time-Dependent Inhibition (TDI)</w:t>
            </w:r>
          </w:p>
        </w:tc>
        <w:tc>
          <w:tcPr>
            <w:tcW w:type="dxa" w:w="24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CYP3A4 (primary concern)</w:t>
            </w:r>
          </w:p>
        </w:tc>
        <w:tc>
          <w:tcPr>
            <w:tcW w:type="dxa" w:w="24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KI/kinact = N/A (no TDI observed at up to 100 μg/mL)</w:t>
            </w:r>
          </w:p>
        </w:tc>
        <w:tc>
          <w:tcPr>
            <w:tcW w:type="dxa" w:w="2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No (TDI)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mRNA Induction (primary hepatocytes)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CYP1A2, CYP2B6, CYP3A4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No induction &gt;1.5-fold at all concentrations tested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No (direct induction)</w:t>
            </w:r>
          </w:p>
        </w:tc>
      </w:tr>
      <w:tr>
        <w:tc>
          <w:tcPr>
            <w:tcW w:type="dxa" w:w="24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P-gp / BCRP Inhibition</w:t>
            </w:r>
          </w:p>
        </w:tc>
        <w:tc>
          <w:tcPr>
            <w:tcW w:type="dxa" w:w="24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Transporter substrates (digoxin, rosuvastatin)</w:t>
            </w:r>
          </w:p>
        </w:tc>
        <w:tc>
          <w:tcPr>
            <w:tcW w:type="dxa" w:w="24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IC50 &gt;100 μg/mL for P-gp; BCRP IC50 &gt;50 μg/mL</w:t>
            </w:r>
          </w:p>
        </w:tc>
        <w:tc>
          <w:tcPr>
            <w:tcW w:type="dxa" w:w="2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No</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OATP1B1 / OATP1B3 Inhibition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Hepatic uptake transporters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IC50 &gt;100 μg/mL</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r>
      <w:tr>
        <w:tc>
          <w:tcPr>
            <w:tcW w:type="dxa" w:w="24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Cytokine-mediated CYP modulation (in vivo potential)</w:t>
            </w:r>
          </w:p>
        </w:tc>
        <w:tc>
          <w:tcPr>
            <w:tcW w:type="dxa" w:w="24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IL-6 / IFN-γ mediated CYP suppression</w:t>
            </w:r>
          </w:p>
        </w:tc>
        <w:tc>
          <w:tcPr>
            <w:tcW w:type="dxa" w:w="24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Not assessable in vitro; prospective clinical DDI required</w:t>
            </w:r>
          </w:p>
        </w:tc>
        <w:tc>
          <w:tcPr>
            <w:tcW w:type="dxa" w:w="2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Possible (cDDI — subject of this study)</w:t>
            </w:r>
          </w:p>
        </w:tc>
      </w:tr>
    </w:tbl>
    <w:p>
      <w:pPr>
        <w:spacing w:before="60" w:after="60"/>
      </w:pPr>
      <w:r>
        <w:t xml:space="preserve"/>
      </w:r>
    </w:p>
    <w:p>
      <w:pPr>
        <w:spacing w:before="60" w:after="60"/>
        <w:jc w:val="both"/>
      </w:pPr>
      <w:r>
        <w:rPr>
          <w:rFonts w:ascii="Arial" w:cs="Arial" w:eastAsia="Arial" w:hAnsi="Arial"/>
          <w:color w:val="000000"/>
          <w:sz w:val="20"/>
          <w:szCs w:val="20"/>
        </w:rPr>
        <w:t xml:space="preserve">Conclusion from in vitro package: Cervimab has no in vitro-predicted direct CYP inhibition or induction potential. The residual DDI risk requiring clinical evaluation is indirect cytokine-mediated CYP modulation secondary to immunologic activation.</w:t>
      </w:r>
    </w:p>
    <w:p>
      <w:r>
        <w:br w:type="page"/>
      </w:r>
    </w:p>
    <w:p>
      <w:pPr>
        <w:pStyle w:val="Heading1"/>
        <w:spacing w:before="240" w:after="120"/>
      </w:pPr>
      <w:r>
        <w:rPr>
          <w:rFonts w:ascii="Arial" w:cs="Arial" w:eastAsia="Arial" w:hAnsi="Arial"/>
          <w:b/>
          <w:bCs/>
          <w:color w:val="595959"/>
          <w:sz w:val="22"/>
          <w:szCs w:val="22"/>
        </w:rPr>
        <w:t xml:space="preserve">4. STUDY DESIGN</w:t>
      </w:r>
    </w:p>
    <w:p>
      <w:pPr>
        <w:pStyle w:val="Heading2"/>
        <w:spacing w:before="240" w:after="120"/>
      </w:pPr>
      <w:r>
        <w:rPr>
          <w:rFonts w:ascii="Arial" w:cs="Arial" w:eastAsia="Arial" w:hAnsi="Arial"/>
          <w:b/>
          <w:bCs/>
          <w:color w:val="595959"/>
          <w:sz w:val="22"/>
          <w:szCs w:val="22"/>
        </w:rPr>
        <w:t xml:space="preserve">4.1 Overall Design</w:t>
      </w:r>
    </w:p>
    <w:p>
      <w:pPr>
        <w:spacing w:before="60" w:after="60"/>
        <w:jc w:val="both"/>
      </w:pPr>
      <w:r>
        <w:rPr>
          <w:rFonts w:ascii="Arial" w:cs="Arial" w:eastAsia="Arial" w:hAnsi="Arial"/>
          <w:color w:val="000000"/>
          <w:sz w:val="20"/>
          <w:szCs w:val="20"/>
        </w:rPr>
        <w:t xml:space="preserve">CRV-DDI-002 is a Phase 1, open-label, fixed-sequence, two-period study. Patients who meet eligibility criteria will be enrolled and evaluated for the DDI effect of cervimab on probe substrate PK over two defined periods, before and after achieving steady-state cervimab exposure.</w:t>
      </w:r>
    </w:p>
    <w:p>
      <w:pPr>
        <w:pStyle w:val="Heading2"/>
        <w:spacing w:before="240" w:after="120"/>
      </w:pPr>
      <w:r>
        <w:rPr>
          <w:rFonts w:ascii="Arial" w:cs="Arial" w:eastAsia="Arial" w:hAnsi="Arial"/>
          <w:b/>
          <w:bCs/>
          <w:color w:val="595959"/>
          <w:sz w:val="22"/>
          <w:szCs w:val="22"/>
        </w:rPr>
        <w:t xml:space="preserve">4.2 Study Timeline and Treatment Periods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Study Day / Visit</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2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Cervimab Dosing</w:t>
            </w:r>
          </w:p>
        </w:tc>
        <w:tc>
          <w:tcPr>
            <w:tcW w:type="dxa" w:w="2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DDI Probe Dosing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Days -28 to -1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Screening</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Day 1 (Period 1 — Reference)</w:t>
            </w:r>
          </w:p>
        </w:tc>
        <w:tc>
          <w:tcPr>
            <w:tcW w:type="dxa" w:w="22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Probe Cocktail Alone</w:t>
            </w:r>
          </w:p>
        </w:tc>
        <w:tc>
          <w:tcPr>
            <w:tcW w:type="dxa" w:w="2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None (pre-cervimab)</w:t>
            </w:r>
          </w:p>
        </w:tc>
        <w:tc>
          <w:tcPr>
            <w:tcW w:type="dxa" w:w="2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Midazolam 2 mg + Caffeine 100 mg + Warfarin 10 mg + Vitamin K1 10 mg PO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Day 2–7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PK follow-up; washout</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Day 8 (Cycle 1, Day 1)</w:t>
            </w:r>
          </w:p>
        </w:tc>
        <w:tc>
          <w:tcPr>
            <w:tcW w:type="dxa" w:w="22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Cervimab initiation</w:t>
            </w:r>
          </w:p>
        </w:tc>
        <w:tc>
          <w:tcPr>
            <w:tcW w:type="dxa" w:w="2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400 mg IV Q3W</w:t>
            </w:r>
          </w:p>
        </w:tc>
        <w:tc>
          <w:tcPr>
            <w:tcW w:type="dxa" w:w="2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Day 29 (Cycle 2, Day 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Cervimab Dose 2</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400 mg IV Q3W</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PK trough sample only</w:t>
            </w:r>
          </w:p>
        </w:tc>
      </w:tr>
      <w:tr>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Day 43 (Cycle 3, Day 1) — Period 2 Test</w:t>
            </w:r>
          </w:p>
        </w:tc>
        <w:tc>
          <w:tcPr>
            <w:tcW w:type="dxa" w:w="22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Probe Cocktail + Cervimab</w:t>
            </w:r>
          </w:p>
        </w:tc>
        <w:tc>
          <w:tcPr>
            <w:tcW w:type="dxa" w:w="2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400 mg IV Q3W (given after probes)</w:t>
            </w:r>
          </w:p>
        </w:tc>
        <w:tc>
          <w:tcPr>
            <w:tcW w:type="dxa" w:w="2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Midazolam 2 mg + Caffeine 100 mg + Warfarin 10 mg + Vitamin K1 10 mg PO (administered 1 h before cervimab infusion start)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Day 44–44+7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PK follow-up</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Day 57+</w:t>
            </w:r>
          </w:p>
        </w:tc>
        <w:tc>
          <w:tcPr>
            <w:tcW w:type="dxa" w:w="22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Continued cervimab per standard dosing</w:t>
            </w:r>
          </w:p>
        </w:tc>
        <w:tc>
          <w:tcPr>
            <w:tcW w:type="dxa" w:w="2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Q3W as per treating investigator</w:t>
            </w:r>
          </w:p>
        </w:tc>
        <w:tc>
          <w:tcPr>
            <w:tcW w:type="dxa" w:w="2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w:t>
            </w:r>
          </w:p>
        </w:tc>
      </w:tr>
    </w:tbl>
    <w:p>
      <w:pPr>
        <w:spacing w:before="60" w:after="60"/>
      </w:pPr>
      <w:r>
        <w:t xml:space="preserve"/>
      </w:r>
    </w:p>
    <w:p>
      <w:pPr>
        <w:spacing w:before="60" w:after="60"/>
        <w:jc w:val="both"/>
      </w:pPr>
      <w:r>
        <w:rPr>
          <w:rFonts w:ascii="Arial" w:cs="Arial" w:eastAsia="Arial" w:hAnsi="Arial"/>
          <w:color w:val="000000"/>
          <w:sz w:val="20"/>
          <w:szCs w:val="20"/>
        </w:rPr>
        <w:t xml:space="preserve">Rationale for timing: Day 43 = 3rd dose of cervimab. With a t½ of ~18 days and Q3W (every 21 days) dosing, approximately 2 doses are required to approach steady-state for an IgG4 antibody. Peak cytokine modulation is expected to be manifest by Cycle 3 based on anti-PD-1 pharmacodynamic data in the literature.</w:t>
      </w:r>
    </w:p>
    <w:p>
      <w:pPr>
        <w:pStyle w:val="Heading2"/>
        <w:spacing w:before="240" w:after="120"/>
      </w:pPr>
      <w:r>
        <w:rPr>
          <w:rFonts w:ascii="Arial" w:cs="Arial" w:eastAsia="Arial" w:hAnsi="Arial"/>
          <w:b/>
          <w:bCs/>
          <w:color w:val="595959"/>
          <w:sz w:val="22"/>
          <w:szCs w:val="22"/>
        </w:rPr>
        <w:t xml:space="preserve">4.3 Probe Cocktail Administration Instructions</w:t>
      </w:r>
    </w:p>
    <w:p>
      <w:pPr>
        <w:spacing w:before="60" w:after="60"/>
        <w:jc w:val="both"/>
      </w:pPr>
      <w:r>
        <w:rPr>
          <w:rFonts w:ascii="Arial" w:cs="Arial" w:eastAsia="Arial" w:hAnsi="Arial"/>
          <w:color w:val="000000"/>
          <w:sz w:val="20"/>
          <w:szCs w:val="20"/>
        </w:rPr>
        <w:t xml:space="preserve">All three probe substrates will be administered simultaneously as an oral DDI cocktail with 240 mL water after an overnight fast of ≥10 hours. Subjects must fast for ≥2 hours post-dose. The probes are administered approximately 1 hour before the start of the cervimab IV infusion on Period 2 Day 1 (to allow the initial distribution phase of the probes to commence before cervimab peak exposure).</w:t>
      </w:r>
    </w:p>
    <w:p>
      <w:pPr>
        <w:spacing w:before="60" w:after="60"/>
        <w:jc w:val="both"/>
      </w:pPr>
      <w:r>
        <w:rPr>
          <w:rFonts w:ascii="Arial" w:cs="Arial" w:eastAsia="Arial" w:hAnsi="Arial"/>
          <w:color w:val="000000"/>
          <w:sz w:val="20"/>
          <w:szCs w:val="20"/>
        </w:rPr>
        <w:t xml:space="preserve">Warfarin note: Due to the anticoagulant activity of racemic warfarin, Vitamin K1 (phytonadione) 10 mg PO will be co-administered with each warfarin dose to attenuate the PT/INR response while preserving PK measurability. INR will be measured at baseline, 24 h, and 48 h post-warfarin. Antidotes (Vitamin K1 IV) and reversal agents (4-factor PCC, FFP) must be available on site.</w:t>
      </w:r>
    </w:p>
    <w:p>
      <w:r>
        <w:br w:type="page"/>
      </w:r>
    </w:p>
    <w:p>
      <w:pPr>
        <w:pStyle w:val="Heading1"/>
        <w:spacing w:before="240" w:after="120"/>
      </w:pPr>
      <w:r>
        <w:rPr>
          <w:rFonts w:ascii="Arial" w:cs="Arial" w:eastAsia="Arial" w:hAnsi="Arial"/>
          <w:b/>
          <w:bCs/>
          <w:color w:val="595959"/>
          <w:sz w:val="22"/>
          <w:szCs w:val="22"/>
        </w:rPr>
        <w:t xml:space="preserve">5. STUDY POPULATION</w:t>
      </w:r>
    </w:p>
    <w:p>
      <w:pPr>
        <w:pStyle w:val="Heading2"/>
        <w:spacing w:before="240" w:after="120"/>
      </w:pPr>
      <w:r>
        <w:rPr>
          <w:rFonts w:ascii="Arial" w:cs="Arial" w:eastAsia="Arial" w:hAnsi="Arial"/>
          <w:b/>
          <w:bCs/>
          <w:color w:val="595959"/>
          <w:sz w:val="22"/>
          <w:szCs w:val="22"/>
        </w:rPr>
        <w:t xml:space="preserve">5.1 Inclusion Criteria</w:t>
      </w:r>
    </w:p>
    <w:p>
      <w:pPr>
        <w:pStyle w:val="ListParagraph"/>
        <w:numPr>
          <w:ilvl w:val="0"/>
          <w:numId w:val="3"/>
        </w:numPr>
        <w:spacing w:before="40" w:after="40"/>
      </w:pPr>
      <w:r>
        <w:rPr>
          <w:rFonts w:ascii="Arial" w:cs="Arial" w:eastAsia="Arial" w:hAnsi="Arial"/>
          <w:sz w:val="20"/>
          <w:szCs w:val="20"/>
        </w:rPr>
        <w:t xml:space="preserve">Adult patients (≥18 years) with histologically or cytologically confirmed advanced or metastatic solid tumor(s) for which no satisfactory standard-of-care alternative exists, or for whom cervimab-based therapy is clinically indicated</w:t>
      </w:r>
    </w:p>
    <w:p>
      <w:pPr>
        <w:pStyle w:val="ListParagraph"/>
        <w:numPr>
          <w:ilvl w:val="0"/>
          <w:numId w:val="3"/>
        </w:numPr>
        <w:spacing w:before="40" w:after="40"/>
      </w:pPr>
      <w:r>
        <w:rPr>
          <w:rFonts w:ascii="Arial" w:cs="Arial" w:eastAsia="Arial" w:hAnsi="Arial"/>
          <w:sz w:val="20"/>
          <w:szCs w:val="20"/>
        </w:rPr>
        <w:t xml:space="preserve">Eastern Cooperative Oncology Group (ECOG) Performance Status of 0 or 1</w:t>
      </w:r>
    </w:p>
    <w:p>
      <w:pPr>
        <w:pStyle w:val="ListParagraph"/>
        <w:numPr>
          <w:ilvl w:val="0"/>
          <w:numId w:val="3"/>
        </w:numPr>
        <w:spacing w:before="40" w:after="40"/>
      </w:pPr>
      <w:r>
        <w:rPr>
          <w:rFonts w:ascii="Arial" w:cs="Arial" w:eastAsia="Arial" w:hAnsi="Arial"/>
          <w:sz w:val="20"/>
          <w:szCs w:val="20"/>
        </w:rPr>
        <w:t xml:space="preserve">Adequate organ function at screening: ANC ≥1.0 × 10⁹/L, platelets ≥100 × 10⁹/L, hemoglobin ≥9.0 g/dL; ALT and AST ≤2.5× ULN (≤5× ULN if hepatic metastases); total bilirubin ≤1.5× ULN; creatinine ≤1.5× ULN or eGFR ≥50 mL/min/1.73 m²</w:t>
      </w:r>
    </w:p>
    <w:p>
      <w:pPr>
        <w:pStyle w:val="ListParagraph"/>
        <w:numPr>
          <w:ilvl w:val="0"/>
          <w:numId w:val="3"/>
        </w:numPr>
        <w:spacing w:before="40" w:after="40"/>
      </w:pPr>
      <w:r>
        <w:rPr>
          <w:rFonts w:ascii="Arial" w:cs="Arial" w:eastAsia="Arial" w:hAnsi="Arial"/>
          <w:sz w:val="20"/>
          <w:szCs w:val="20"/>
        </w:rPr>
        <w:t xml:space="preserve">Life expectancy ≥12 weeks</w:t>
      </w:r>
    </w:p>
    <w:p>
      <w:pPr>
        <w:pStyle w:val="ListParagraph"/>
        <w:numPr>
          <w:ilvl w:val="0"/>
          <w:numId w:val="3"/>
        </w:numPr>
        <w:spacing w:before="40" w:after="40"/>
      </w:pPr>
      <w:r>
        <w:rPr>
          <w:rFonts w:ascii="Arial" w:cs="Arial" w:eastAsia="Arial" w:hAnsi="Arial"/>
          <w:sz w:val="20"/>
          <w:szCs w:val="20"/>
        </w:rPr>
        <w:t xml:space="preserve">Willing and able to provide written informed consent</w:t>
      </w:r>
    </w:p>
    <w:p>
      <w:pPr>
        <w:pStyle w:val="ListParagraph"/>
        <w:numPr>
          <w:ilvl w:val="0"/>
          <w:numId w:val="3"/>
        </w:numPr>
        <w:spacing w:before="40" w:after="40"/>
      </w:pPr>
      <w:r>
        <w:rPr>
          <w:rFonts w:ascii="Arial" w:cs="Arial" w:eastAsia="Arial" w:hAnsi="Arial"/>
          <w:sz w:val="20"/>
          <w:szCs w:val="20"/>
        </w:rPr>
        <w:t xml:space="preserve">Women of childbearing potential must have negative pregnancy test; adequate contraception required for all subjects of reproductive potential</w:t>
      </w:r>
    </w:p>
    <w:p>
      <w:pPr>
        <w:pStyle w:val="Heading2"/>
        <w:spacing w:before="240" w:after="120"/>
      </w:pPr>
      <w:r>
        <w:rPr>
          <w:rFonts w:ascii="Arial" w:cs="Arial" w:eastAsia="Arial" w:hAnsi="Arial"/>
          <w:b/>
          <w:bCs/>
          <w:color w:val="595959"/>
          <w:sz w:val="22"/>
          <w:szCs w:val="22"/>
        </w:rPr>
        <w:t xml:space="preserve">5.2 Exclusion Criteria</w:t>
      </w:r>
    </w:p>
    <w:p>
      <w:pPr>
        <w:pStyle w:val="ListParagraph"/>
        <w:numPr>
          <w:ilvl w:val="0"/>
          <w:numId w:val="3"/>
        </w:numPr>
        <w:spacing w:before="40" w:after="40"/>
      </w:pPr>
      <w:r>
        <w:rPr>
          <w:rFonts w:ascii="Arial" w:cs="Arial" w:eastAsia="Arial" w:hAnsi="Arial"/>
          <w:sz w:val="20"/>
          <w:szCs w:val="20"/>
        </w:rPr>
        <w:t xml:space="preserve">Active or prior history of autoimmune disease requiring systemic treatment within the prior 2 years, or any condition requiring chronic systemic steroids (&gt;10 mg/day prednisone equivalent) or other immunosuppressants within 14 days</w:t>
      </w:r>
    </w:p>
    <w:p>
      <w:pPr>
        <w:pStyle w:val="ListParagraph"/>
        <w:numPr>
          <w:ilvl w:val="0"/>
          <w:numId w:val="3"/>
        </w:numPr>
        <w:spacing w:before="40" w:after="40"/>
      </w:pPr>
      <w:r>
        <w:rPr>
          <w:rFonts w:ascii="Arial" w:cs="Arial" w:eastAsia="Arial" w:hAnsi="Arial"/>
          <w:sz w:val="20"/>
          <w:szCs w:val="20"/>
        </w:rPr>
        <w:t xml:space="preserve">Known active or chronic hepatitis B or C, or HIV infection</w:t>
      </w:r>
    </w:p>
    <w:p>
      <w:pPr>
        <w:pStyle w:val="ListParagraph"/>
        <w:numPr>
          <w:ilvl w:val="0"/>
          <w:numId w:val="3"/>
        </w:numPr>
        <w:spacing w:before="40" w:after="40"/>
      </w:pPr>
      <w:r>
        <w:rPr>
          <w:rFonts w:ascii="Arial" w:cs="Arial" w:eastAsia="Arial" w:hAnsi="Arial"/>
          <w:sz w:val="20"/>
          <w:szCs w:val="20"/>
        </w:rPr>
        <w:t xml:space="preserve">Concomitant use of strong CYP3A4 inhibitors or inducers within 14 days or 5 half-lives of Day 1 and through the PK follow-up of Period 2</w:t>
      </w:r>
    </w:p>
    <w:p>
      <w:pPr>
        <w:pStyle w:val="ListParagraph"/>
        <w:numPr>
          <w:ilvl w:val="0"/>
          <w:numId w:val="3"/>
        </w:numPr>
        <w:spacing w:before="40" w:after="40"/>
      </w:pPr>
      <w:r>
        <w:rPr>
          <w:rFonts w:ascii="Arial" w:cs="Arial" w:eastAsia="Arial" w:hAnsi="Arial"/>
          <w:sz w:val="20"/>
          <w:szCs w:val="20"/>
        </w:rPr>
        <w:t xml:space="preserve">Known allergy or hypersensitivity to midazolam, benzodiazepines, caffeine, warfarin, or Vitamin K1</w:t>
      </w:r>
    </w:p>
    <w:p>
      <w:pPr>
        <w:pStyle w:val="ListParagraph"/>
        <w:numPr>
          <w:ilvl w:val="0"/>
          <w:numId w:val="3"/>
        </w:numPr>
        <w:spacing w:before="40" w:after="40"/>
      </w:pPr>
      <w:r>
        <w:rPr>
          <w:rFonts w:ascii="Arial" w:cs="Arial" w:eastAsia="Arial" w:hAnsi="Arial"/>
          <w:sz w:val="20"/>
          <w:szCs w:val="20"/>
        </w:rPr>
        <w:t xml:space="preserve">Personal or family history of coagulopathy or known hemostatic disorders; active bleeding or high bleeding risk</w:t>
      </w:r>
    </w:p>
    <w:p>
      <w:pPr>
        <w:pStyle w:val="ListParagraph"/>
        <w:numPr>
          <w:ilvl w:val="0"/>
          <w:numId w:val="3"/>
        </w:numPr>
        <w:spacing w:before="40" w:after="40"/>
      </w:pPr>
      <w:r>
        <w:rPr>
          <w:rFonts w:ascii="Arial" w:cs="Arial" w:eastAsia="Arial" w:hAnsi="Arial"/>
          <w:sz w:val="20"/>
          <w:szCs w:val="20"/>
        </w:rPr>
        <w:t xml:space="preserve">Prior treatment with any PD-1, PD-L1, or CTLA-4 inhibitor within 6 months of enrollment (to avoid carryover immunological effects)</w:t>
      </w:r>
    </w:p>
    <w:p>
      <w:pPr>
        <w:pStyle w:val="ListParagraph"/>
        <w:numPr>
          <w:ilvl w:val="0"/>
          <w:numId w:val="3"/>
        </w:numPr>
        <w:spacing w:before="40" w:after="40"/>
      </w:pPr>
      <w:r>
        <w:rPr>
          <w:rFonts w:ascii="Arial" w:cs="Arial" w:eastAsia="Arial" w:hAnsi="Arial"/>
          <w:sz w:val="20"/>
          <w:szCs w:val="20"/>
        </w:rPr>
        <w:t xml:space="preserve">Regular consumption of grapefruit, grapefruit juice, Seville oranges, or other CYP3A4-inhibiting foods within 7 days prior to Period 1</w:t>
      </w:r>
    </w:p>
    <w:p>
      <w:pPr>
        <w:pStyle w:val="ListParagraph"/>
        <w:numPr>
          <w:ilvl w:val="0"/>
          <w:numId w:val="3"/>
        </w:numPr>
        <w:spacing w:before="40" w:after="40"/>
      </w:pPr>
      <w:r>
        <w:rPr>
          <w:rFonts w:ascii="Arial" w:cs="Arial" w:eastAsia="Arial" w:hAnsi="Arial"/>
          <w:sz w:val="20"/>
          <w:szCs w:val="20"/>
        </w:rPr>
        <w:t xml:space="preserve">History of significant hepatic impairment (Child-Pugh B or C)</w:t>
      </w:r>
    </w:p>
    <w:p>
      <w:pPr>
        <w:pStyle w:val="ListParagraph"/>
        <w:numPr>
          <w:ilvl w:val="0"/>
          <w:numId w:val="3"/>
        </w:numPr>
        <w:spacing w:before="40" w:after="40"/>
      </w:pPr>
      <w:r>
        <w:rPr>
          <w:rFonts w:ascii="Arial" w:cs="Arial" w:eastAsia="Arial" w:hAnsi="Arial"/>
          <w:sz w:val="20"/>
          <w:szCs w:val="20"/>
        </w:rPr>
        <w:t xml:space="preserve">Active or untreated CNS metastases (patients with stable, treated CNS metastases ≥4 weeks off steroids are eligible)</w:t>
      </w:r>
    </w:p>
    <w:p>
      <w:pPr>
        <w:pStyle w:val="ListParagraph"/>
        <w:numPr>
          <w:ilvl w:val="0"/>
          <w:numId w:val="3"/>
        </w:numPr>
        <w:spacing w:before="40" w:after="40"/>
      </w:pPr>
      <w:r>
        <w:rPr>
          <w:rFonts w:ascii="Arial" w:cs="Arial" w:eastAsia="Arial" w:hAnsi="Arial"/>
          <w:sz w:val="20"/>
          <w:szCs w:val="20"/>
        </w:rPr>
        <w:t xml:space="preserve">Current use of medications with narrow therapeutic index that are sensitive CYP substrates and which cannot be safely withheld around the probe dosing visits</w:t>
      </w:r>
    </w:p>
    <w:p>
      <w:r>
        <w:br w:type="page"/>
      </w:r>
    </w:p>
    <w:p>
      <w:pPr>
        <w:pStyle w:val="Heading1"/>
        <w:spacing w:before="240" w:after="120"/>
      </w:pPr>
      <w:r>
        <w:rPr>
          <w:rFonts w:ascii="Arial" w:cs="Arial" w:eastAsia="Arial" w:hAnsi="Arial"/>
          <w:b/>
          <w:bCs/>
          <w:color w:val="595959"/>
          <w:sz w:val="22"/>
          <w:szCs w:val="22"/>
        </w:rPr>
        <w:t xml:space="preserve">6. PHARMACOKINETIC SAMPLING AND BIOANALYSIS</w:t>
      </w:r>
    </w:p>
    <w:p>
      <w:pPr>
        <w:pStyle w:val="Heading2"/>
        <w:spacing w:before="240" w:after="120"/>
      </w:pPr>
      <w:r>
        <w:rPr>
          <w:rFonts w:ascii="Arial" w:cs="Arial" w:eastAsia="Arial" w:hAnsi="Arial"/>
          <w:b/>
          <w:bCs/>
          <w:color w:val="595959"/>
          <w:sz w:val="22"/>
          <w:szCs w:val="22"/>
        </w:rPr>
        <w:t xml:space="preserve">6.1 Probe PK Sampling Schedule (Both Periods)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Nominal Time (h post-probe dose)</w:t>
            </w:r>
          </w:p>
        </w:tc>
        <w:tc>
          <w:tcPr>
            <w:tcW w:type="dxa" w:w="3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Sample Type</w:t>
            </w:r>
          </w:p>
        </w:tc>
        <w:tc>
          <w:tcPr>
            <w:tcW w:type="dxa" w:w="3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Analytes Measured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Pre-dose (0)</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Plasma (6 mL K₂EDTA)</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Midazolam, 1-OH midazolam, caffeine, paraxanthine, R-warfarin, S-warfarin; cervimab (Period 2 only)</w:t>
            </w:r>
          </w:p>
        </w:tc>
      </w:tr>
      <w:tr>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0.5</w:t>
            </w:r>
          </w:p>
        </w:tc>
        <w:tc>
          <w:tcPr>
            <w:tcW w:type="dxa" w:w="3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Plasma</w:t>
            </w:r>
          </w:p>
        </w:tc>
        <w:tc>
          <w:tcPr>
            <w:tcW w:type="dxa" w:w="37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All probes + metabolites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Plasma</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All probes + metabolites</w:t>
            </w:r>
          </w:p>
        </w:tc>
      </w:tr>
      <w:tr>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1.5</w:t>
            </w:r>
          </w:p>
        </w:tc>
        <w:tc>
          <w:tcPr>
            <w:tcW w:type="dxa" w:w="3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Plasma</w:t>
            </w:r>
          </w:p>
        </w:tc>
        <w:tc>
          <w:tcPr>
            <w:tcW w:type="dxa" w:w="37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All probes + metabolites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2.0</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Plasma</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All probes + metabolites</w:t>
            </w:r>
          </w:p>
        </w:tc>
      </w:tr>
      <w:tr>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3.0</w:t>
            </w:r>
          </w:p>
        </w:tc>
        <w:tc>
          <w:tcPr>
            <w:tcW w:type="dxa" w:w="3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Plasma</w:t>
            </w:r>
          </w:p>
        </w:tc>
        <w:tc>
          <w:tcPr>
            <w:tcW w:type="dxa" w:w="37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All probes + metabolites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4.0</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Plasma</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All probes + metabolites</w:t>
            </w:r>
          </w:p>
        </w:tc>
      </w:tr>
      <w:tr>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6.0</w:t>
            </w:r>
          </w:p>
        </w:tc>
        <w:tc>
          <w:tcPr>
            <w:tcW w:type="dxa" w:w="3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Plasma</w:t>
            </w:r>
          </w:p>
        </w:tc>
        <w:tc>
          <w:tcPr>
            <w:tcW w:type="dxa" w:w="37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All probes + metabolites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8.0</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Plasma</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All probes + metabolites</w:t>
            </w:r>
          </w:p>
        </w:tc>
      </w:tr>
      <w:tr>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12.0</w:t>
            </w:r>
          </w:p>
        </w:tc>
        <w:tc>
          <w:tcPr>
            <w:tcW w:type="dxa" w:w="3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Plasma</w:t>
            </w:r>
          </w:p>
        </w:tc>
        <w:tc>
          <w:tcPr>
            <w:tcW w:type="dxa" w:w="37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All probes + metabolites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24.0</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Plasma + INR (warfarin periods)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All probes + metabolites; coagulation (PT/INR)</w:t>
            </w:r>
          </w:p>
        </w:tc>
      </w:tr>
      <w:tr>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48.0 (warfarin periods)</w:t>
            </w:r>
          </w:p>
        </w:tc>
        <w:tc>
          <w:tcPr>
            <w:tcW w:type="dxa" w:w="3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Plasma + INR</w:t>
            </w:r>
          </w:p>
        </w:tc>
        <w:tc>
          <w:tcPr>
            <w:tcW w:type="dxa" w:w="37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S-warfarin, R-warfarin; PT/INR</w:t>
            </w:r>
          </w:p>
        </w:tc>
      </w:tr>
    </w:tbl>
    <w:p>
      <w:pPr>
        <w:spacing w:before="60" w:after="60"/>
      </w:pPr>
      <w:r>
        <w:t xml:space="preserve"/>
      </w:r>
    </w:p>
    <w:p>
      <w:pPr>
        <w:spacing w:before="60" w:after="60"/>
        <w:jc w:val="both"/>
      </w:pPr>
      <w:r>
        <w:rPr>
          <w:rFonts w:ascii="Arial" w:cs="Arial" w:eastAsia="Arial" w:hAnsi="Arial"/>
          <w:color w:val="000000"/>
          <w:sz w:val="20"/>
          <w:szCs w:val="20"/>
        </w:rPr>
        <w:t xml:space="preserve">Cervimab serum PK samples (10 mL serum separator tube): Pre-dose Cycle 1, Day 1; Day 22 (Ctrough pre-Cycle 2); Day 43 pre-dose (Ctrough pre-Cycle 3); and post-EOI on Day 43 (Cpeak Cycle 3).</w:t>
      </w:r>
    </w:p>
    <w:p>
      <w:pPr>
        <w:pStyle w:val="Heading2"/>
        <w:spacing w:before="240" w:after="120"/>
      </w:pPr>
      <w:r>
        <w:rPr>
          <w:rFonts w:ascii="Arial" w:cs="Arial" w:eastAsia="Arial" w:hAnsi="Arial"/>
          <w:b/>
          <w:bCs/>
          <w:color w:val="595959"/>
          <w:sz w:val="22"/>
          <w:szCs w:val="22"/>
        </w:rPr>
        <w:t xml:space="preserve">6.2 Bioanalytical Methods</w:t>
      </w:r>
    </w:p>
    <w:p>
      <w:pPr>
        <w:spacing w:before="60" w:after="60"/>
        <w:jc w:val="both"/>
      </w:pPr>
      <w:r>
        <w:rPr>
          <w:rFonts w:ascii="Arial" w:cs="Arial" w:eastAsia="Arial" w:hAnsi="Arial"/>
          <w:color w:val="000000"/>
          <w:sz w:val="20"/>
          <w:szCs w:val="20"/>
        </w:rPr>
        <w:t xml:space="preserve">All probe substrate and metabolite measurements will be performed by a qualified bioanalytical laboratory using validated LC-MS/MS methods. Key method parameters: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Analyte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Matrix</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LLOQ (ng/mL)</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ULOQ (ng/mL)</w:t>
            </w:r>
          </w:p>
        </w:tc>
        <w:tc>
          <w:tcPr>
            <w:tcW w:type="dxa" w:w="2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Midazolam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K₂EDTA plasma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0.10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LC-MS/MS</w:t>
            </w:r>
          </w:p>
        </w:tc>
      </w:tr>
      <w:tr>
        <w:tc>
          <w:tcPr>
            <w:tcW w:type="dxa" w:w="22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1-OH Midazolam</w:t>
            </w:r>
          </w:p>
        </w:tc>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K₂EDTA plasma</w:t>
            </w:r>
          </w:p>
        </w:tc>
        <w:tc>
          <w:tcPr>
            <w:tcW w:type="dxa" w:w="1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0.05</w:t>
            </w:r>
          </w:p>
        </w:tc>
        <w:tc>
          <w:tcPr>
            <w:tcW w:type="dxa" w:w="1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50</w:t>
            </w:r>
          </w:p>
        </w:tc>
        <w:tc>
          <w:tcPr>
            <w:tcW w:type="dxa" w:w="2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LC-MS/MS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Caffeine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K₂EDTA plasma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10,000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LC-MS/MS</w:t>
            </w:r>
          </w:p>
        </w:tc>
      </w:tr>
      <w:tr>
        <w:tc>
          <w:tcPr>
            <w:tcW w:type="dxa" w:w="22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Paraxanthine</w:t>
            </w:r>
          </w:p>
        </w:tc>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K₂EDTA plasma</w:t>
            </w:r>
          </w:p>
        </w:tc>
        <w:tc>
          <w:tcPr>
            <w:tcW w:type="dxa" w:w="1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10.0</w:t>
            </w:r>
          </w:p>
        </w:tc>
        <w:tc>
          <w:tcPr>
            <w:tcW w:type="dxa" w:w="1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10,000</w:t>
            </w:r>
          </w:p>
        </w:tc>
        <w:tc>
          <w:tcPr>
            <w:tcW w:type="dxa" w:w="2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LC-MS/MS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S-Warfarin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K₂EDTA plasma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1,000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Chiral LC-MS/MS</w:t>
            </w:r>
          </w:p>
        </w:tc>
      </w:tr>
      <w:tr>
        <w:tc>
          <w:tcPr>
            <w:tcW w:type="dxa" w:w="22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R-Warfarin</w:t>
            </w:r>
          </w:p>
        </w:tc>
        <w:tc>
          <w:tcPr>
            <w:tcW w:type="dxa" w:w="18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K₂EDTA plasma</w:t>
            </w:r>
          </w:p>
        </w:tc>
        <w:tc>
          <w:tcPr>
            <w:tcW w:type="dxa" w:w="1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1.00</w:t>
            </w:r>
          </w:p>
        </w:tc>
        <w:tc>
          <w:tcPr>
            <w:tcW w:type="dxa" w:w="1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1,000</w:t>
            </w:r>
          </w:p>
        </w:tc>
        <w:tc>
          <w:tcPr>
            <w:tcW w:type="dxa" w:w="2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Chiral LC-MS/MS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Cervimab</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Serum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0.10 μg/mL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100 μg/mL</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ELISA</w:t>
            </w:r>
          </w:p>
        </w:tc>
      </w:tr>
    </w:tbl>
    <w:p>
      <w:r>
        <w:br w:type="page"/>
      </w:r>
    </w:p>
    <w:p>
      <w:pPr>
        <w:pStyle w:val="Heading1"/>
        <w:spacing w:before="240" w:after="120"/>
      </w:pPr>
      <w:r>
        <w:rPr>
          <w:rFonts w:ascii="Arial" w:cs="Arial" w:eastAsia="Arial" w:hAnsi="Arial"/>
          <w:b/>
          <w:bCs/>
          <w:color w:val="595959"/>
          <w:sz w:val="22"/>
          <w:szCs w:val="22"/>
        </w:rPr>
        <w:t xml:space="preserve">7. STATISTICAL ANALYSIS</w:t>
      </w:r>
    </w:p>
    <w:p>
      <w:pPr>
        <w:pStyle w:val="Heading2"/>
        <w:spacing w:before="240" w:after="120"/>
      </w:pPr>
      <w:r>
        <w:rPr>
          <w:rFonts w:ascii="Arial" w:cs="Arial" w:eastAsia="Arial" w:hAnsi="Arial"/>
          <w:b/>
          <w:bCs/>
          <w:color w:val="595959"/>
          <w:sz w:val="22"/>
          <w:szCs w:val="22"/>
        </w:rPr>
        <w:t xml:space="preserve">7.1 PK Analysis</w:t>
      </w:r>
    </w:p>
    <w:p>
      <w:pPr>
        <w:spacing w:before="60" w:after="60"/>
        <w:jc w:val="both"/>
      </w:pPr>
      <w:r>
        <w:rPr>
          <w:rFonts w:ascii="Arial" w:cs="Arial" w:eastAsia="Arial" w:hAnsi="Arial"/>
          <w:color w:val="000000"/>
          <w:sz w:val="20"/>
          <w:szCs w:val="20"/>
        </w:rPr>
        <w:t xml:space="preserve">Individual PK parameters for each probe will be estimated by NCA (Phoenix WinNonlin v8.3+). The DDI analysis will use a mixed-effects ANOVA model on natural log-transformed primary PK parameters (Cmax, AUC0-24, AUC0-∞) with fixed effects for period and treatment (with/without cervimab), and a random effect for subject.</w:t>
      </w:r>
    </w:p>
    <w:p>
      <w:pPr>
        <w:spacing w:before="60" w:after="60"/>
        <w:jc w:val="both"/>
      </w:pPr>
      <w:r>
        <w:rPr>
          <w:rFonts w:ascii="Arial" w:cs="Arial" w:eastAsia="Arial" w:hAnsi="Arial"/>
          <w:color w:val="000000"/>
          <w:sz w:val="20"/>
          <w:szCs w:val="20"/>
        </w:rPr>
        <w:t xml:space="preserve">The point estimate (PE) and 90% CI of the geometric mean ratio (GMR: cervimab + probe / probe alone) will be computed and expressed as percentages. Per ICH M12 (2023) and FDA guidance for oncology DDI studies conducted in patient populations where a broader CI is accepted:</w:t>
      </w:r>
    </w:p>
    <w:p>
      <w:pPr>
        <w:pStyle w:val="ListParagraph"/>
        <w:numPr>
          <w:ilvl w:val="0"/>
          <w:numId w:val="2"/>
        </w:numPr>
        <w:spacing w:before="40" w:after="40"/>
      </w:pPr>
      <w:r>
        <w:rPr>
          <w:rFonts w:ascii="Arial" w:cs="Arial" w:eastAsia="Arial" w:hAnsi="Arial"/>
          <w:sz w:val="20"/>
          <w:szCs w:val="20"/>
        </w:rPr>
        <w:t xml:space="preserve">No clinically significant DDI: 90% CI of GMR within 70.00%–143.00% for all three probes on all primary parameters</w:t>
      </w:r>
    </w:p>
    <w:p>
      <w:pPr>
        <w:pStyle w:val="ListParagraph"/>
        <w:numPr>
          <w:ilvl w:val="0"/>
          <w:numId w:val="2"/>
        </w:numPr>
        <w:spacing w:before="40" w:after="40"/>
      </w:pPr>
      <w:r>
        <w:rPr>
          <w:rFonts w:ascii="Arial" w:cs="Arial" w:eastAsia="Arial" w:hAnsi="Arial"/>
          <w:sz w:val="20"/>
          <w:szCs w:val="20"/>
        </w:rPr>
        <w:t xml:space="preserve">If the 90% CI is outside this range, dose adjustment recommendations will be developed for co-medications that are sensitive CYP substrates</w:t>
      </w:r>
    </w:p>
    <w:p>
      <w:pPr>
        <w:pStyle w:val="Heading2"/>
        <w:spacing w:before="240" w:after="120"/>
      </w:pPr>
      <w:r>
        <w:rPr>
          <w:rFonts w:ascii="Arial" w:cs="Arial" w:eastAsia="Arial" w:hAnsi="Arial"/>
          <w:b/>
          <w:bCs/>
          <w:color w:val="595959"/>
          <w:sz w:val="22"/>
          <w:szCs w:val="22"/>
        </w:rPr>
        <w:t xml:space="preserve">7.2 Metabolic Ratio Analysis</w:t>
      </w:r>
    </w:p>
    <w:p>
      <w:pPr>
        <w:spacing w:before="60" w:after="60"/>
        <w:jc w:val="both"/>
      </w:pPr>
      <w:r>
        <w:rPr>
          <w:rFonts w:ascii="Arial" w:cs="Arial" w:eastAsia="Arial" w:hAnsi="Arial"/>
          <w:color w:val="000000"/>
          <w:sz w:val="20"/>
          <w:szCs w:val="20"/>
        </w:rPr>
        <w:t xml:space="preserve">In addition to parent drug PK, the following metabolic ratios will be reported as supportive analyses of CYP phenotypic changes:</w:t>
      </w:r>
    </w:p>
    <w:p>
      <w:pPr>
        <w:pStyle w:val="ListParagraph"/>
        <w:numPr>
          <w:ilvl w:val="0"/>
          <w:numId w:val="2"/>
        </w:numPr>
        <w:spacing w:before="40" w:after="40"/>
      </w:pPr>
      <w:r>
        <w:rPr>
          <w:rFonts w:ascii="Arial" w:cs="Arial" w:eastAsia="Arial" w:hAnsi="Arial"/>
          <w:sz w:val="20"/>
          <w:szCs w:val="20"/>
        </w:rPr>
        <w:t xml:space="preserve">CYP3A4 activity ratio: AUC1-OH midazolam / AUCmidazolam (Period 1 vs. Period 2)</w:t>
      </w:r>
    </w:p>
    <w:p>
      <w:pPr>
        <w:pStyle w:val="ListParagraph"/>
        <w:numPr>
          <w:ilvl w:val="0"/>
          <w:numId w:val="2"/>
        </w:numPr>
        <w:spacing w:before="40" w:after="40"/>
      </w:pPr>
      <w:r>
        <w:rPr>
          <w:rFonts w:ascii="Arial" w:cs="Arial" w:eastAsia="Arial" w:hAnsi="Arial"/>
          <w:sz w:val="20"/>
          <w:szCs w:val="20"/>
        </w:rPr>
        <w:t xml:space="preserve">CYP1A2 activity ratio: AUCparaxanthine / AUCcaffeine (Period 1 vs. Period 2)</w:t>
      </w:r>
    </w:p>
    <w:p>
      <w:pPr>
        <w:pStyle w:val="ListParagraph"/>
        <w:numPr>
          <w:ilvl w:val="0"/>
          <w:numId w:val="2"/>
        </w:numPr>
        <w:spacing w:before="40" w:after="40"/>
      </w:pPr>
      <w:r>
        <w:rPr>
          <w:rFonts w:ascii="Arial" w:cs="Arial" w:eastAsia="Arial" w:hAnsi="Arial"/>
          <w:sz w:val="20"/>
          <w:szCs w:val="20"/>
        </w:rPr>
        <w:t xml:space="preserve">CYP2C9 activity ratio: AUCS-warfarin (Period 2) vs. AUCS-warfarin (Period 1)</w:t>
      </w:r>
    </w:p>
    <w:p>
      <w:pPr>
        <w:pStyle w:val="Heading2"/>
        <w:spacing w:before="240" w:after="120"/>
      </w:pPr>
      <w:r>
        <w:rPr>
          <w:rFonts w:ascii="Arial" w:cs="Arial" w:eastAsia="Arial" w:hAnsi="Arial"/>
          <w:b/>
          <w:bCs/>
          <w:color w:val="595959"/>
          <w:sz w:val="22"/>
          <w:szCs w:val="22"/>
        </w:rPr>
        <w:t xml:space="preserve">7.3 Sample Size</w:t>
      </w:r>
    </w:p>
    <w:p>
      <w:pPr>
        <w:spacing w:before="60" w:after="60"/>
        <w:jc w:val="both"/>
      </w:pPr>
      <w:r>
        <w:rPr>
          <w:rFonts w:ascii="Arial" w:cs="Arial" w:eastAsia="Arial" w:hAnsi="Arial"/>
          <w:color w:val="000000"/>
          <w:sz w:val="20"/>
          <w:szCs w:val="20"/>
        </w:rPr>
        <w:t xml:space="preserve">With 20 evaluable subjects and assuming intra-subject CV of 30% for probe PK, the study has ~80% power to conclude no DDI (90% CI within 70–143%) if the true GMR is 1.0. An enrollment target of 24 subjects accounts for up to 20% dropout/non-evaluable rate.</w:t>
      </w:r>
    </w:p>
    <w:p>
      <w:r>
        <w:br w:type="page"/>
      </w:r>
    </w:p>
    <w:p>
      <w:pPr>
        <w:pStyle w:val="Heading1"/>
        <w:spacing w:before="240" w:after="120"/>
      </w:pPr>
      <w:r>
        <w:rPr>
          <w:rFonts w:ascii="Arial" w:cs="Arial" w:eastAsia="Arial" w:hAnsi="Arial"/>
          <w:b/>
          <w:bCs/>
          <w:color w:val="595959"/>
          <w:sz w:val="22"/>
          <w:szCs w:val="22"/>
        </w:rPr>
        <w:t xml:space="preserve">8. SAFETY</w:t>
      </w:r>
    </w:p>
    <w:p>
      <w:pPr>
        <w:spacing w:before="60" w:after="60"/>
        <w:jc w:val="both"/>
      </w:pPr>
      <w:r>
        <w:rPr>
          <w:rFonts w:ascii="Arial" w:cs="Arial" w:eastAsia="Arial" w:hAnsi="Arial"/>
          <w:color w:val="000000"/>
          <w:sz w:val="20"/>
          <w:szCs w:val="20"/>
        </w:rPr>
        <w:t xml:space="preserve">Safety will be monitored throughout the study. Of particular concern are:</w:t>
      </w:r>
    </w:p>
    <w:p>
      <w:pPr>
        <w:pStyle w:val="ListParagraph"/>
        <w:numPr>
          <w:ilvl w:val="0"/>
          <w:numId w:val="2"/>
        </w:numPr>
        <w:spacing w:before="40" w:after="40"/>
      </w:pPr>
      <w:r>
        <w:rPr>
          <w:rFonts w:ascii="Arial" w:cs="Arial" w:eastAsia="Arial" w:hAnsi="Arial"/>
          <w:sz w:val="20"/>
          <w:szCs w:val="20"/>
        </w:rPr>
        <w:t xml:space="preserve">Warfarin-associated bleeding: INR will be monitored at 24 and 48 h post-warfarin dose. If INR &gt;3.0 at any time point, Vitamin K1 5 mg PO will be administered as a corrective dose. Patients with INR &gt;4.0 will receive IV Vitamin K1 and be evaluated for clinical bleeding.</w:t>
      </w:r>
    </w:p>
    <w:p>
      <w:pPr>
        <w:pStyle w:val="ListParagraph"/>
        <w:numPr>
          <w:ilvl w:val="0"/>
          <w:numId w:val="2"/>
        </w:numPr>
        <w:spacing w:before="40" w:after="40"/>
      </w:pPr>
      <w:r>
        <w:rPr>
          <w:rFonts w:ascii="Arial" w:cs="Arial" w:eastAsia="Arial" w:hAnsi="Arial"/>
          <w:sz w:val="20"/>
          <w:szCs w:val="20"/>
        </w:rPr>
        <w:t xml:space="preserve">Midazolam sedation: All subjects receiving midazolam will be monitored for sedation (Ramsay Sedation Scale) for ≥4 hours post-dose. Flumazenil (0.2 mg IV) must be available for reversal of excessive benzodiazepine effect.</w:t>
      </w:r>
    </w:p>
    <w:p>
      <w:pPr>
        <w:pStyle w:val="ListParagraph"/>
        <w:numPr>
          <w:ilvl w:val="0"/>
          <w:numId w:val="2"/>
        </w:numPr>
        <w:spacing w:before="40" w:after="40"/>
      </w:pPr>
      <w:r>
        <w:rPr>
          <w:rFonts w:ascii="Arial" w:cs="Arial" w:eastAsia="Arial" w:hAnsi="Arial"/>
          <w:sz w:val="20"/>
          <w:szCs w:val="20"/>
        </w:rPr>
        <w:t xml:space="preserve">Cervimab immune-related AEs: All AEs will be graded per NCI-CTCAE v5.0; immune-mediated AEs managed per standard ICI toxicity guidelines.</w:t>
      </w:r>
    </w:p>
    <w:p>
      <w:r>
        <w:br w:type="page"/>
      </w:r>
    </w:p>
    <w:p>
      <w:pPr>
        <w:pStyle w:val="Heading1"/>
        <w:spacing w:before="240" w:after="120"/>
      </w:pPr>
      <w:r>
        <w:rPr>
          <w:rFonts w:ascii="Arial" w:cs="Arial" w:eastAsia="Arial" w:hAnsi="Arial"/>
          <w:b/>
          <w:bCs/>
          <w:color w:val="595959"/>
          <w:sz w:val="22"/>
          <w:szCs w:val="22"/>
        </w:rPr>
        <w:t xml:space="preserve">9. REGULATORY AND ETHICAL CONSIDERATIONS</w:t>
      </w:r>
    </w:p>
    <w:p>
      <w:pPr>
        <w:spacing w:before="60" w:after="60"/>
        <w:jc w:val="both"/>
      </w:pPr>
      <w:r>
        <w:rPr>
          <w:rFonts w:ascii="Arial" w:cs="Arial" w:eastAsia="Arial" w:hAnsi="Arial"/>
          <w:color w:val="000000"/>
          <w:sz w:val="20"/>
          <w:szCs w:val="20"/>
        </w:rPr>
        <w:t xml:space="preserve">The study will be conducted in accordance with ICH E6(R2) Good Clinical Practice, 21 CFR Parts 50, 54, 56, and 312, the Declaration of Helsinki (2013), and all applicable local regulations. IRB/IEC approval must be obtained prior to enrollment. The study design, probe selection, and statistical analysis plan are aligned with FDA (2020) and ICH M12 (2023) DDI guidance documents.</w:t>
      </w:r>
    </w:p>
    <w:p>
      <w:r>
        <w:br w:type="page"/>
      </w:r>
    </w:p>
    <w:p>
      <w:pPr>
        <w:pStyle w:val="Heading1"/>
        <w:spacing w:before="240" w:after="120"/>
      </w:pPr>
      <w:r>
        <w:rPr>
          <w:rFonts w:ascii="Arial" w:cs="Arial" w:eastAsia="Arial" w:hAnsi="Arial"/>
          <w:b/>
          <w:bCs/>
          <w:color w:val="595959"/>
          <w:sz w:val="22"/>
          <w:szCs w:val="22"/>
        </w:rPr>
        <w:t xml:space="preserve">10. REFERENCES</w:t>
      </w:r>
    </w:p>
    <w:p>
      <w:pPr>
        <w:pStyle w:val="ListParagraph"/>
        <w:numPr>
          <w:ilvl w:val="0"/>
          <w:numId w:val="3"/>
        </w:numPr>
        <w:spacing w:before="40" w:after="40"/>
      </w:pPr>
      <w:r>
        <w:rPr>
          <w:rFonts w:ascii="Arial" w:cs="Arial" w:eastAsia="Arial" w:hAnsi="Arial"/>
          <w:sz w:val="20"/>
          <w:szCs w:val="20"/>
        </w:rPr>
        <w:t xml:space="preserve">U.S. Food and Drug Administration. Guidance for Industry: In Vitro Drug Interaction Studies — Cytochrome P450 Enzyme- and Transporter-Mediated Drug Interactions. January 2020.</w:t>
      </w:r>
    </w:p>
    <w:p>
      <w:pPr>
        <w:pStyle w:val="ListParagraph"/>
        <w:numPr>
          <w:ilvl w:val="0"/>
          <w:numId w:val="3"/>
        </w:numPr>
        <w:spacing w:before="40" w:after="40"/>
      </w:pPr>
      <w:r>
        <w:rPr>
          <w:rFonts w:ascii="Arial" w:cs="Arial" w:eastAsia="Arial" w:hAnsi="Arial"/>
          <w:sz w:val="20"/>
          <w:szCs w:val="20"/>
        </w:rPr>
        <w:t xml:space="preserve">ICH M12. Drug Interaction Studies — Guidance for Industry. ICH, 2023.</w:t>
      </w:r>
    </w:p>
    <w:p>
      <w:pPr>
        <w:pStyle w:val="ListParagraph"/>
        <w:numPr>
          <w:ilvl w:val="0"/>
          <w:numId w:val="3"/>
        </w:numPr>
        <w:spacing w:before="40" w:after="40"/>
      </w:pPr>
      <w:r>
        <w:rPr>
          <w:rFonts w:ascii="Arial" w:cs="Arial" w:eastAsia="Arial" w:hAnsi="Arial"/>
          <w:sz w:val="20"/>
          <w:szCs w:val="20"/>
        </w:rPr>
        <w:t xml:space="preserve">Schmitt C, Kuhn B, Zhang X, et al. Disease-drug-drug interaction involving tocilizumab and simvastatin in patients with rheumatoid arthritis. Clin Pharmacol Ther. 2011;89(5):735–740.</w:t>
      </w:r>
    </w:p>
    <w:p>
      <w:pPr>
        <w:pStyle w:val="ListParagraph"/>
        <w:numPr>
          <w:ilvl w:val="0"/>
          <w:numId w:val="3"/>
        </w:numPr>
        <w:spacing w:before="40" w:after="40"/>
      </w:pPr>
      <w:r>
        <w:rPr>
          <w:rFonts w:ascii="Arial" w:cs="Arial" w:eastAsia="Arial" w:hAnsi="Arial"/>
          <w:sz w:val="20"/>
          <w:szCs w:val="20"/>
        </w:rPr>
        <w:t xml:space="preserve">Evers R, Dallas S, Dickmann LJ, et al. Critical review of preclinical approaches to investigate cytochrome P450-mediated therapeutic protein drug-drug interactions and recommendations for best practices. Drug Metab Dispos. 2013;41(9):1598–1609.</w:t>
      </w:r>
    </w:p>
    <w:p>
      <w:pPr>
        <w:pStyle w:val="ListParagraph"/>
        <w:numPr>
          <w:ilvl w:val="0"/>
          <w:numId w:val="3"/>
        </w:numPr>
        <w:spacing w:before="40" w:after="40"/>
      </w:pPr>
      <w:r>
        <w:rPr>
          <w:rFonts w:ascii="Arial" w:cs="Arial" w:eastAsia="Arial" w:hAnsi="Arial"/>
          <w:sz w:val="20"/>
          <w:szCs w:val="20"/>
        </w:rPr>
        <w:t xml:space="preserve">Kamath AV. Translational pharmacokinetics and pharmacodynamics of monoclonal antibodies. Drug Discov Today Technol. 2016;21-22:75–83.</w:t>
      </w:r>
    </w:p>
    <w:p>
      <w:pPr>
        <w:pStyle w:val="ListParagraph"/>
        <w:numPr>
          <w:ilvl w:val="0"/>
          <w:numId w:val="3"/>
        </w:numPr>
        <w:spacing w:before="40" w:after="40"/>
      </w:pPr>
      <w:r>
        <w:rPr>
          <w:rFonts w:ascii="Arial" w:cs="Arial" w:eastAsia="Arial" w:hAnsi="Arial"/>
          <w:sz w:val="20"/>
          <w:szCs w:val="20"/>
        </w:rPr>
        <w:t xml:space="preserve">ICH E6(R2). Integrated Addendum to ICH E6(R1): Guideline for Good Clinical Practice. November 2016.</w:t>
      </w:r>
    </w:p>
    <w:p>
      <w:pPr>
        <w:pStyle w:val="ListParagraph"/>
        <w:numPr>
          <w:ilvl w:val="0"/>
          <w:numId w:val="3"/>
        </w:numPr>
        <w:spacing w:before="40" w:after="40"/>
      </w:pPr>
      <w:r>
        <w:rPr>
          <w:rFonts w:ascii="Arial" w:cs="Arial" w:eastAsia="Arial" w:hAnsi="Arial"/>
          <w:sz w:val="20"/>
          <w:szCs w:val="20"/>
        </w:rPr>
        <w:t xml:space="preserve">U.S. Food and Drug Administration. Guidance for Industry: Bioanalytical Method Validation. May 2018.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6"/>
      </w:pBdr>
      <w:tabs>
        <w:tab w:val="right" w:pos="9360"/>
      </w:tabs>
      <w:spacing w:before="120" w:after="0"/>
    </w:pPr>
    <w:r>
      <w:rPr>
        <w:rFonts w:ascii="Arial" w:cs="Arial" w:eastAsia="Arial" w:hAnsi="Arial"/>
        <w:color w:val="595959"/>
        <w:sz w:val="16"/>
        <w:szCs w:val="16"/>
      </w:rPr>
      <w:t xml:space="preserve">Protocol: CRV-DDI-002  |  Version 1.0  |  February 2025  |  </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6"/>
      </w:pBdr>
      <w:spacing w:before="0" w:after="120"/>
    </w:pPr>
    <w:r>
      <w:rPr>
        <w:rFonts w:ascii="Arial" w:cs="Arial" w:eastAsia="Arial" w:hAnsi="Arial"/>
        <w:b/>
        <w:bCs/>
        <w:color w:val="595959"/>
        <w:sz w:val="16"/>
        <w:szCs w:val="16"/>
      </w:rPr>
      <w:t xml:space="preserve">CONFIDENTIAL  |  CERVIMAB (CRV-DDI-002)  |  DDI STUDY PROTOCOL v1.0  |  </w:t>
    </w:r>
    <w:r>
      <w:rPr>
        <w:rFonts w:ascii="Arial" w:cs="Arial" w:eastAsia="Arial" w:hAnsi="Arial"/>
        <w:i/>
        <w:iCs/>
        <w:color w:val="595959"/>
        <w:sz w:val="16"/>
        <w:szCs w:val="16"/>
      </w:rPr>
      <w:t xml:space="preserve">Vanguard Oncology Therapeutics,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FA3"/>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A56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2026-03-16T13:33:27.077Z</dcterms:created>
  <dcterms:modified xsi:type="dcterms:W3CDTF">2026-03-16T13:33:27.078Z</dcterms:modified>
</cp:coreProperties>
</file>

<file path=docProps/custom.xml><?xml version="1.0" encoding="utf-8"?>
<Properties xmlns="http://schemas.openxmlformats.org/officeDocument/2006/custom-properties" xmlns:vt="http://schemas.openxmlformats.org/officeDocument/2006/docPropsVTypes"/>
</file>