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120" w:after="120"/>
        <w:jc w:val="center"/>
      </w:pPr>
      <w:r>
        <w:rPr>
          <w:rFonts w:ascii="Arial" w:cs="Arial" w:eastAsia="Arial" w:hAnsi="Arial"/>
          <w:b/>
          <w:bCs/>
          <w:color w:val="1F3864"/>
          <w:sz w:val="28"/>
          <w:szCs w:val="28"/>
        </w:rPr>
        <w:t xml:space="preserve">INVESTIGATIONAL NEW DRUG APPLICATION</w:t>
      </w:r>
    </w:p>
    <w:p>
      <w:pPr>
        <w:spacing w:before="60" w:after="60"/>
        <w:jc w:val="center"/>
      </w:pPr>
      <w:r>
        <w:rPr>
          <w:rFonts w:ascii="Arial" w:cs="Arial" w:eastAsia="Arial" w:hAnsi="Arial"/>
          <w:b/>
          <w:bCs/>
          <w:color w:val="2E5FA3"/>
          <w:sz w:val="24"/>
          <w:szCs w:val="24"/>
        </w:rPr>
        <w:t xml:space="preserve">CERVIMAB (anti-PD-1 monoclonal antibody)</w:t>
      </w:r>
    </w:p>
    <w:p>
      <w:pPr>
        <w:spacing w:before="60" w:after="60"/>
      </w:pPr>
      <w:r>
        <w:t xml:space="preserve"/>
      </w:r>
    </w:p>
    <w:p>
      <w:pPr>
        <w:pBdr>
          <w:bottom w:val="single" w:color="2E5FA3" w:sz="4" w:space="6"/>
        </w:pBdr>
        <w:spacing w:before="60" w:after="180"/>
        <w:jc w:val="center"/>
      </w:pPr>
      <w:r>
        <w:rPr>
          <w:rFonts w:ascii="Arial" w:cs="Arial" w:eastAsia="Arial" w:hAnsi="Arial"/>
          <w:sz w:val="20"/>
          <w:szCs w:val="20"/>
        </w:rPr>
        <w:t xml:space="preserve"/>
      </w:r>
    </w:p>
    <w:p>
      <w:pPr>
        <w:spacing w:before="120" w:after="60"/>
        <w:jc w:val="center"/>
      </w:pPr>
      <w:r>
        <w:rPr>
          <w:rFonts w:ascii="Arial" w:cs="Arial" w:eastAsia="Arial" w:hAnsi="Arial"/>
          <w:b/>
          <w:bCs/>
          <w:color w:val="1F3864"/>
          <w:sz w:val="32"/>
          <w:szCs w:val="32"/>
        </w:rPr>
        <w:t xml:space="preserve">CLINICAL STUDY PROTOCOL</w:t>
      </w:r>
    </w:p>
    <w:p>
      <w:pPr>
        <w:spacing w:before="60" w:after="60"/>
        <w:jc w:val="center"/>
      </w:pPr>
      <w:r>
        <w:rPr>
          <w:rFonts w:ascii="Arial" w:cs="Arial" w:eastAsia="Arial" w:hAnsi="Arial"/>
          <w:b/>
          <w:bCs/>
          <w:color w:val="595959"/>
          <w:sz w:val="22"/>
          <w:szCs w:val="22"/>
        </w:rPr>
        <w:t xml:space="preserve">Protocol Number: CRV-PK-001</w:t>
      </w:r>
    </w:p>
    <w:p>
      <w:pPr>
        <w:spacing w:before="60" w:after="60"/>
      </w:pPr>
      <w:r>
        <w:t xml:space="preserve"/>
      </w:r>
    </w:p>
    <w:p>
      <w:pPr>
        <w:spacing w:before="60" w:after="120"/>
        <w:jc w:val="center"/>
      </w:pPr>
      <w:r>
        <w:rPr>
          <w:rFonts w:ascii="Arial" w:cs="Arial" w:eastAsia="Arial" w:hAnsi="Arial"/>
          <w:b/>
          <w:bCs/>
          <w:color w:val="2E5FA3"/>
          <w:sz w:val="22"/>
          <w:szCs w:val="22"/>
        </w:rPr>
        <w:t xml:space="preserve">A Phase 1, Open-Label, Randomized, Two-Period, Two-Sequence Crossover Study</w:t>
      </w:r>
    </w:p>
    <w:p>
      <w:pPr>
        <w:spacing w:before="60" w:after="60"/>
        <w:jc w:val="center"/>
      </w:pPr>
      <w:r>
        <w:rPr>
          <w:rFonts w:ascii="Arial" w:cs="Arial" w:eastAsia="Arial" w:hAnsi="Arial"/>
          <w:color w:val="2E5FA3"/>
          <w:sz w:val="22"/>
          <w:szCs w:val="22"/>
        </w:rPr>
        <w:t xml:space="preserve">to Evaluate the Effect of a High-Fat, High-Calorie Meal on the Pharmacokinetics</w:t>
      </w:r>
    </w:p>
    <w:p>
      <w:pPr>
        <w:spacing w:before="60" w:after="60"/>
        <w:jc w:val="center"/>
      </w:pPr>
      <w:r>
        <w:rPr>
          <w:rFonts w:ascii="Arial" w:cs="Arial" w:eastAsia="Arial" w:hAnsi="Arial"/>
          <w:color w:val="2E5FA3"/>
          <w:sz w:val="22"/>
          <w:szCs w:val="22"/>
        </w:rPr>
        <w:t xml:space="preserve">of a Single Intravenous Dose of Cervimab in Healthy Adult Subjects</w:t>
      </w:r>
    </w:p>
    <w:p>
      <w:pPr>
        <w:spacing w:before="60" w:after="60"/>
      </w:pPr>
      <w:r>
        <w:t xml:space="preserve"/>
      </w:r>
    </w:p>
    <w:p>
      <w:pPr>
        <w:spacing w:before="60" w:after="60"/>
        <w:jc w:val="center"/>
      </w:pPr>
      <w:r>
        <w:rPr>
          <w:rFonts w:ascii="Arial" w:cs="Arial" w:eastAsia="Arial" w:hAnsi="Arial"/>
          <w:color w:val="595959"/>
          <w:sz w:val="20"/>
          <w:szCs w:val="20"/>
        </w:rPr>
        <w:t xml:space="preserve">IND Number: [XXXXX]</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Information</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Sponsor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Vanguard Oncology Therapeutics, Inc.</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Protocol Version</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Protocol Date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January 15, 2025</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EudraCT Number</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2025-000XXX-XX</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 1 (PK Sub-study)</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Study Design</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Open-Label, 2-Period Crossover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Target Population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Healthy Adult Subjects (N=24)</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Regulatory Reference</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21 CFR 312; FDA Guidance (2019)</w:t>
            </w:r>
          </w:p>
        </w:tc>
      </w:tr>
    </w:tbl>
    <w:p>
      <w:pPr>
        <w:spacing w:before="60" w:after="60"/>
      </w:pPr>
      <w:r>
        <w:t xml:space="preserve"/>
      </w:r>
    </w:p>
    <w:p>
      <w:pPr>
        <w:spacing w:before="120" w:after="60"/>
        <w:jc w:val="center"/>
      </w:pPr>
      <w:r>
        <w:rPr>
          <w:rFonts w:ascii="Arial" w:cs="Arial" w:eastAsia="Arial" w:hAnsi="Arial"/>
          <w:b/>
          <w:bCs/>
          <w:color w:val="CC0000"/>
          <w:sz w:val="20"/>
          <w:szCs w:val="20"/>
        </w:rPr>
        <w:t xml:space="preserve">CONFIDENTIAL</w:t>
      </w:r>
    </w:p>
    <w:p>
      <w:pPr>
        <w:spacing w:before="60" w:after="60"/>
        <w:jc w:val="center"/>
      </w:pPr>
      <w:r>
        <w:rPr>
          <w:rFonts w:ascii="Arial" w:cs="Arial" w:eastAsia="Arial" w:hAnsi="Arial"/>
          <w:i/>
          <w:iCs/>
          <w:color w:val="595959"/>
          <w:sz w:val="18"/>
          <w:szCs w:val="18"/>
        </w:rPr>
        <w:t xml:space="preserve">This document contains confidential information belonging to Vanguard Oncology Therapeutics, Inc.</w:t>
      </w:r>
    </w:p>
    <w:p>
      <w:pPr>
        <w:spacing w:before="60" w:after="60"/>
        <w:jc w:val="center"/>
      </w:pPr>
      <w:r>
        <w:rPr>
          <w:rFonts w:ascii="Arial" w:cs="Arial" w:eastAsia="Arial" w:hAnsi="Arial"/>
          <w:i/>
          <w:iCs/>
          <w:color w:val="595959"/>
          <w:sz w:val="18"/>
          <w:szCs w:val="18"/>
        </w:rPr>
        <w:t xml:space="preserve">It may not be used, disclosed, or reproduced without the prior written consent of the Sponsor.</w:t>
      </w:r>
    </w:p>
    <w:p>
      <w:r>
        <w:br w:type="page"/>
      </w:r>
    </w:p>
    <w:p>
      <w:pPr>
        <w:pStyle w:val="Heading1"/>
        <w:spacing w:before="240" w:after="120"/>
      </w:pPr>
      <w:r>
        <w:rPr>
          <w:rFonts w:ascii="Arial" w:cs="Arial" w:eastAsia="Arial" w:hAnsi="Arial"/>
          <w:b/>
          <w:bCs/>
          <w:color w:val="2E5FA3"/>
          <w:sz w:val="22"/>
          <w:szCs w:val="22"/>
        </w:rPr>
        <w:t xml:space="preserve">PROTOCOL SYNOPSIS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Study Title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 Phase 1, Open-Label, Randomized, Two-Period, Two-Sequence Crossover Study to Evaluate the Effect of a High-Fat, High-Calorie Meal on the Pharmacokinetics of a Single Intravenous Dose of Cervimab in Healthy Adult Subjects</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Protocol Number</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CRV-PK-001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Sponsor</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Vanguard Oncology Therapeutics, Inc.</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Phase</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Phase 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Study Design</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Open-label, randomized, two-period, two-sequence crossover</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Objectives</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Primary: To evaluate the effect of a high-fat, high-calorie meal on Cmax and AUC of cervimab. Secondary: To assess safety and tolerability of a single IV dose of cervimab under fed and fasted conditions.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Study Population</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Healthy adult males and females, 18–55 years, BMI 18–30 kg/m²</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Sample Size</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24 subjects (2 sequences of 12 subjects each)</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Investigational Product</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Cervimab 400 mg IV infusion over 60 minutes (single dose)</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Treatment Sequences</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Sequence AB: Fasted → Fed; Sequence BA: Fed → Fasted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Washout Period</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≥21 days (approximately 5 × t½ of cervimab)</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Study Meal</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FDA-recommended high-fat, high-calorie meal (~800–1000 kcal; 50% fat); administered 30 min before infusion start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PK Sampling</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Pre-dose; 0.5, 1 (EOI), 2, 4, 8, 24, 48, 72, 96, 168, 336, 504 h post-dose</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Primary PK Parameters</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Cmax, AUC0-t, AUC0-∞, t½, CL, Vss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Statistical Analysis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90% CI for Fed/Fasted geometric mean ratios of Cmax and AUC; bioequivalence criterion (80–125%) applied for reference</w:t>
            </w:r>
          </w:p>
        </w:tc>
      </w:tr>
      <w:tr>
        <w:tc>
          <w:tcPr>
            <w:tcW w:type="dxa" w:w="25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Regulatory Basis</w:t>
            </w:r>
          </w:p>
        </w:tc>
        <w:tc>
          <w:tcPr>
            <w:tcW w:type="dxa" w:w="68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FDA Guidance: Food-Effect Bioavailability and Fed Bioequivalence Studies (2002); FDA Draft Guidance on Monoclonal Antibody PK (2022)</w:t>
            </w:r>
          </w:p>
        </w:tc>
      </w:tr>
    </w:tbl>
    <w:p>
      <w:r>
        <w:br w:type="page"/>
      </w:r>
    </w:p>
    <w:p>
      <w:pPr>
        <w:pStyle w:val="Heading1"/>
        <w:spacing w:before="240" w:after="120"/>
      </w:pPr>
      <w:r>
        <w:rPr>
          <w:rFonts w:ascii="Arial" w:cs="Arial" w:eastAsia="Arial" w:hAnsi="Arial"/>
          <w:b/>
          <w:bCs/>
          <w:color w:val="2E5FA3"/>
          <w:sz w:val="22"/>
          <w:szCs w:val="22"/>
        </w:rPr>
        <w:t xml:space="preserve">1. INTRODUCTION AND RATIONALE</w:t>
      </w:r>
    </w:p>
    <w:p>
      <w:pPr>
        <w:pStyle w:val="Heading2"/>
        <w:spacing w:before="240" w:after="120"/>
      </w:pPr>
      <w:r>
        <w:rPr>
          <w:rFonts w:ascii="Arial" w:cs="Arial" w:eastAsia="Arial" w:hAnsi="Arial"/>
          <w:b/>
          <w:bCs/>
          <w:color w:val="2E5FA3"/>
          <w:sz w:val="22"/>
          <w:szCs w:val="22"/>
        </w:rPr>
        <w:t xml:space="preserve">1.1 Background</w:t>
      </w:r>
    </w:p>
    <w:p>
      <w:pPr>
        <w:spacing w:before="60" w:after="60"/>
        <w:jc w:val="both"/>
      </w:pPr>
      <w:r>
        <w:rPr>
          <w:rFonts w:ascii="Arial" w:cs="Arial" w:eastAsia="Arial" w:hAnsi="Arial"/>
          <w:color w:val="000000"/>
          <w:sz w:val="20"/>
          <w:szCs w:val="20"/>
        </w:rPr>
        <w:t xml:space="preserve">Cervimab is a fully human immunoglobulin G4 (IgG4) monoclonal antibody targeting Programmed Cell Death Protein 1 (PD-1). It is being developed by Vanguard Oncology Therapeutics, Inc. for the treatment of adult patients with deficient mismatch repair (dMMR) or microsatellite instability-high (MSI-H) metastatic colorectal cancer (mCRC). Cervimab exerts its antitumor effect by blocking the interaction between PD-1 and its ligands PD-L1 and PD-L2, thereby restoring T-cell mediated antitumor immunity.</w:t>
      </w:r>
    </w:p>
    <w:p>
      <w:pPr>
        <w:spacing w:before="60" w:after="60"/>
        <w:jc w:val="both"/>
      </w:pPr>
      <w:r>
        <w:rPr>
          <w:rFonts w:ascii="Arial" w:cs="Arial" w:eastAsia="Arial" w:hAnsi="Arial"/>
          <w:color w:val="000000"/>
          <w:sz w:val="20"/>
          <w:szCs w:val="20"/>
        </w:rPr>
        <w:t xml:space="preserve">Cervimab is administered as an intravenous (IV) infusion. As a large-molecule biologic, cervimab is not expected to undergo classical gastrointestinal absorption following oral administration. However, the potential influence of fed state on the pharmacokinetics (PK) of IV-administered monoclonal antibodies via Fc-receptor mediated processes, including neonatal Fc receptor (FcRn) recycling, has been an emerging area of regulatory interest. In addition, food intake can alter gastric pH, gastrointestinal motility, splanchnic blood flow, and systemic inflammatory mediators, which may indirectly influence biologic distribution and clearance.</w:t>
      </w:r>
    </w:p>
    <w:p>
      <w:pPr>
        <w:spacing w:before="60" w:after="60"/>
        <w:jc w:val="both"/>
      </w:pPr>
      <w:r>
        <w:rPr>
          <w:rFonts w:ascii="Arial" w:cs="Arial" w:eastAsia="Arial" w:hAnsi="Arial"/>
          <w:color w:val="000000"/>
          <w:sz w:val="20"/>
          <w:szCs w:val="20"/>
        </w:rPr>
        <w:t xml:space="preserve">The U.S. Food and Drug Administration (FDA) Guidance for Industry on Food-Effect Bioavailability and Fed Bioequivalence Studies (January 2002) recommends that all new molecular entities (NMEs) requiring oral dosing under both fed and fasted conditions be studied for food effects. While cervimab is administered intravenously, FDA's Monoclonal Antibody Development Guidance (Draft, 2022) recommends characterization of conditions surrounding administration for any product where food-related variability in exposure has been identified or is plausible based on mechanism.</w:t>
      </w:r>
    </w:p>
    <w:p>
      <w:pPr>
        <w:spacing w:before="60" w:after="60"/>
        <w:jc w:val="both"/>
      </w:pPr>
      <w:r>
        <w:rPr>
          <w:rFonts w:ascii="Arial" w:cs="Arial" w:eastAsia="Arial" w:hAnsi="Arial"/>
          <w:color w:val="000000"/>
          <w:sz w:val="20"/>
          <w:szCs w:val="20"/>
        </w:rPr>
        <w:t xml:space="preserve">This protocol describes a dedicated Phase 1 pharmacokinetic food effect study for cervimab administered as a single 400 mg IV infusion in healthy adult subjects under fed and fasted conditions.</w:t>
      </w:r>
    </w:p>
    <w:p>
      <w:pPr>
        <w:pStyle w:val="Heading2"/>
        <w:spacing w:before="240" w:after="120"/>
      </w:pPr>
      <w:r>
        <w:rPr>
          <w:rFonts w:ascii="Arial" w:cs="Arial" w:eastAsia="Arial" w:hAnsi="Arial"/>
          <w:b/>
          <w:bCs/>
          <w:color w:val="2E5FA3"/>
          <w:sz w:val="22"/>
          <w:szCs w:val="22"/>
        </w:rPr>
        <w:t xml:space="preserve">1.2 Nonclinical and Clinical Experience</w:t>
      </w:r>
    </w:p>
    <w:p>
      <w:pPr>
        <w:spacing w:before="60" w:after="60"/>
        <w:jc w:val="both"/>
      </w:pPr>
      <w:r>
        <w:rPr>
          <w:rFonts w:ascii="Arial" w:cs="Arial" w:eastAsia="Arial" w:hAnsi="Arial"/>
          <w:color w:val="000000"/>
          <w:sz w:val="20"/>
          <w:szCs w:val="20"/>
        </w:rPr>
        <w:t xml:space="preserve">Nonclinical PK studies in cynomolgus monkeys showed dose-proportional exposure for cervimab doses of 1–30 mg/kg IV. Mean terminal half-life (t½) was approximately 15–18 days, consistent with the expected behavior of an IgG4 antibody with intact FcRn binding. No notable food-related effects on PK were observed in feeding studies in primates (Study Report VT-NC-PK-007).</w:t>
      </w:r>
    </w:p>
    <w:p>
      <w:pPr>
        <w:spacing w:before="60" w:after="60"/>
        <w:jc w:val="both"/>
      </w:pPr>
      <w:r>
        <w:rPr>
          <w:rFonts w:ascii="Arial" w:cs="Arial" w:eastAsia="Arial" w:hAnsi="Arial"/>
          <w:color w:val="000000"/>
          <w:sz w:val="20"/>
          <w:szCs w:val="20"/>
        </w:rPr>
        <w:t xml:space="preserve">In the ongoing Phase 1 dose-escalation study (CRV-101), cervimab demonstrated a t½ of approximately 18 days following single-dose IV administration at 200 and 400 mg in patients with advanced solid tumors. The population PK model identified body weight as a clinically meaningful covariate on volume of distribution. Pre-dose nutritional status (as assessed by serum albumin) was identified as a potential covariate on clearance; however, its contribution was not statistically significant (p = 0.12) in the current dataset (n = 48).</w:t>
      </w:r>
    </w:p>
    <w:p>
      <w:pPr>
        <w:spacing w:before="60" w:after="60"/>
        <w:jc w:val="both"/>
      </w:pPr>
      <w:r>
        <w:rPr>
          <w:rFonts w:ascii="Arial" w:cs="Arial" w:eastAsia="Arial" w:hAnsi="Arial"/>
          <w:color w:val="000000"/>
          <w:sz w:val="20"/>
          <w:szCs w:val="20"/>
        </w:rPr>
        <w:t xml:space="preserve">A dedicated food effect study is warranted to prospectively characterize the potential impact of fed versus fasted state on the PK of cervimab and to support the prescribing information and Phase 3 dosing guidance.</w:t>
      </w:r>
    </w:p>
    <w:p>
      <w:pPr>
        <w:pStyle w:val="Heading2"/>
        <w:spacing w:before="240" w:after="120"/>
      </w:pPr>
      <w:r>
        <w:rPr>
          <w:rFonts w:ascii="Arial" w:cs="Arial" w:eastAsia="Arial" w:hAnsi="Arial"/>
          <w:b/>
          <w:bCs/>
          <w:color w:val="2E5FA3"/>
          <w:sz w:val="22"/>
          <w:szCs w:val="22"/>
        </w:rPr>
        <w:t xml:space="preserve">1.3 Regulatory Basis</w:t>
      </w:r>
    </w:p>
    <w:p>
      <w:pPr>
        <w:spacing w:before="60" w:after="60"/>
        <w:jc w:val="both"/>
      </w:pPr>
      <w:r>
        <w:rPr>
          <w:rFonts w:ascii="Arial" w:cs="Arial" w:eastAsia="Arial" w:hAnsi="Arial"/>
          <w:color w:val="000000"/>
          <w:sz w:val="20"/>
          <w:szCs w:val="20"/>
        </w:rPr>
        <w:t xml:space="preserve">This study is designed in accordance with:</w:t>
      </w:r>
    </w:p>
    <w:p>
      <w:pPr>
        <w:pStyle w:val="ListParagraph"/>
        <w:numPr>
          <w:ilvl w:val="0"/>
          <w:numId w:val="2"/>
        </w:numPr>
        <w:spacing w:before="40" w:after="40"/>
      </w:pPr>
      <w:r>
        <w:rPr>
          <w:rFonts w:ascii="Arial" w:cs="Arial" w:eastAsia="Arial" w:hAnsi="Arial"/>
          <w:sz w:val="20"/>
          <w:szCs w:val="20"/>
        </w:rPr>
        <w:t xml:space="preserve">FDA Guidance for Industry: Food-Effect Bioavailability and Fed Bioequivalence Studies (January 2002)</w:t>
      </w:r>
    </w:p>
    <w:p>
      <w:pPr>
        <w:pStyle w:val="ListParagraph"/>
        <w:numPr>
          <w:ilvl w:val="0"/>
          <w:numId w:val="2"/>
        </w:numPr>
        <w:spacing w:before="40" w:after="40"/>
      </w:pPr>
      <w:r>
        <w:rPr>
          <w:rFonts w:ascii="Arial" w:cs="Arial" w:eastAsia="Arial" w:hAnsi="Arial"/>
          <w:sz w:val="20"/>
          <w:szCs w:val="20"/>
        </w:rPr>
        <w:t xml:space="preserve">FDA Draft Guidance for Industry: Clinical Pharmacology Considerations for the Development of Monoclonal Antibodies (2022)</w:t>
      </w:r>
    </w:p>
    <w:p>
      <w:pPr>
        <w:pStyle w:val="ListParagraph"/>
        <w:numPr>
          <w:ilvl w:val="0"/>
          <w:numId w:val="2"/>
        </w:numPr>
        <w:spacing w:before="40" w:after="40"/>
      </w:pPr>
      <w:r>
        <w:rPr>
          <w:rFonts w:ascii="Arial" w:cs="Arial" w:eastAsia="Arial" w:hAnsi="Arial"/>
          <w:sz w:val="20"/>
          <w:szCs w:val="20"/>
        </w:rPr>
        <w:t xml:space="preserve">ICH E8(R1): General Considerations for Clinical Studies (2021)</w:t>
      </w:r>
    </w:p>
    <w:p>
      <w:pPr>
        <w:pStyle w:val="ListParagraph"/>
        <w:numPr>
          <w:ilvl w:val="0"/>
          <w:numId w:val="2"/>
        </w:numPr>
        <w:spacing w:before="40" w:after="40"/>
      </w:pPr>
      <w:r>
        <w:rPr>
          <w:rFonts w:ascii="Arial" w:cs="Arial" w:eastAsia="Arial" w:hAnsi="Arial"/>
          <w:sz w:val="20"/>
          <w:szCs w:val="20"/>
        </w:rPr>
        <w:t xml:space="preserve">ICH M9: Biopharmaceutics Classification System (BCS)-Based Biowaivers (2019)</w:t>
      </w:r>
    </w:p>
    <w:p>
      <w:pPr>
        <w:pStyle w:val="ListParagraph"/>
        <w:numPr>
          <w:ilvl w:val="0"/>
          <w:numId w:val="2"/>
        </w:numPr>
        <w:spacing w:before="40" w:after="40"/>
      </w:pPr>
      <w:r>
        <w:rPr>
          <w:rFonts w:ascii="Arial" w:cs="Arial" w:eastAsia="Arial" w:hAnsi="Arial"/>
          <w:sz w:val="20"/>
          <w:szCs w:val="20"/>
        </w:rPr>
        <w:t xml:space="preserve">21 CFR Part 312: Investigational New Drug Application</w:t>
      </w:r>
    </w:p>
    <w:p>
      <w:pPr>
        <w:pStyle w:val="ListParagraph"/>
        <w:numPr>
          <w:ilvl w:val="0"/>
          <w:numId w:val="2"/>
        </w:numPr>
        <w:spacing w:before="40" w:after="40"/>
      </w:pPr>
      <w:r>
        <w:rPr>
          <w:rFonts w:ascii="Arial" w:cs="Arial" w:eastAsia="Arial" w:hAnsi="Arial"/>
          <w:sz w:val="20"/>
          <w:szCs w:val="20"/>
        </w:rPr>
        <w:t xml:space="preserve">21 CFR Part 50: Protection of Human Subjects</w:t>
      </w:r>
    </w:p>
    <w:p>
      <w:pPr>
        <w:pStyle w:val="ListParagraph"/>
        <w:numPr>
          <w:ilvl w:val="0"/>
          <w:numId w:val="2"/>
        </w:numPr>
        <w:spacing w:before="40" w:after="40"/>
      </w:pPr>
      <w:r>
        <w:rPr>
          <w:rFonts w:ascii="Arial" w:cs="Arial" w:eastAsia="Arial" w:hAnsi="Arial"/>
          <w:sz w:val="20"/>
          <w:szCs w:val="20"/>
        </w:rPr>
        <w:t xml:space="preserve">ICH E6(R2): Good Clinical Practice (2016)</w:t>
      </w:r>
    </w:p>
    <w:p>
      <w:r>
        <w:br w:type="page"/>
      </w:r>
    </w:p>
    <w:p>
      <w:pPr>
        <w:pStyle w:val="Heading1"/>
        <w:spacing w:before="240" w:after="120"/>
      </w:pPr>
      <w:r>
        <w:rPr>
          <w:rFonts w:ascii="Arial" w:cs="Arial" w:eastAsia="Arial" w:hAnsi="Arial"/>
          <w:b/>
          <w:bCs/>
          <w:color w:val="2E5FA3"/>
          <w:sz w:val="22"/>
          <w:szCs w:val="22"/>
        </w:rPr>
        <w:t xml:space="preserve">2. STUDY OBJECTIVES AND ENDPOINTS</w:t>
      </w:r>
    </w:p>
    <w:p>
      <w:pPr>
        <w:pStyle w:val="Heading2"/>
        <w:spacing w:before="240" w:after="120"/>
      </w:pPr>
      <w:r>
        <w:rPr>
          <w:rFonts w:ascii="Arial" w:cs="Arial" w:eastAsia="Arial" w:hAnsi="Arial"/>
          <w:b/>
          <w:bCs/>
          <w:color w:val="2E5FA3"/>
          <w:sz w:val="22"/>
          <w:szCs w:val="22"/>
        </w:rPr>
        <w:t xml:space="preserve">2.1 Primary Objective</w:t>
      </w:r>
    </w:p>
    <w:p>
      <w:pPr>
        <w:spacing w:before="60" w:after="60"/>
        <w:jc w:val="both"/>
      </w:pPr>
      <w:r>
        <w:rPr>
          <w:rFonts w:ascii="Arial" w:cs="Arial" w:eastAsia="Arial" w:hAnsi="Arial"/>
          <w:color w:val="000000"/>
          <w:sz w:val="20"/>
          <w:szCs w:val="20"/>
        </w:rPr>
        <w:t xml:space="preserve">To evaluate the effect of a high-fat, high-calorie meal on the pharmacokinetics of cervimab following a single IV dose of 400 mg in healthy adult subjects.</w:t>
      </w:r>
    </w:p>
    <w:p>
      <w:pPr>
        <w:pStyle w:val="Heading2"/>
        <w:spacing w:before="240" w:after="120"/>
      </w:pPr>
      <w:r>
        <w:rPr>
          <w:rFonts w:ascii="Arial" w:cs="Arial" w:eastAsia="Arial" w:hAnsi="Arial"/>
          <w:b/>
          <w:bCs/>
          <w:color w:val="2E5FA3"/>
          <w:sz w:val="22"/>
          <w:szCs w:val="22"/>
        </w:rPr>
        <w:t xml:space="preserve">2.2 Primary Endpoints</w:t>
      </w:r>
    </w:p>
    <w:p>
      <w:pPr>
        <w:pStyle w:val="ListParagraph"/>
        <w:numPr>
          <w:ilvl w:val="0"/>
          <w:numId w:val="2"/>
        </w:numPr>
        <w:spacing w:before="40" w:after="40"/>
      </w:pPr>
      <w:r>
        <w:rPr>
          <w:rFonts w:ascii="Arial" w:cs="Arial" w:eastAsia="Arial" w:hAnsi="Arial"/>
          <w:sz w:val="20"/>
          <w:szCs w:val="20"/>
        </w:rPr>
        <w:t xml:space="preserve">Maximum observed serum concentration (Cmax)</w:t>
      </w:r>
    </w:p>
    <w:p>
      <w:pPr>
        <w:pStyle w:val="ListParagraph"/>
        <w:numPr>
          <w:ilvl w:val="0"/>
          <w:numId w:val="2"/>
        </w:numPr>
        <w:spacing w:before="40" w:after="40"/>
      </w:pPr>
      <w:r>
        <w:rPr>
          <w:rFonts w:ascii="Arial" w:cs="Arial" w:eastAsia="Arial" w:hAnsi="Arial"/>
          <w:sz w:val="20"/>
          <w:szCs w:val="20"/>
        </w:rPr>
        <w:t xml:space="preserve">Area under the serum concentration–time curve from time zero to the last measurable concentration (AUC0-t)</w:t>
      </w:r>
    </w:p>
    <w:p>
      <w:pPr>
        <w:pStyle w:val="ListParagraph"/>
        <w:numPr>
          <w:ilvl w:val="0"/>
          <w:numId w:val="2"/>
        </w:numPr>
        <w:spacing w:before="40" w:after="40"/>
      </w:pPr>
      <w:r>
        <w:rPr>
          <w:rFonts w:ascii="Arial" w:cs="Arial" w:eastAsia="Arial" w:hAnsi="Arial"/>
          <w:sz w:val="20"/>
          <w:szCs w:val="20"/>
        </w:rPr>
        <w:t xml:space="preserve">Area under the serum concentration–time curve from time zero to infinity (AUC0-∞)</w:t>
      </w:r>
    </w:p>
    <w:p>
      <w:pPr>
        <w:pStyle w:val="Heading2"/>
        <w:spacing w:before="240" w:after="120"/>
      </w:pPr>
      <w:r>
        <w:rPr>
          <w:rFonts w:ascii="Arial" w:cs="Arial" w:eastAsia="Arial" w:hAnsi="Arial"/>
          <w:b/>
          <w:bCs/>
          <w:color w:val="2E5FA3"/>
          <w:sz w:val="22"/>
          <w:szCs w:val="22"/>
        </w:rPr>
        <w:t xml:space="preserve">2.3 Secondary Objectives</w:t>
      </w:r>
    </w:p>
    <w:p>
      <w:pPr>
        <w:spacing w:before="60" w:after="60"/>
        <w:jc w:val="both"/>
      </w:pPr>
      <w:r>
        <w:rPr>
          <w:rFonts w:ascii="Arial" w:cs="Arial" w:eastAsia="Arial" w:hAnsi="Arial"/>
          <w:color w:val="000000"/>
          <w:sz w:val="20"/>
          <w:szCs w:val="20"/>
        </w:rPr>
        <w:t xml:space="preserve">To further characterize the PK of cervimab under fed and fasted conditions, and to assess safety and tolerability.</w:t>
      </w:r>
    </w:p>
    <w:p>
      <w:pPr>
        <w:pStyle w:val="Heading2"/>
        <w:spacing w:before="240" w:after="120"/>
      </w:pPr>
      <w:r>
        <w:rPr>
          <w:rFonts w:ascii="Arial" w:cs="Arial" w:eastAsia="Arial" w:hAnsi="Arial"/>
          <w:b/>
          <w:bCs/>
          <w:color w:val="2E5FA3"/>
          <w:sz w:val="22"/>
          <w:szCs w:val="22"/>
        </w:rPr>
        <w:t xml:space="preserve">2.4 Secondary Endpoints</w:t>
      </w:r>
    </w:p>
    <w:p>
      <w:pPr>
        <w:pStyle w:val="ListParagraph"/>
        <w:numPr>
          <w:ilvl w:val="0"/>
          <w:numId w:val="2"/>
        </w:numPr>
        <w:spacing w:before="40" w:after="40"/>
      </w:pPr>
      <w:r>
        <w:rPr>
          <w:rFonts w:ascii="Arial" w:cs="Arial" w:eastAsia="Arial" w:hAnsi="Arial"/>
          <w:sz w:val="20"/>
          <w:szCs w:val="20"/>
        </w:rPr>
        <w:t xml:space="preserve">Time to maximum observed concentration (Tmax)</w:t>
      </w:r>
    </w:p>
    <w:p>
      <w:pPr>
        <w:pStyle w:val="ListParagraph"/>
        <w:numPr>
          <w:ilvl w:val="0"/>
          <w:numId w:val="2"/>
        </w:numPr>
        <w:spacing w:before="40" w:after="40"/>
      </w:pPr>
      <w:r>
        <w:rPr>
          <w:rFonts w:ascii="Arial" w:cs="Arial" w:eastAsia="Arial" w:hAnsi="Arial"/>
          <w:sz w:val="20"/>
          <w:szCs w:val="20"/>
        </w:rPr>
        <w:t xml:space="preserve">Terminal elimination half-life (t½)</w:t>
      </w:r>
    </w:p>
    <w:p>
      <w:pPr>
        <w:pStyle w:val="ListParagraph"/>
        <w:numPr>
          <w:ilvl w:val="0"/>
          <w:numId w:val="2"/>
        </w:numPr>
        <w:spacing w:before="40" w:after="40"/>
      </w:pPr>
      <w:r>
        <w:rPr>
          <w:rFonts w:ascii="Arial" w:cs="Arial" w:eastAsia="Arial" w:hAnsi="Arial"/>
          <w:sz w:val="20"/>
          <w:szCs w:val="20"/>
        </w:rPr>
        <w:t xml:space="preserve">Apparent total systemic clearance (CL)</w:t>
      </w:r>
    </w:p>
    <w:p>
      <w:pPr>
        <w:pStyle w:val="ListParagraph"/>
        <w:numPr>
          <w:ilvl w:val="0"/>
          <w:numId w:val="2"/>
        </w:numPr>
        <w:spacing w:before="40" w:after="40"/>
      </w:pPr>
      <w:r>
        <w:rPr>
          <w:rFonts w:ascii="Arial" w:cs="Arial" w:eastAsia="Arial" w:hAnsi="Arial"/>
          <w:sz w:val="20"/>
          <w:szCs w:val="20"/>
        </w:rPr>
        <w:t xml:space="preserve">Volume of distribution at steady state (Vss)</w:t>
      </w:r>
    </w:p>
    <w:p>
      <w:pPr>
        <w:pStyle w:val="ListParagraph"/>
        <w:numPr>
          <w:ilvl w:val="0"/>
          <w:numId w:val="2"/>
        </w:numPr>
        <w:spacing w:before="40" w:after="40"/>
      </w:pPr>
      <w:r>
        <w:rPr>
          <w:rFonts w:ascii="Arial" w:cs="Arial" w:eastAsia="Arial" w:hAnsi="Arial"/>
          <w:sz w:val="20"/>
          <w:szCs w:val="20"/>
        </w:rPr>
        <w:t xml:space="preserve">Incidence and severity of adverse events (AEs) per NCI-CTCAE v5.0</w:t>
      </w:r>
    </w:p>
    <w:p>
      <w:pPr>
        <w:pStyle w:val="ListParagraph"/>
        <w:numPr>
          <w:ilvl w:val="0"/>
          <w:numId w:val="2"/>
        </w:numPr>
        <w:spacing w:before="40" w:after="40"/>
      </w:pPr>
      <w:r>
        <w:rPr>
          <w:rFonts w:ascii="Arial" w:cs="Arial" w:eastAsia="Arial" w:hAnsi="Arial"/>
          <w:sz w:val="20"/>
          <w:szCs w:val="20"/>
        </w:rPr>
        <w:t xml:space="preserve">Incidence of anti-drug antibodies (ADA) and neutralizing antibodies (nAb)</w:t>
      </w:r>
    </w:p>
    <w:p>
      <w:r>
        <w:br w:type="page"/>
      </w:r>
    </w:p>
    <w:p>
      <w:pPr>
        <w:pStyle w:val="Heading1"/>
        <w:spacing w:before="240" w:after="120"/>
      </w:pPr>
      <w:r>
        <w:rPr>
          <w:rFonts w:ascii="Arial" w:cs="Arial" w:eastAsia="Arial" w:hAnsi="Arial"/>
          <w:b/>
          <w:bCs/>
          <w:color w:val="2E5FA3"/>
          <w:sz w:val="22"/>
          <w:szCs w:val="22"/>
        </w:rPr>
        <w:t xml:space="preserve">3. STUDY DESIGN</w:t>
      </w:r>
    </w:p>
    <w:p>
      <w:pPr>
        <w:pStyle w:val="Heading2"/>
        <w:spacing w:before="240" w:after="120"/>
      </w:pPr>
      <w:r>
        <w:rPr>
          <w:rFonts w:ascii="Arial" w:cs="Arial" w:eastAsia="Arial" w:hAnsi="Arial"/>
          <w:b/>
          <w:bCs/>
          <w:color w:val="2E5FA3"/>
          <w:sz w:val="22"/>
          <w:szCs w:val="22"/>
        </w:rPr>
        <w:t xml:space="preserve">3.1 Overall Design</w:t>
      </w:r>
    </w:p>
    <w:p>
      <w:pPr>
        <w:spacing w:before="60" w:after="60"/>
        <w:jc w:val="both"/>
      </w:pPr>
      <w:r>
        <w:rPr>
          <w:rFonts w:ascii="Arial" w:cs="Arial" w:eastAsia="Arial" w:hAnsi="Arial"/>
          <w:color w:val="000000"/>
          <w:sz w:val="20"/>
          <w:szCs w:val="20"/>
        </w:rPr>
        <w:t xml:space="preserve">CRV-PK-001 is a Phase 1, open-label, randomized, two-period, two-sequence crossover study in 24 healthy adult subjects. Subjects will be randomized 1:1 to one of two treatment sequences:</w:t>
      </w:r>
    </w:p>
    <w:p>
      <w:pPr>
        <w:pStyle w:val="ListParagraph"/>
        <w:numPr>
          <w:ilvl w:val="0"/>
          <w:numId w:val="2"/>
        </w:numPr>
        <w:spacing w:before="40" w:after="40"/>
      </w:pPr>
      <w:r>
        <w:rPr>
          <w:rFonts w:ascii="Arial" w:cs="Arial" w:eastAsia="Arial" w:hAnsi="Arial"/>
          <w:sz w:val="20"/>
          <w:szCs w:val="20"/>
        </w:rPr>
        <w:t xml:space="preserve">Sequence AB (n=12): Period 1 (Fasted) → Washout → Period 2 (Fed)</w:t>
      </w:r>
    </w:p>
    <w:p>
      <w:pPr>
        <w:pStyle w:val="ListParagraph"/>
        <w:numPr>
          <w:ilvl w:val="0"/>
          <w:numId w:val="2"/>
        </w:numPr>
        <w:spacing w:before="40" w:after="40"/>
      </w:pPr>
      <w:r>
        <w:rPr>
          <w:rFonts w:ascii="Arial" w:cs="Arial" w:eastAsia="Arial" w:hAnsi="Arial"/>
          <w:sz w:val="20"/>
          <w:szCs w:val="20"/>
        </w:rPr>
        <w:t xml:space="preserve">Sequence BA (n=12): Period 1 (Fed) → Washout → Period 2 (Fasted)</w:t>
      </w:r>
    </w:p>
    <w:p>
      <w:pPr>
        <w:spacing w:before="60" w:after="60"/>
        <w:jc w:val="both"/>
      </w:pPr>
      <w:r>
        <w:rPr>
          <w:rFonts w:ascii="Arial" w:cs="Arial" w:eastAsia="Arial" w:hAnsi="Arial"/>
          <w:color w:val="000000"/>
          <w:sz w:val="20"/>
          <w:szCs w:val="20"/>
        </w:rPr>
        <w:t xml:space="preserve">Each treatment period consists of a single IV infusion of cervimab 400 mg over 60 minutes, administered under the assigned condition (fasted or fed). Periods are separated by a washout period of ≥21 days (approximately 5 half-lives), with timing adjusted based on emerging PK data to ensure &lt;5% carryover.</w:t>
      </w:r>
    </w:p>
    <w:p>
      <w:pPr>
        <w:pStyle w:val="Heading2"/>
        <w:spacing w:before="240" w:after="120"/>
      </w:pPr>
      <w:r>
        <w:rPr>
          <w:rFonts w:ascii="Arial" w:cs="Arial" w:eastAsia="Arial" w:hAnsi="Arial"/>
          <w:b/>
          <w:bCs/>
          <w:color w:val="2E5FA3"/>
          <w:sz w:val="22"/>
          <w:szCs w:val="22"/>
        </w:rPr>
        <w:t xml:space="preserve">3.2 Schematic of Study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Sequence</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Screening</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Period 1
(Day 1)</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Washout
(≥21 Days)</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Period 2
(Day 1)</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Follow-up
(Day 21)</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AB (n=12)</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Days -28 to -1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Fasted + IV Cervimab 400 mg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≥21 days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Fed + IV Cervimab 400 mg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Safety/PK</w:t>
            </w:r>
          </w:p>
        </w:tc>
      </w:tr>
      <w:tr>
        <w:tc>
          <w:tcPr>
            <w:tcW w:type="dxa" w:w="15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BA (n=12)</w:t>
            </w:r>
          </w:p>
        </w:tc>
        <w:tc>
          <w:tcPr>
            <w:tcW w:type="dxa" w:w="15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Days -28 to -1</w:t>
            </w:r>
          </w:p>
        </w:tc>
        <w:tc>
          <w:tcPr>
            <w:tcW w:type="dxa" w:w="15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Fed + IV Cervimab 400 mg</w:t>
            </w:r>
          </w:p>
        </w:tc>
        <w:tc>
          <w:tcPr>
            <w:tcW w:type="dxa" w:w="15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≥21 days</w:t>
            </w:r>
          </w:p>
        </w:tc>
        <w:tc>
          <w:tcPr>
            <w:tcW w:type="dxa" w:w="15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Fasted + IV Cervimab 400 mg</w:t>
            </w:r>
          </w:p>
        </w:tc>
        <w:tc>
          <w:tcPr>
            <w:tcW w:type="dxa" w:w="15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Safety/PK</w:t>
            </w:r>
          </w:p>
        </w:tc>
      </w:tr>
    </w:tbl>
    <w:p>
      <w:pPr>
        <w:spacing w:before="60" w:after="60"/>
      </w:pPr>
      <w:r>
        <w:t xml:space="preserve"/>
      </w:r>
    </w:p>
    <w:p>
      <w:pPr>
        <w:pStyle w:val="Heading2"/>
        <w:spacing w:before="240" w:after="120"/>
      </w:pPr>
      <w:r>
        <w:rPr>
          <w:rFonts w:ascii="Arial" w:cs="Arial" w:eastAsia="Arial" w:hAnsi="Arial"/>
          <w:b/>
          <w:bCs/>
          <w:color w:val="2E5FA3"/>
          <w:sz w:val="22"/>
          <w:szCs w:val="22"/>
        </w:rPr>
        <w:t xml:space="preserve">3.3 Fed Condition Meal Specification</w:t>
      </w:r>
    </w:p>
    <w:p>
      <w:pPr>
        <w:spacing w:before="60" w:after="60"/>
        <w:jc w:val="both"/>
      </w:pPr>
      <w:r>
        <w:rPr>
          <w:rFonts w:ascii="Arial" w:cs="Arial" w:eastAsia="Arial" w:hAnsi="Arial"/>
          <w:color w:val="000000"/>
          <w:sz w:val="20"/>
          <w:szCs w:val="20"/>
        </w:rPr>
        <w:t xml:space="preserve">Per FDA guidance (Food-Effect Bioavailability and Fed Bioequivalence Studies, 2002), the test meal used in this study will be a high-fat, high-calorie meal with the following nutritional profile:</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Nutritional Parameter</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Total calories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800–1000 kcal</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Calories from fat</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~500–600 kcal (~50% of total)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Calories from protein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~150 kcal (~15%)</w:t>
            </w:r>
          </w:p>
        </w:tc>
      </w:tr>
      <w:tr>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Calories from carbohydrate</w:t>
            </w:r>
          </w:p>
        </w:tc>
        <w:tc>
          <w:tcPr>
            <w:tcW w:type="dxa" w:w="36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~250 kcal (~25%)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Meal timing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Subjects must start eating ≥30 min before infusion start and complete the meal ≤10 min before infusion start</w:t>
            </w:r>
          </w:p>
        </w:tc>
      </w:tr>
    </w:tbl>
    <w:p>
      <w:pPr>
        <w:spacing w:before="60" w:after="60"/>
        <w:jc w:val="both"/>
      </w:pPr>
      <w:r>
        <w:rPr>
          <w:rFonts w:ascii="Arial" w:cs="Arial" w:eastAsia="Arial" w:hAnsi="Arial"/>
          <w:color w:val="000000"/>
          <w:sz w:val="20"/>
          <w:szCs w:val="20"/>
        </w:rPr>
        <w:t xml:space="preserve">Example meal composition: 2 fried eggs, 2 strips of bacon, 2 slices of buttered toast, 4 oz of hash brown potatoes, 8 oz of whole milk. Subjects must consume ≥80% of the meal.</w:t>
      </w:r>
    </w:p>
    <w:p>
      <w:pPr>
        <w:pStyle w:val="Heading2"/>
        <w:spacing w:before="240" w:after="120"/>
      </w:pPr>
      <w:r>
        <w:rPr>
          <w:rFonts w:ascii="Arial" w:cs="Arial" w:eastAsia="Arial" w:hAnsi="Arial"/>
          <w:b/>
          <w:bCs/>
          <w:color w:val="2E5FA3"/>
          <w:sz w:val="22"/>
          <w:szCs w:val="22"/>
        </w:rPr>
        <w:t xml:space="preserve">3.4 Fasted Condition</w:t>
      </w:r>
    </w:p>
    <w:p>
      <w:pPr>
        <w:spacing w:before="60" w:after="60"/>
        <w:jc w:val="both"/>
      </w:pPr>
      <w:r>
        <w:rPr>
          <w:rFonts w:ascii="Arial" w:cs="Arial" w:eastAsia="Arial" w:hAnsi="Arial"/>
          <w:color w:val="000000"/>
          <w:sz w:val="20"/>
          <w:szCs w:val="20"/>
        </w:rPr>
        <w:t xml:space="preserve">In the fasted condition, subjects will fast for ≥10 hours prior to dosing. Water (up to 240 mL) is permitted up to 1 hour before dosing. Fasting will continue for ≥4 hours post-dose.</w:t>
      </w:r>
    </w:p>
    <w:p>
      <w:r>
        <w:br w:type="page"/>
      </w:r>
    </w:p>
    <w:p>
      <w:pPr>
        <w:pStyle w:val="Heading1"/>
        <w:spacing w:before="240" w:after="120"/>
      </w:pPr>
      <w:r>
        <w:rPr>
          <w:rFonts w:ascii="Arial" w:cs="Arial" w:eastAsia="Arial" w:hAnsi="Arial"/>
          <w:b/>
          <w:bCs/>
          <w:color w:val="2E5FA3"/>
          <w:sz w:val="22"/>
          <w:szCs w:val="22"/>
        </w:rPr>
        <w:t xml:space="preserve">4. STUDY POPULATION</w:t>
      </w:r>
    </w:p>
    <w:p>
      <w:pPr>
        <w:pStyle w:val="Heading2"/>
        <w:spacing w:before="240" w:after="120"/>
      </w:pPr>
      <w:r>
        <w:rPr>
          <w:rFonts w:ascii="Arial" w:cs="Arial" w:eastAsia="Arial" w:hAnsi="Arial"/>
          <w:b/>
          <w:bCs/>
          <w:color w:val="2E5FA3"/>
          <w:sz w:val="22"/>
          <w:szCs w:val="22"/>
        </w:rPr>
        <w:t xml:space="preserve">4.1 Inclusion Criteria</w:t>
      </w:r>
    </w:p>
    <w:p>
      <w:pPr>
        <w:spacing w:before="60" w:after="60"/>
        <w:jc w:val="both"/>
      </w:pPr>
      <w:r>
        <w:rPr>
          <w:rFonts w:ascii="Arial" w:cs="Arial" w:eastAsia="Arial" w:hAnsi="Arial"/>
          <w:color w:val="000000"/>
          <w:sz w:val="20"/>
          <w:szCs w:val="20"/>
        </w:rPr>
        <w:t xml:space="preserve">Subjects must meet all of the following criteria:</w:t>
      </w:r>
    </w:p>
    <w:p>
      <w:pPr>
        <w:pStyle w:val="ListParagraph"/>
        <w:numPr>
          <w:ilvl w:val="0"/>
          <w:numId w:val="3"/>
        </w:numPr>
        <w:spacing w:before="40" w:after="40"/>
      </w:pPr>
      <w:r>
        <w:rPr>
          <w:rFonts w:ascii="Arial" w:cs="Arial" w:eastAsia="Arial" w:hAnsi="Arial"/>
          <w:sz w:val="20"/>
          <w:szCs w:val="20"/>
        </w:rPr>
        <w:t xml:space="preserve">Healthy adult male or female subjects, 18 to 55 years of age, inclusive, at the time of signing informed consent</w:t>
      </w:r>
    </w:p>
    <w:p>
      <w:pPr>
        <w:pStyle w:val="ListParagraph"/>
        <w:numPr>
          <w:ilvl w:val="0"/>
          <w:numId w:val="3"/>
        </w:numPr>
        <w:spacing w:before="40" w:after="40"/>
      </w:pPr>
      <w:r>
        <w:rPr>
          <w:rFonts w:ascii="Arial" w:cs="Arial" w:eastAsia="Arial" w:hAnsi="Arial"/>
          <w:sz w:val="20"/>
          <w:szCs w:val="20"/>
        </w:rPr>
        <w:t xml:space="preserve">Body mass index (BMI) ≥18.0 and ≤30.0 kg/m² and body weight ≥50 kg at screening</w:t>
      </w:r>
    </w:p>
    <w:p>
      <w:pPr>
        <w:pStyle w:val="ListParagraph"/>
        <w:numPr>
          <w:ilvl w:val="0"/>
          <w:numId w:val="3"/>
        </w:numPr>
        <w:spacing w:before="40" w:after="40"/>
      </w:pPr>
      <w:r>
        <w:rPr>
          <w:rFonts w:ascii="Arial" w:cs="Arial" w:eastAsia="Arial" w:hAnsi="Arial"/>
          <w:sz w:val="20"/>
          <w:szCs w:val="20"/>
        </w:rPr>
        <w:t xml:space="preserve">Females of childbearing potential must have a negative serum pregnancy test at screening and a negative urine pregnancy test at Day -1 of each period, and must agree to use highly effective contraception from screening through 90 days after the last dose</w:t>
      </w:r>
    </w:p>
    <w:p>
      <w:pPr>
        <w:pStyle w:val="ListParagraph"/>
        <w:numPr>
          <w:ilvl w:val="0"/>
          <w:numId w:val="3"/>
        </w:numPr>
        <w:spacing w:before="40" w:after="40"/>
      </w:pPr>
      <w:r>
        <w:rPr>
          <w:rFonts w:ascii="Arial" w:cs="Arial" w:eastAsia="Arial" w:hAnsi="Arial"/>
          <w:sz w:val="20"/>
          <w:szCs w:val="20"/>
        </w:rPr>
        <w:t xml:space="preserve">Male subjects must agree to use contraception from Day 1 through 90 days after the last dose</w:t>
      </w:r>
    </w:p>
    <w:p>
      <w:pPr>
        <w:pStyle w:val="ListParagraph"/>
        <w:numPr>
          <w:ilvl w:val="0"/>
          <w:numId w:val="3"/>
        </w:numPr>
        <w:spacing w:before="40" w:after="40"/>
      </w:pPr>
      <w:r>
        <w:rPr>
          <w:rFonts w:ascii="Arial" w:cs="Arial" w:eastAsia="Arial" w:hAnsi="Arial"/>
          <w:sz w:val="20"/>
          <w:szCs w:val="20"/>
        </w:rPr>
        <w:t xml:space="preserve">Willing and able to provide written informed consent and comply with all study procedures</w:t>
      </w:r>
    </w:p>
    <w:p>
      <w:pPr>
        <w:pStyle w:val="ListParagraph"/>
        <w:numPr>
          <w:ilvl w:val="0"/>
          <w:numId w:val="3"/>
        </w:numPr>
        <w:spacing w:before="40" w:after="40"/>
      </w:pPr>
      <w:r>
        <w:rPr>
          <w:rFonts w:ascii="Arial" w:cs="Arial" w:eastAsia="Arial" w:hAnsi="Arial"/>
          <w:sz w:val="20"/>
          <w:szCs w:val="20"/>
        </w:rPr>
        <w:t xml:space="preserve">Clinically acceptable vital signs, physical examination, 12-lead ECG, and laboratory parameters at screening</w:t>
      </w:r>
    </w:p>
    <w:p>
      <w:pPr>
        <w:pStyle w:val="ListParagraph"/>
        <w:numPr>
          <w:ilvl w:val="0"/>
          <w:numId w:val="3"/>
        </w:numPr>
        <w:spacing w:before="40" w:after="40"/>
      </w:pPr>
      <w:r>
        <w:rPr>
          <w:rFonts w:ascii="Arial" w:cs="Arial" w:eastAsia="Arial" w:hAnsi="Arial"/>
          <w:sz w:val="20"/>
          <w:szCs w:val="20"/>
        </w:rPr>
        <w:t xml:space="preserve">Non-smoker or former smoker who has not smoked within 3 months prior to screening</w:t>
      </w:r>
    </w:p>
    <w:p>
      <w:pPr>
        <w:pStyle w:val="ListParagraph"/>
        <w:numPr>
          <w:ilvl w:val="0"/>
          <w:numId w:val="3"/>
        </w:numPr>
        <w:spacing w:before="40" w:after="40"/>
      </w:pPr>
      <w:r>
        <w:rPr>
          <w:rFonts w:ascii="Arial" w:cs="Arial" w:eastAsia="Arial" w:hAnsi="Arial"/>
          <w:sz w:val="20"/>
          <w:szCs w:val="20"/>
        </w:rPr>
        <w:t xml:space="preserve">Willing to consume the standardized high-fat, high-calorie meal as required</w:t>
      </w:r>
    </w:p>
    <w:p>
      <w:pPr>
        <w:pStyle w:val="Heading2"/>
        <w:spacing w:before="240" w:after="120"/>
      </w:pPr>
      <w:r>
        <w:rPr>
          <w:rFonts w:ascii="Arial" w:cs="Arial" w:eastAsia="Arial" w:hAnsi="Arial"/>
          <w:b/>
          <w:bCs/>
          <w:color w:val="2E5FA3"/>
          <w:sz w:val="22"/>
          <w:szCs w:val="22"/>
        </w:rPr>
        <w:t xml:space="preserve">4.2 Exclusion Criteria</w:t>
      </w:r>
    </w:p>
    <w:p>
      <w:pPr>
        <w:spacing w:before="60" w:after="60"/>
        <w:jc w:val="both"/>
      </w:pPr>
      <w:r>
        <w:rPr>
          <w:rFonts w:ascii="Arial" w:cs="Arial" w:eastAsia="Arial" w:hAnsi="Arial"/>
          <w:color w:val="000000"/>
          <w:sz w:val="20"/>
          <w:szCs w:val="20"/>
        </w:rPr>
        <w:t xml:space="preserve">Subjects will be excluded if any of the following criteria are met:</w:t>
      </w:r>
    </w:p>
    <w:p>
      <w:pPr>
        <w:pStyle w:val="ListParagraph"/>
        <w:numPr>
          <w:ilvl w:val="0"/>
          <w:numId w:val="3"/>
        </w:numPr>
        <w:spacing w:before="40" w:after="40"/>
      </w:pPr>
      <w:r>
        <w:rPr>
          <w:rFonts w:ascii="Arial" w:cs="Arial" w:eastAsia="Arial" w:hAnsi="Arial"/>
          <w:sz w:val="20"/>
          <w:szCs w:val="20"/>
        </w:rPr>
        <w:t xml:space="preserve">Any clinically significant medical condition including, but not limited to, hepatic, renal, gastrointestinal, cardiovascular, endocrine, pulmonary, neurologic, or psychiatric disease</w:t>
      </w:r>
    </w:p>
    <w:p>
      <w:pPr>
        <w:pStyle w:val="ListParagraph"/>
        <w:numPr>
          <w:ilvl w:val="0"/>
          <w:numId w:val="3"/>
        </w:numPr>
        <w:spacing w:before="40" w:after="40"/>
      </w:pPr>
      <w:r>
        <w:rPr>
          <w:rFonts w:ascii="Arial" w:cs="Arial" w:eastAsia="Arial" w:hAnsi="Arial"/>
          <w:sz w:val="20"/>
          <w:szCs w:val="20"/>
        </w:rPr>
        <w:t xml:space="preserve">Active or prior history of autoimmune disease requiring systemic treatment within the past 2 years</w:t>
      </w:r>
    </w:p>
    <w:p>
      <w:pPr>
        <w:pStyle w:val="ListParagraph"/>
        <w:numPr>
          <w:ilvl w:val="0"/>
          <w:numId w:val="3"/>
        </w:numPr>
        <w:spacing w:before="40" w:after="40"/>
      </w:pPr>
      <w:r>
        <w:rPr>
          <w:rFonts w:ascii="Arial" w:cs="Arial" w:eastAsia="Arial" w:hAnsi="Arial"/>
          <w:sz w:val="20"/>
          <w:szCs w:val="20"/>
        </w:rPr>
        <w:t xml:space="preserve">History of known or suspected immunodeficiency, or any condition requiring chronic systemic immunosuppressive therapy</w:t>
      </w:r>
    </w:p>
    <w:p>
      <w:pPr>
        <w:pStyle w:val="ListParagraph"/>
        <w:numPr>
          <w:ilvl w:val="0"/>
          <w:numId w:val="3"/>
        </w:numPr>
        <w:spacing w:before="40" w:after="40"/>
      </w:pPr>
      <w:r>
        <w:rPr>
          <w:rFonts w:ascii="Arial" w:cs="Arial" w:eastAsia="Arial" w:hAnsi="Arial"/>
          <w:sz w:val="20"/>
          <w:szCs w:val="20"/>
        </w:rPr>
        <w:t xml:space="preserve">History of prior therapy with any anti-PD-1, anti-PD-L1, anti-PD-L2, anti-CTLA-4, or other immune checkpoint inhibitor</w:t>
      </w:r>
    </w:p>
    <w:p>
      <w:pPr>
        <w:pStyle w:val="ListParagraph"/>
        <w:numPr>
          <w:ilvl w:val="0"/>
          <w:numId w:val="3"/>
        </w:numPr>
        <w:spacing w:before="40" w:after="40"/>
      </w:pPr>
      <w:r>
        <w:rPr>
          <w:rFonts w:ascii="Arial" w:cs="Arial" w:eastAsia="Arial" w:hAnsi="Arial"/>
          <w:sz w:val="20"/>
          <w:szCs w:val="20"/>
        </w:rPr>
        <w:t xml:space="preserve">Positive serology for HIV, hepatitis B surface antigen (HBsAg), or anti-hepatitis C virus (HCV) antibodies at screening</w:t>
      </w:r>
    </w:p>
    <w:p>
      <w:pPr>
        <w:pStyle w:val="ListParagraph"/>
        <w:numPr>
          <w:ilvl w:val="0"/>
          <w:numId w:val="3"/>
        </w:numPr>
        <w:spacing w:before="40" w:after="40"/>
      </w:pPr>
      <w:r>
        <w:rPr>
          <w:rFonts w:ascii="Arial" w:cs="Arial" w:eastAsia="Arial" w:hAnsi="Arial"/>
          <w:sz w:val="20"/>
          <w:szCs w:val="20"/>
        </w:rPr>
        <w:t xml:space="preserve">Use of any prescription or non-prescription medication (excluding hormonal contraceptives) within 14 days or 5 half-lives (whichever is longer) prior to study drug administration</w:t>
      </w:r>
    </w:p>
    <w:p>
      <w:pPr>
        <w:pStyle w:val="ListParagraph"/>
        <w:numPr>
          <w:ilvl w:val="0"/>
          <w:numId w:val="3"/>
        </w:numPr>
        <w:spacing w:before="40" w:after="40"/>
      </w:pPr>
      <w:r>
        <w:rPr>
          <w:rFonts w:ascii="Arial" w:cs="Arial" w:eastAsia="Arial" w:hAnsi="Arial"/>
          <w:sz w:val="20"/>
          <w:szCs w:val="20"/>
        </w:rPr>
        <w:t xml:space="preserve">History of severe hypersensitivity or allergic reactions to any monoclonal antibody or biologic product</w:t>
      </w:r>
    </w:p>
    <w:p>
      <w:pPr>
        <w:pStyle w:val="ListParagraph"/>
        <w:numPr>
          <w:ilvl w:val="0"/>
          <w:numId w:val="3"/>
        </w:numPr>
        <w:spacing w:before="40" w:after="40"/>
      </w:pPr>
      <w:r>
        <w:rPr>
          <w:rFonts w:ascii="Arial" w:cs="Arial" w:eastAsia="Arial" w:hAnsi="Arial"/>
          <w:sz w:val="20"/>
          <w:szCs w:val="20"/>
        </w:rPr>
        <w:t xml:space="preserve">Clinically significant abnormality on 12-lead ECG at screening (e.g., QTcF &gt;450 ms in males or &gt;470 ms in females)</w:t>
      </w:r>
    </w:p>
    <w:p>
      <w:pPr>
        <w:pStyle w:val="ListParagraph"/>
        <w:numPr>
          <w:ilvl w:val="0"/>
          <w:numId w:val="3"/>
        </w:numPr>
        <w:spacing w:before="40" w:after="40"/>
      </w:pPr>
      <w:r>
        <w:rPr>
          <w:rFonts w:ascii="Arial" w:cs="Arial" w:eastAsia="Arial" w:hAnsi="Arial"/>
          <w:sz w:val="20"/>
          <w:szCs w:val="20"/>
        </w:rPr>
        <w:t xml:space="preserve">ALT or AST &gt;1.5× upper limit of normal (ULN), or total bilirubin &gt;1.5× ULN at screening</w:t>
      </w:r>
    </w:p>
    <w:p>
      <w:pPr>
        <w:pStyle w:val="ListParagraph"/>
        <w:numPr>
          <w:ilvl w:val="0"/>
          <w:numId w:val="3"/>
        </w:numPr>
        <w:spacing w:before="40" w:after="40"/>
      </w:pPr>
      <w:r>
        <w:rPr>
          <w:rFonts w:ascii="Arial" w:cs="Arial" w:eastAsia="Arial" w:hAnsi="Arial"/>
          <w:sz w:val="20"/>
          <w:szCs w:val="20"/>
        </w:rPr>
        <w:t xml:space="preserve">eGFR &lt;60 mL/min/1.73 m² at screening</w:t>
      </w:r>
    </w:p>
    <w:p>
      <w:pPr>
        <w:pStyle w:val="ListParagraph"/>
        <w:numPr>
          <w:ilvl w:val="0"/>
          <w:numId w:val="3"/>
        </w:numPr>
        <w:spacing w:before="40" w:after="40"/>
      </w:pPr>
      <w:r>
        <w:rPr>
          <w:rFonts w:ascii="Arial" w:cs="Arial" w:eastAsia="Arial" w:hAnsi="Arial"/>
          <w:sz w:val="20"/>
          <w:szCs w:val="20"/>
        </w:rPr>
        <w:t xml:space="preserve">Participation in another clinical study with an investigational product within 30 days or 5 half-lives prior to screening</w:t>
      </w:r>
    </w:p>
    <w:p>
      <w:pPr>
        <w:pStyle w:val="ListParagraph"/>
        <w:numPr>
          <w:ilvl w:val="0"/>
          <w:numId w:val="3"/>
        </w:numPr>
        <w:spacing w:before="40" w:after="40"/>
      </w:pPr>
      <w:r>
        <w:rPr>
          <w:rFonts w:ascii="Arial" w:cs="Arial" w:eastAsia="Arial" w:hAnsi="Arial"/>
          <w:sz w:val="20"/>
          <w:szCs w:val="20"/>
        </w:rPr>
        <w:t xml:space="preserve">Blood donation or significant blood loss &gt;500 mL within 56 days prior to screening</w:t>
      </w:r>
    </w:p>
    <w:p>
      <w:pPr>
        <w:pStyle w:val="ListParagraph"/>
        <w:numPr>
          <w:ilvl w:val="0"/>
          <w:numId w:val="3"/>
        </w:numPr>
        <w:spacing w:before="40" w:after="40"/>
      </w:pPr>
      <w:r>
        <w:rPr>
          <w:rFonts w:ascii="Arial" w:cs="Arial" w:eastAsia="Arial" w:hAnsi="Arial"/>
          <w:sz w:val="20"/>
          <w:szCs w:val="20"/>
        </w:rPr>
        <w:t xml:space="preserve">Pregnant or breastfeeding</w:t>
      </w:r>
    </w:p>
    <w:p>
      <w:pPr>
        <w:pStyle w:val="ListParagraph"/>
        <w:numPr>
          <w:ilvl w:val="0"/>
          <w:numId w:val="3"/>
        </w:numPr>
        <w:spacing w:before="40" w:after="40"/>
      </w:pPr>
      <w:r>
        <w:rPr>
          <w:rFonts w:ascii="Arial" w:cs="Arial" w:eastAsia="Arial" w:hAnsi="Arial"/>
          <w:sz w:val="20"/>
          <w:szCs w:val="20"/>
        </w:rPr>
        <w:t xml:space="preserve">Any condition that, in the opinion of the investigator, would make it unsafe or unsuitable for the subject to participate in this study</w:t>
      </w:r>
    </w:p>
    <w:p>
      <w:r>
        <w:br w:type="page"/>
      </w:r>
    </w:p>
    <w:p>
      <w:pPr>
        <w:pStyle w:val="Heading1"/>
        <w:spacing w:before="240" w:after="120"/>
      </w:pPr>
      <w:r>
        <w:rPr>
          <w:rFonts w:ascii="Arial" w:cs="Arial" w:eastAsia="Arial" w:hAnsi="Arial"/>
          <w:b/>
          <w:bCs/>
          <w:color w:val="2E5FA3"/>
          <w:sz w:val="22"/>
          <w:szCs w:val="22"/>
        </w:rPr>
        <w:t xml:space="preserve">5. INVESTIGATIONAL PRODUCT</w:t>
      </w:r>
    </w:p>
    <w:p>
      <w:pPr>
        <w:pStyle w:val="Heading2"/>
        <w:spacing w:before="240" w:after="120"/>
      </w:pPr>
      <w:r>
        <w:rPr>
          <w:rFonts w:ascii="Arial" w:cs="Arial" w:eastAsia="Arial" w:hAnsi="Arial"/>
          <w:b/>
          <w:bCs/>
          <w:color w:val="2E5FA3"/>
          <w:sz w:val="22"/>
          <w:szCs w:val="22"/>
        </w:rPr>
        <w:t xml:space="preserve">5.1 Description and Formulation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Cervimab</w:t>
            </w:r>
          </w:p>
        </w:tc>
      </w:tr>
      <w:tr>
        <w:tc>
          <w:tcPr>
            <w:tcW w:type="dxa" w:w="3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Type</w:t>
            </w:r>
          </w:p>
        </w:tc>
        <w:tc>
          <w:tcPr>
            <w:tcW w:type="dxa" w:w="63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Fully human IgG4 anti-PD-1 monoclonal antibody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Molecular Weight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~148 kDa</w:t>
            </w:r>
          </w:p>
        </w:tc>
      </w:tr>
      <w:tr>
        <w:tc>
          <w:tcPr>
            <w:tcW w:type="dxa" w:w="3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Formulation</w:t>
            </w:r>
          </w:p>
        </w:tc>
        <w:tc>
          <w:tcPr>
            <w:tcW w:type="dxa" w:w="63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150 mg/mL solution for IV infusion; pH 5.5; citrate buffered, polysorbate 80, sucrose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Dose for this study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400 mg (single dose) in 100 mL 0.9% sodium chloride, infused IV over 60 min</w:t>
            </w:r>
          </w:p>
        </w:tc>
      </w:tr>
      <w:tr>
        <w:tc>
          <w:tcPr>
            <w:tcW w:type="dxa" w:w="3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Route</w:t>
            </w:r>
          </w:p>
        </w:tc>
        <w:tc>
          <w:tcPr>
            <w:tcW w:type="dxa" w:w="63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Intravenous infusion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Storage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2–8°C; protect from light; do not freeze</w:t>
            </w:r>
          </w:p>
        </w:tc>
      </w:tr>
      <w:tr>
        <w:tc>
          <w:tcPr>
            <w:tcW w:type="dxa" w:w="3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Manufacturer</w:t>
            </w:r>
          </w:p>
        </w:tc>
        <w:tc>
          <w:tcPr>
            <w:tcW w:type="dxa" w:w="63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Vanguard Oncology Therapeutics, Inc.</w:t>
            </w:r>
          </w:p>
        </w:tc>
      </w:tr>
    </w:tbl>
    <w:p>
      <w:pPr>
        <w:pStyle w:val="Heading2"/>
        <w:spacing w:before="240" w:after="120"/>
      </w:pPr>
      <w:r>
        <w:rPr>
          <w:rFonts w:ascii="Arial" w:cs="Arial" w:eastAsia="Arial" w:hAnsi="Arial"/>
          <w:b/>
          <w:bCs/>
          <w:color w:val="2E5FA3"/>
          <w:sz w:val="22"/>
          <w:szCs w:val="22"/>
        </w:rPr>
        <w:t xml:space="preserve">5.2 Dose Rationale</w:t>
      </w:r>
    </w:p>
    <w:p>
      <w:pPr>
        <w:spacing w:before="60" w:after="60"/>
        <w:jc w:val="both"/>
      </w:pPr>
      <w:r>
        <w:rPr>
          <w:rFonts w:ascii="Arial" w:cs="Arial" w:eastAsia="Arial" w:hAnsi="Arial"/>
          <w:color w:val="000000"/>
          <w:sz w:val="20"/>
          <w:szCs w:val="20"/>
        </w:rPr>
        <w:t xml:space="preserve">The 400 mg dose is the proposed Phase 3 therapeutic dose based on emerging PK/PD and preliminary efficacy data from CRV-101. Single-dose administration is appropriate for food-effect evaluation to isolate PK differences attributable to nutritional state without the confound of accumulation.</w:t>
      </w:r>
    </w:p>
    <w:p>
      <w:r>
        <w:br w:type="page"/>
      </w:r>
    </w:p>
    <w:p>
      <w:pPr>
        <w:pStyle w:val="Heading1"/>
        <w:spacing w:before="240" w:after="120"/>
      </w:pPr>
      <w:r>
        <w:rPr>
          <w:rFonts w:ascii="Arial" w:cs="Arial" w:eastAsia="Arial" w:hAnsi="Arial"/>
          <w:b/>
          <w:bCs/>
          <w:color w:val="2E5FA3"/>
          <w:sz w:val="22"/>
          <w:szCs w:val="22"/>
        </w:rPr>
        <w:t xml:space="preserve">6. PHARMACOKINETIC SAMPLING AND ASSAY</w:t>
      </w:r>
    </w:p>
    <w:p>
      <w:pPr>
        <w:pStyle w:val="Heading2"/>
        <w:spacing w:before="240" w:after="120"/>
      </w:pPr>
      <w:r>
        <w:rPr>
          <w:rFonts w:ascii="Arial" w:cs="Arial" w:eastAsia="Arial" w:hAnsi="Arial"/>
          <w:b/>
          <w:bCs/>
          <w:color w:val="2E5FA3"/>
          <w:sz w:val="22"/>
          <w:szCs w:val="22"/>
        </w:rPr>
        <w:t xml:space="preserve">6.1 Blood Sampling Schedule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Nominal Time (h)</w:t>
            </w:r>
          </w:p>
        </w:tc>
        <w:tc>
          <w:tcPr>
            <w:tcW w:type="dxa" w:w="3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Actual Timing Description</w:t>
            </w:r>
          </w:p>
        </w:tc>
        <w:tc>
          <w:tcPr>
            <w:tcW w:type="dxa" w:w="3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Pre-dose (0)</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Within 30 min prior to start of infusion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Baseline sample</w:t>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0.5</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30 min after infusion start</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Mid-infusion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 (EOI)</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Immediately at end of 60-min infusion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End of infusion = Cmax for IV</w:t>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2</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1 h post-EOI</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 h post-EOI</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8</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7 h post-EOI</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24</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2 (~24 h post-dose)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Overnight stay Day 1–2</w:t>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48</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3</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72</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4</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96</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5</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168 (Day 8)</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8</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336 (Day 15)</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Day 15</w:t>
            </w:r>
          </w:p>
        </w:tc>
        <w:tc>
          <w:tcPr>
            <w:tcW w:type="dxa" w:w="36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504 (Day 22)</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Day 22</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Final PK / Follow-up</w:t>
            </w:r>
          </w:p>
        </w:tc>
      </w:tr>
    </w:tbl>
    <w:p>
      <w:pPr>
        <w:spacing w:before="60" w:after="60"/>
      </w:pPr>
      <w:r>
        <w:t xml:space="preserve"/>
      </w:r>
    </w:p>
    <w:p>
      <w:pPr>
        <w:spacing w:before="60" w:after="60"/>
        <w:jc w:val="both"/>
      </w:pPr>
      <w:r>
        <w:rPr>
          <w:rFonts w:ascii="Arial" w:cs="Arial" w:eastAsia="Arial" w:hAnsi="Arial"/>
          <w:color w:val="000000"/>
          <w:sz w:val="20"/>
          <w:szCs w:val="20"/>
        </w:rPr>
        <w:t xml:space="preserve">Volume per sample: 6 mL (serum separator tube). Samples will be processed and stored at −70°C ± 10°C within 60 minutes of collection.</w:t>
      </w:r>
    </w:p>
    <w:p>
      <w:pPr>
        <w:pStyle w:val="Heading2"/>
        <w:spacing w:before="240" w:after="120"/>
      </w:pPr>
      <w:r>
        <w:rPr>
          <w:rFonts w:ascii="Arial" w:cs="Arial" w:eastAsia="Arial" w:hAnsi="Arial"/>
          <w:b/>
          <w:bCs/>
          <w:color w:val="2E5FA3"/>
          <w:sz w:val="22"/>
          <w:szCs w:val="22"/>
        </w:rPr>
        <w:t xml:space="preserve">6.2 Bioanalytical Methods</w:t>
      </w:r>
    </w:p>
    <w:p>
      <w:pPr>
        <w:spacing w:before="60" w:after="60"/>
        <w:jc w:val="both"/>
      </w:pPr>
      <w:r>
        <w:rPr>
          <w:rFonts w:ascii="Arial" w:cs="Arial" w:eastAsia="Arial" w:hAnsi="Arial"/>
          <w:color w:val="000000"/>
          <w:sz w:val="20"/>
          <w:szCs w:val="20"/>
        </w:rPr>
        <w:t xml:space="preserve">Serum cervimab concentrations will be measured using a validated enzyme-linked immunosorbent assay (ELISA) developed and qualified by [Bioanalytical Laboratory Name]. The assay was validated in accordance with:</w:t>
      </w:r>
    </w:p>
    <w:p>
      <w:pPr>
        <w:pStyle w:val="ListParagraph"/>
        <w:numPr>
          <w:ilvl w:val="0"/>
          <w:numId w:val="2"/>
        </w:numPr>
        <w:spacing w:before="40" w:after="40"/>
      </w:pPr>
      <w:r>
        <w:rPr>
          <w:rFonts w:ascii="Arial" w:cs="Arial" w:eastAsia="Arial" w:hAnsi="Arial"/>
          <w:sz w:val="20"/>
          <w:szCs w:val="20"/>
        </w:rPr>
        <w:t xml:space="preserve">FDA Guidance: Bioanalytical Method Validation (May 2018)</w:t>
      </w:r>
    </w:p>
    <w:p>
      <w:pPr>
        <w:pStyle w:val="ListParagraph"/>
        <w:numPr>
          <w:ilvl w:val="0"/>
          <w:numId w:val="2"/>
        </w:numPr>
        <w:spacing w:before="40" w:after="40"/>
      </w:pPr>
      <w:r>
        <w:rPr>
          <w:rFonts w:ascii="Arial" w:cs="Arial" w:eastAsia="Arial" w:hAnsi="Arial"/>
          <w:sz w:val="20"/>
          <w:szCs w:val="20"/>
        </w:rPr>
        <w:t xml:space="preserve">EMA Guideline: Guideline on Bioanalytical Method Validation (EMEA/CHMP/EWP/192217/2009 Rev. 1)</w:t>
      </w:r>
    </w:p>
    <w:p>
      <w:pPr>
        <w:spacing w:before="60" w:after="60"/>
        <w:jc w:val="both"/>
      </w:pPr>
      <w:r>
        <w:rPr>
          <w:rFonts w:ascii="Arial" w:cs="Arial" w:eastAsia="Arial" w:hAnsi="Arial"/>
          <w:color w:val="000000"/>
          <w:sz w:val="20"/>
          <w:szCs w:val="20"/>
        </w:rPr>
        <w:t xml:space="preserve">Assay performance parameters include:</w:t>
      </w:r>
    </w:p>
    <w:p>
      <w:pPr>
        <w:pStyle w:val="ListParagraph"/>
        <w:numPr>
          <w:ilvl w:val="0"/>
          <w:numId w:val="2"/>
        </w:numPr>
        <w:spacing w:before="40" w:after="40"/>
      </w:pPr>
      <w:r>
        <w:rPr>
          <w:rFonts w:ascii="Arial" w:cs="Arial" w:eastAsia="Arial" w:hAnsi="Arial"/>
          <w:sz w:val="20"/>
          <w:szCs w:val="20"/>
        </w:rPr>
        <w:t xml:space="preserve">Lower limit of quantification (LLOQ): 0.10 μg/mL</w:t>
      </w:r>
    </w:p>
    <w:p>
      <w:pPr>
        <w:pStyle w:val="ListParagraph"/>
        <w:numPr>
          <w:ilvl w:val="0"/>
          <w:numId w:val="2"/>
        </w:numPr>
        <w:spacing w:before="40" w:after="40"/>
      </w:pPr>
      <w:r>
        <w:rPr>
          <w:rFonts w:ascii="Arial" w:cs="Arial" w:eastAsia="Arial" w:hAnsi="Arial"/>
          <w:sz w:val="20"/>
          <w:szCs w:val="20"/>
        </w:rPr>
        <w:t xml:space="preserve">Upper limit of quantification (ULOQ): 100 μg/mL</w:t>
      </w:r>
    </w:p>
    <w:p>
      <w:pPr>
        <w:pStyle w:val="ListParagraph"/>
        <w:numPr>
          <w:ilvl w:val="0"/>
          <w:numId w:val="2"/>
        </w:numPr>
        <w:spacing w:before="40" w:after="40"/>
      </w:pPr>
      <w:r>
        <w:rPr>
          <w:rFonts w:ascii="Arial" w:cs="Arial" w:eastAsia="Arial" w:hAnsi="Arial"/>
          <w:sz w:val="20"/>
          <w:szCs w:val="20"/>
        </w:rPr>
        <w:t xml:space="preserve">Intra-run precision (%CV): ≤15% (≤20% at LLOQ)</w:t>
      </w:r>
    </w:p>
    <w:p>
      <w:pPr>
        <w:pStyle w:val="ListParagraph"/>
        <w:numPr>
          <w:ilvl w:val="0"/>
          <w:numId w:val="2"/>
        </w:numPr>
        <w:spacing w:before="40" w:after="40"/>
      </w:pPr>
      <w:r>
        <w:rPr>
          <w:rFonts w:ascii="Arial" w:cs="Arial" w:eastAsia="Arial" w:hAnsi="Arial"/>
          <w:sz w:val="20"/>
          <w:szCs w:val="20"/>
        </w:rPr>
        <w:t xml:space="preserve">Inter-run precision (%CV): ≤15% (≤20% at LLOQ)</w:t>
      </w:r>
    </w:p>
    <w:p>
      <w:pPr>
        <w:pStyle w:val="ListParagraph"/>
        <w:numPr>
          <w:ilvl w:val="0"/>
          <w:numId w:val="2"/>
        </w:numPr>
        <w:spacing w:before="40" w:after="40"/>
      </w:pPr>
      <w:r>
        <w:rPr>
          <w:rFonts w:ascii="Arial" w:cs="Arial" w:eastAsia="Arial" w:hAnsi="Arial"/>
          <w:sz w:val="20"/>
          <w:szCs w:val="20"/>
        </w:rPr>
        <w:t xml:space="preserve">Accuracy: 85–115% (80–120% at LLOQ)</w:t>
      </w:r>
    </w:p>
    <w:p>
      <w:pPr>
        <w:spacing w:before="60" w:after="60"/>
        <w:jc w:val="both"/>
      </w:pPr>
      <w:r>
        <w:rPr>
          <w:rFonts w:ascii="Arial" w:cs="Arial" w:eastAsia="Arial" w:hAnsi="Arial"/>
          <w:color w:val="000000"/>
          <w:sz w:val="20"/>
          <w:szCs w:val="20"/>
        </w:rPr>
        <w:t xml:space="preserve">Anti-drug antibody (ADA) and neutralizing antibody (nAb) assessments will be performed on pre-dose samples from each period and at the end-of-study visit, using validated immunogenicity assays consistent with FDA guidance on Immunogenicity Testing of Therapeutic Protein Products (January 2019).</w:t>
      </w:r>
    </w:p>
    <w:p>
      <w:r>
        <w:br w:type="page"/>
      </w:r>
    </w:p>
    <w:p>
      <w:pPr>
        <w:pStyle w:val="Heading1"/>
        <w:spacing w:before="240" w:after="120"/>
      </w:pPr>
      <w:r>
        <w:rPr>
          <w:rFonts w:ascii="Arial" w:cs="Arial" w:eastAsia="Arial" w:hAnsi="Arial"/>
          <w:b/>
          <w:bCs/>
          <w:color w:val="2E5FA3"/>
          <w:sz w:val="22"/>
          <w:szCs w:val="22"/>
        </w:rPr>
        <w:t xml:space="preserve">7. PHARMACOKINETIC AND STATISTICAL ANALYSES</w:t>
      </w:r>
    </w:p>
    <w:p>
      <w:pPr>
        <w:pStyle w:val="Heading2"/>
        <w:spacing w:before="240" w:after="120"/>
      </w:pPr>
      <w:r>
        <w:rPr>
          <w:rFonts w:ascii="Arial" w:cs="Arial" w:eastAsia="Arial" w:hAnsi="Arial"/>
          <w:b/>
          <w:bCs/>
          <w:color w:val="2E5FA3"/>
          <w:sz w:val="22"/>
          <w:szCs w:val="22"/>
        </w:rPr>
        <w:t xml:space="preserve">7.1 PK Parameter Estimation</w:t>
      </w:r>
    </w:p>
    <w:p>
      <w:pPr>
        <w:spacing w:before="60" w:after="60"/>
        <w:jc w:val="both"/>
      </w:pPr>
      <w:r>
        <w:rPr>
          <w:rFonts w:ascii="Arial" w:cs="Arial" w:eastAsia="Arial" w:hAnsi="Arial"/>
          <w:color w:val="000000"/>
          <w:sz w:val="20"/>
          <w:szCs w:val="20"/>
        </w:rPr>
        <w:t xml:space="preserve">Individual PK parameters will be estimated using non-compartmental analysis (NCA) with Phoenix WinNonlin (Version 8.3 or higher). The following parameters will be derived: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Units</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Cmax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μg/mL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Maximum observed serum concentration</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Tmax</w:t>
            </w:r>
          </w:p>
        </w:tc>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h</w:t>
            </w:r>
          </w:p>
        </w:tc>
        <w:tc>
          <w:tcPr>
            <w:tcW w:type="dxa" w:w="5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Time of maximum observed concentration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AUC0-t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μg·h/mL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AUC from time zero to last measurable concentration (linear-log trapezoid)</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AUC0-∞</w:t>
            </w:r>
          </w:p>
        </w:tc>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μg·h/mL</w:t>
            </w:r>
          </w:p>
        </w:tc>
        <w:tc>
          <w:tcPr>
            <w:tcW w:type="dxa" w:w="5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AUC from time zero to infinity (AUC0-t + Clast/λz)</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t½</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Terminal elimination half-life (0.693/λz)</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CL</w:t>
            </w:r>
          </w:p>
        </w:tc>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mL/h/kg</w:t>
            </w:r>
          </w:p>
        </w:tc>
        <w:tc>
          <w:tcPr>
            <w:tcW w:type="dxa" w:w="5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Total systemic clearance (Dose/AUC0-∞)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mL/kg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Volume of distribution at steady state (AUMC method)</w:t>
            </w:r>
          </w:p>
        </w:tc>
      </w:tr>
      <w:tr>
        <w:tc>
          <w:tcPr>
            <w:tcW w:type="dxa" w:w="22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%AUCextrap</w:t>
            </w:r>
          </w:p>
        </w:tc>
        <w:tc>
          <w:tcPr>
            <w:tcW w:type="dxa" w:w="2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w:t>
            </w:r>
          </w:p>
        </w:tc>
        <w:tc>
          <w:tcPr>
            <w:tcW w:type="dxa" w:w="5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18"/>
                <w:szCs w:val="18"/>
              </w:rPr>
              <w:t xml:space="preserve">Percentage of AUC0-∞ attributed to extrapolation (AUC0-∞ − AUC0-t)/AUC0-∞ × 100</w:t>
            </w:r>
          </w:p>
        </w:tc>
      </w:tr>
    </w:tbl>
    <w:p>
      <w:pPr>
        <w:spacing w:before="60" w:after="60"/>
      </w:pPr>
      <w:r>
        <w:t xml:space="preserve"/>
      </w:r>
    </w:p>
    <w:p>
      <w:pPr>
        <w:spacing w:before="60" w:after="60"/>
        <w:jc w:val="both"/>
      </w:pPr>
      <w:r>
        <w:rPr>
          <w:rFonts w:ascii="Arial" w:cs="Arial" w:eastAsia="Arial" w:hAnsi="Arial"/>
          <w:color w:val="000000"/>
          <w:sz w:val="20"/>
          <w:szCs w:val="20"/>
        </w:rPr>
        <w:t xml:space="preserve">Terminal elimination rate constant (λz) will be estimated by log-linear regression of the terminal portion of the concentration-time curve using at least 3 data points with an adjusted r² ≥ 0.90. If %AUCextrap &gt;20%, AUC0-∞ will not be used as a primary endpoint.</w:t>
      </w:r>
    </w:p>
    <w:p>
      <w:pPr>
        <w:pStyle w:val="Heading2"/>
        <w:spacing w:before="240" w:after="120"/>
      </w:pPr>
      <w:r>
        <w:rPr>
          <w:rFonts w:ascii="Arial" w:cs="Arial" w:eastAsia="Arial" w:hAnsi="Arial"/>
          <w:b/>
          <w:bCs/>
          <w:color w:val="2E5FA3"/>
          <w:sz w:val="22"/>
          <w:szCs w:val="22"/>
        </w:rPr>
        <w:t xml:space="preserve">7.2 Statistical Analysis of Food Effect</w:t>
      </w:r>
    </w:p>
    <w:p>
      <w:pPr>
        <w:spacing w:before="60" w:after="60"/>
        <w:jc w:val="both"/>
      </w:pPr>
      <w:r>
        <w:rPr>
          <w:rFonts w:ascii="Arial" w:cs="Arial" w:eastAsia="Arial" w:hAnsi="Arial"/>
          <w:color w:val="000000"/>
          <w:sz w:val="20"/>
          <w:szCs w:val="20"/>
        </w:rPr>
        <w:t xml:space="preserve">The food effect statistical analysis will employ a mixed-effects analysis of variance (ANOVA) model on the natural log-transformed PK parameters (Cmax, AUC0-t, AUC0-∞). The model will include fixed effects for sequence, period, and treatment (Fed vs. Fasted), and a random effect for subject within sequence.</w:t>
      </w:r>
    </w:p>
    <w:p>
      <w:pPr>
        <w:spacing w:before="60" w:after="60"/>
        <w:jc w:val="both"/>
      </w:pPr>
      <w:r>
        <w:rPr>
          <w:rFonts w:ascii="Arial" w:cs="Arial" w:eastAsia="Arial" w:hAnsi="Arial"/>
          <w:color w:val="000000"/>
          <w:sz w:val="20"/>
          <w:szCs w:val="20"/>
        </w:rPr>
        <w:t xml:space="preserve">Point estimates and 90% confidence intervals (CIs) for the geometric mean ratios (GMR: Fed/Fasted) will be back-transformed from the log scale and reported as percent ratios with 90% CIs. A food effect is considered absent if the 90% CI for both Cmax and AUC falls entirely within 80.00%–125.00%, consistent with FDA bioequivalence criteria.</w:t>
      </w:r>
    </w:p>
    <w:p>
      <w:pPr>
        <w:spacing w:before="60" w:after="60"/>
        <w:jc w:val="both"/>
      </w:pPr>
      <w:r>
        <w:rPr>
          <w:rFonts w:ascii="Arial" w:cs="Arial" w:eastAsia="Arial" w:hAnsi="Arial"/>
          <w:color w:val="000000"/>
          <w:sz w:val="20"/>
          <w:szCs w:val="20"/>
        </w:rPr>
        <w:t xml:space="preserve">Tmax will be analyzed non-parametrically using the Wilcoxon signed-rank test. All analyses will be performed using SAS Version 9.4 (or higher).</w:t>
      </w:r>
    </w:p>
    <w:p>
      <w:pPr>
        <w:pStyle w:val="Heading2"/>
        <w:spacing w:before="240" w:after="120"/>
      </w:pPr>
      <w:r>
        <w:rPr>
          <w:rFonts w:ascii="Arial" w:cs="Arial" w:eastAsia="Arial" w:hAnsi="Arial"/>
          <w:b/>
          <w:bCs/>
          <w:color w:val="2E5FA3"/>
          <w:sz w:val="22"/>
          <w:szCs w:val="22"/>
        </w:rPr>
        <w:t xml:space="preserve">7.3 Sample Size Justification</w:t>
      </w:r>
    </w:p>
    <w:p>
      <w:pPr>
        <w:spacing w:before="60" w:after="60"/>
        <w:jc w:val="both"/>
      </w:pPr>
      <w:r>
        <w:rPr>
          <w:rFonts w:ascii="Arial" w:cs="Arial" w:eastAsia="Arial" w:hAnsi="Arial"/>
          <w:color w:val="000000"/>
          <w:sz w:val="20"/>
          <w:szCs w:val="20"/>
        </w:rPr>
        <w:t xml:space="preserve">A sample size of 24 subjects (12 per sequence) provides approximately 90% power to conclude the absence of a food effect (90% CI within 80–125%) for Cmax and AUC, assuming:</w:t>
      </w:r>
    </w:p>
    <w:p>
      <w:pPr>
        <w:pStyle w:val="ListParagraph"/>
        <w:numPr>
          <w:ilvl w:val="0"/>
          <w:numId w:val="2"/>
        </w:numPr>
        <w:spacing w:before="40" w:after="40"/>
      </w:pPr>
      <w:r>
        <w:rPr>
          <w:rFonts w:ascii="Arial" w:cs="Arial" w:eastAsia="Arial" w:hAnsi="Arial"/>
          <w:sz w:val="20"/>
          <w:szCs w:val="20"/>
        </w:rPr>
        <w:t xml:space="preserve">True Fed/Fasted GMR of 1.00 (no food effect expected)</w:t>
      </w:r>
    </w:p>
    <w:p>
      <w:pPr>
        <w:pStyle w:val="ListParagraph"/>
        <w:numPr>
          <w:ilvl w:val="0"/>
          <w:numId w:val="2"/>
        </w:numPr>
        <w:spacing w:before="40" w:after="40"/>
      </w:pPr>
      <w:r>
        <w:rPr>
          <w:rFonts w:ascii="Arial" w:cs="Arial" w:eastAsia="Arial" w:hAnsi="Arial"/>
          <w:sz w:val="20"/>
          <w:szCs w:val="20"/>
        </w:rPr>
        <w:t xml:space="preserve">Intra-subject CV of 20% (conservative estimate based on IgG4 mAb PK variability in the literature)</w:t>
      </w:r>
    </w:p>
    <w:p>
      <w:pPr>
        <w:pStyle w:val="ListParagraph"/>
        <w:numPr>
          <w:ilvl w:val="0"/>
          <w:numId w:val="2"/>
        </w:numPr>
        <w:spacing w:before="40" w:after="40"/>
      </w:pPr>
      <w:r>
        <w:rPr>
          <w:rFonts w:ascii="Arial" w:cs="Arial" w:eastAsia="Arial" w:hAnsi="Arial"/>
          <w:sz w:val="20"/>
          <w:szCs w:val="20"/>
        </w:rPr>
        <w:t xml:space="preserve">Two-sided significance level α = 0.10 (corresponding to 90% CI)</w:t>
      </w:r>
    </w:p>
    <w:p>
      <w:pPr>
        <w:spacing w:before="60" w:after="60"/>
        <w:jc w:val="both"/>
      </w:pPr>
      <w:r>
        <w:rPr>
          <w:rFonts w:ascii="Arial" w:cs="Arial" w:eastAsia="Arial" w:hAnsi="Arial"/>
          <w:color w:val="000000"/>
          <w:sz w:val="20"/>
          <w:szCs w:val="20"/>
        </w:rPr>
        <w:t xml:space="preserve">To account for a potential dropout rate of up to 10%, a total of 26 subjects will be enrolled, targeting 24 completers.</w:t>
      </w:r>
    </w:p>
    <w:p>
      <w:r>
        <w:br w:type="page"/>
      </w:r>
    </w:p>
    <w:p>
      <w:pPr>
        <w:pStyle w:val="Heading1"/>
        <w:spacing w:before="240" w:after="120"/>
      </w:pPr>
      <w:r>
        <w:rPr>
          <w:rFonts w:ascii="Arial" w:cs="Arial" w:eastAsia="Arial" w:hAnsi="Arial"/>
          <w:b/>
          <w:bCs/>
          <w:color w:val="2E5FA3"/>
          <w:sz w:val="22"/>
          <w:szCs w:val="22"/>
        </w:rPr>
        <w:t xml:space="preserve">8. SAFETY ASSESSMENTS</w:t>
      </w:r>
    </w:p>
    <w:p>
      <w:pPr>
        <w:pStyle w:val="Heading2"/>
        <w:spacing w:before="240" w:after="120"/>
      </w:pPr>
      <w:r>
        <w:rPr>
          <w:rFonts w:ascii="Arial" w:cs="Arial" w:eastAsia="Arial" w:hAnsi="Arial"/>
          <w:b/>
          <w:bCs/>
          <w:color w:val="2E5FA3"/>
          <w:sz w:val="22"/>
          <w:szCs w:val="22"/>
        </w:rPr>
        <w:t xml:space="preserve">8.1 Safety Monitoring</w:t>
      </w:r>
    </w:p>
    <w:p>
      <w:pPr>
        <w:spacing w:before="60" w:after="60"/>
        <w:jc w:val="both"/>
      </w:pPr>
      <w:r>
        <w:rPr>
          <w:rFonts w:ascii="Arial" w:cs="Arial" w:eastAsia="Arial" w:hAnsi="Arial"/>
          <w:color w:val="000000"/>
          <w:sz w:val="20"/>
          <w:szCs w:val="20"/>
        </w:rPr>
        <w:t xml:space="preserve">Safety assessments will include: physical examinations, vital signs, clinical laboratory tests (hematology, serum chemistry, urinalysis), 12-lead ECG, and monitoring for adverse events (AEs) including infusion-related reactions (IRRs). AEs will be graded per NCI Common Terminology Criteria for Adverse Events (CTCAE) v5.0. Immune-mediated adverse events (imAEs) will be assessed using standardized case definitions.</w:t>
      </w:r>
    </w:p>
    <w:p>
      <w:pPr>
        <w:pStyle w:val="Heading2"/>
        <w:spacing w:before="240" w:after="120"/>
      </w:pPr>
      <w:r>
        <w:rPr>
          <w:rFonts w:ascii="Arial" w:cs="Arial" w:eastAsia="Arial" w:hAnsi="Arial"/>
          <w:b/>
          <w:bCs/>
          <w:color w:val="2E5FA3"/>
          <w:sz w:val="22"/>
          <w:szCs w:val="22"/>
        </w:rPr>
        <w:t xml:space="preserve">8.2 Infusion-Related Reaction Management</w:t>
      </w:r>
    </w:p>
    <w:p>
      <w:pPr>
        <w:spacing w:before="60" w:after="60"/>
        <w:jc w:val="both"/>
      </w:pPr>
      <w:r>
        <w:rPr>
          <w:rFonts w:ascii="Arial" w:cs="Arial" w:eastAsia="Arial" w:hAnsi="Arial"/>
          <w:color w:val="000000"/>
          <w:sz w:val="20"/>
          <w:szCs w:val="20"/>
        </w:rPr>
        <w:t xml:space="preserve">All subjects will be monitored for IRRs during and for ≥2 hours post-infusion. Resuscitation equipment and medications (epinephrine, corticosteroids, antihistamines, bronchodilators) will be immediately available. Grade ≥3 IRRs will result in permanent discontinuation of cervimab in the affected subject.</w:t>
      </w:r>
    </w:p>
    <w:p>
      <w:pPr>
        <w:pStyle w:val="Heading2"/>
        <w:spacing w:before="240" w:after="120"/>
      </w:pPr>
      <w:r>
        <w:rPr>
          <w:rFonts w:ascii="Arial" w:cs="Arial" w:eastAsia="Arial" w:hAnsi="Arial"/>
          <w:b/>
          <w:bCs/>
          <w:color w:val="2E5FA3"/>
          <w:sz w:val="22"/>
          <w:szCs w:val="22"/>
        </w:rPr>
        <w:t xml:space="preserve">8.3 Stopping Rules</w:t>
      </w:r>
    </w:p>
    <w:p>
      <w:pPr>
        <w:spacing w:before="60" w:after="60"/>
        <w:jc w:val="both"/>
      </w:pPr>
      <w:r>
        <w:rPr>
          <w:rFonts w:ascii="Arial" w:cs="Arial" w:eastAsia="Arial" w:hAnsi="Arial"/>
          <w:color w:val="000000"/>
          <w:sz w:val="20"/>
          <w:szCs w:val="20"/>
        </w:rPr>
        <w:t xml:space="preserve">The study will be placed on clinical hold and reviewed if any of the following events occur:</w:t>
      </w:r>
    </w:p>
    <w:p>
      <w:pPr>
        <w:pStyle w:val="ListParagraph"/>
        <w:numPr>
          <w:ilvl w:val="0"/>
          <w:numId w:val="2"/>
        </w:numPr>
        <w:spacing w:before="40" w:after="40"/>
      </w:pPr>
      <w:r>
        <w:rPr>
          <w:rFonts w:ascii="Arial" w:cs="Arial" w:eastAsia="Arial" w:hAnsi="Arial"/>
          <w:sz w:val="20"/>
          <w:szCs w:val="20"/>
        </w:rPr>
        <w:t xml:space="preserve">Any Grade 4 or Grade 5 AE deemed related to cervimab</w:t>
      </w:r>
    </w:p>
    <w:p>
      <w:pPr>
        <w:pStyle w:val="ListParagraph"/>
        <w:numPr>
          <w:ilvl w:val="0"/>
          <w:numId w:val="2"/>
        </w:numPr>
        <w:spacing w:before="40" w:after="40"/>
      </w:pPr>
      <w:r>
        <w:rPr>
          <w:rFonts w:ascii="Arial" w:cs="Arial" w:eastAsia="Arial" w:hAnsi="Arial"/>
          <w:sz w:val="20"/>
          <w:szCs w:val="20"/>
        </w:rPr>
        <w:t xml:space="preserve">Two or more Grade 3 immune-mediated AEs in the same subject</w:t>
      </w:r>
    </w:p>
    <w:p>
      <w:pPr>
        <w:pStyle w:val="ListParagraph"/>
        <w:numPr>
          <w:ilvl w:val="0"/>
          <w:numId w:val="2"/>
        </w:numPr>
        <w:spacing w:before="40" w:after="40"/>
      </w:pPr>
      <w:r>
        <w:rPr>
          <w:rFonts w:ascii="Arial" w:cs="Arial" w:eastAsia="Arial" w:hAnsi="Arial"/>
          <w:sz w:val="20"/>
          <w:szCs w:val="20"/>
        </w:rPr>
        <w:t xml:space="preserve">Any unexpected serious adverse event that suggests a significant risk to participants</w:t>
      </w:r>
    </w:p>
    <w:p>
      <w:r>
        <w:br w:type="page"/>
      </w:r>
    </w:p>
    <w:p>
      <w:pPr>
        <w:pStyle w:val="Heading1"/>
        <w:spacing w:before="240" w:after="120"/>
      </w:pPr>
      <w:r>
        <w:rPr>
          <w:rFonts w:ascii="Arial" w:cs="Arial" w:eastAsia="Arial" w:hAnsi="Arial"/>
          <w:b/>
          <w:bCs/>
          <w:color w:val="2E5FA3"/>
          <w:sz w:val="22"/>
          <w:szCs w:val="22"/>
        </w:rPr>
        <w:t xml:space="preserve">9. ETHICAL AND REGULATORY CONSIDERATIONS</w:t>
      </w:r>
    </w:p>
    <w:p>
      <w:pPr>
        <w:pStyle w:val="Heading2"/>
        <w:spacing w:before="240" w:after="120"/>
      </w:pPr>
      <w:r>
        <w:rPr>
          <w:rFonts w:ascii="Arial" w:cs="Arial" w:eastAsia="Arial" w:hAnsi="Arial"/>
          <w:b/>
          <w:bCs/>
          <w:color w:val="2E5FA3"/>
          <w:sz w:val="22"/>
          <w:szCs w:val="22"/>
        </w:rPr>
        <w:t xml:space="preserve">9.1 Informed Consent</w:t>
      </w:r>
    </w:p>
    <w:p>
      <w:pPr>
        <w:spacing w:before="60" w:after="60"/>
        <w:jc w:val="both"/>
      </w:pPr>
      <w:r>
        <w:rPr>
          <w:rFonts w:ascii="Arial" w:cs="Arial" w:eastAsia="Arial" w:hAnsi="Arial"/>
          <w:color w:val="000000"/>
          <w:sz w:val="20"/>
          <w:szCs w:val="20"/>
        </w:rPr>
        <w:t xml:space="preserve">Written informed consent will be obtained from each subject prior to any study-specific procedures. The consent process will be conducted in accordance with 21 CFR Part 50, ICH E6(R2), and applicable local regulations.</w:t>
      </w:r>
    </w:p>
    <w:p>
      <w:pPr>
        <w:pStyle w:val="Heading2"/>
        <w:spacing w:before="240" w:after="120"/>
      </w:pPr>
      <w:r>
        <w:rPr>
          <w:rFonts w:ascii="Arial" w:cs="Arial" w:eastAsia="Arial" w:hAnsi="Arial"/>
          <w:b/>
          <w:bCs/>
          <w:color w:val="2E5FA3"/>
          <w:sz w:val="22"/>
          <w:szCs w:val="22"/>
        </w:rPr>
        <w:t xml:space="preserve">9.2 IRB/IEC Approval</w:t>
      </w:r>
    </w:p>
    <w:p>
      <w:pPr>
        <w:spacing w:before="60" w:after="60"/>
        <w:jc w:val="both"/>
      </w:pPr>
      <w:r>
        <w:rPr>
          <w:rFonts w:ascii="Arial" w:cs="Arial" w:eastAsia="Arial" w:hAnsi="Arial"/>
          <w:color w:val="000000"/>
          <w:sz w:val="20"/>
          <w:szCs w:val="20"/>
        </w:rPr>
        <w:t xml:space="preserve">This protocol, the informed consent form, and all subject-facing materials must be reviewed and approved by a duly constituted Institutional Review Board (IRB) or Independent Ethics Committee (IEC) before enrollment begins. Amendments will be submitted for approval prior to implementation.</w:t>
      </w:r>
    </w:p>
    <w:p>
      <w:pPr>
        <w:pStyle w:val="Heading2"/>
        <w:spacing w:before="240" w:after="120"/>
      </w:pPr>
      <w:r>
        <w:rPr>
          <w:rFonts w:ascii="Arial" w:cs="Arial" w:eastAsia="Arial" w:hAnsi="Arial"/>
          <w:b/>
          <w:bCs/>
          <w:color w:val="2E5FA3"/>
          <w:sz w:val="22"/>
          <w:szCs w:val="22"/>
        </w:rPr>
        <w:t xml:space="preserve">9.3 Data Privacy</w:t>
      </w:r>
    </w:p>
    <w:p>
      <w:pPr>
        <w:spacing w:before="60" w:after="60"/>
        <w:jc w:val="both"/>
      </w:pPr>
      <w:r>
        <w:rPr>
          <w:rFonts w:ascii="Arial" w:cs="Arial" w:eastAsia="Arial" w:hAnsi="Arial"/>
          <w:color w:val="000000"/>
          <w:sz w:val="20"/>
          <w:szCs w:val="20"/>
        </w:rPr>
        <w:t xml:space="preserve">All subject data will be handled in accordance with applicable data privacy regulations, including the Health Insurance Portability and Accountability Act (HIPAA) and, where applicable, the General Data Protection Regulation (GDPR). Subjects will be identified by a unique subject identifier code only.</w:t>
      </w:r>
    </w:p>
    <w:p>
      <w:r>
        <w:br w:type="page"/>
      </w:r>
    </w:p>
    <w:p>
      <w:pPr>
        <w:pStyle w:val="Heading1"/>
        <w:spacing w:before="240" w:after="120"/>
      </w:pPr>
      <w:r>
        <w:rPr>
          <w:rFonts w:ascii="Arial" w:cs="Arial" w:eastAsia="Arial" w:hAnsi="Arial"/>
          <w:b/>
          <w:bCs/>
          <w:color w:val="2E5FA3"/>
          <w:sz w:val="22"/>
          <w:szCs w:val="22"/>
        </w:rPr>
        <w:t xml:space="preserve">10. REFERENCES</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Food-Effect Bioavailability and Fed Bioequivalence Studies. January 2002.</w:t>
      </w:r>
    </w:p>
    <w:p>
      <w:pPr>
        <w:pStyle w:val="ListParagraph"/>
        <w:numPr>
          <w:ilvl w:val="0"/>
          <w:numId w:val="3"/>
        </w:numPr>
        <w:spacing w:before="40" w:after="40"/>
      </w:pPr>
      <w:r>
        <w:rPr>
          <w:rFonts w:ascii="Arial" w:cs="Arial" w:eastAsia="Arial" w:hAnsi="Arial"/>
          <w:sz w:val="20"/>
          <w:szCs w:val="20"/>
        </w:rPr>
        <w:t xml:space="preserve">U.S. Food and Drug Administration. Draft Guidance for Industry: Clinical Pharmacology Considerations for the Development of Monoclonal Antibodies. 2022.</w:t>
      </w:r>
    </w:p>
    <w:p>
      <w:pPr>
        <w:pStyle w:val="ListParagraph"/>
        <w:numPr>
          <w:ilvl w:val="0"/>
          <w:numId w:val="3"/>
        </w:numPr>
        <w:spacing w:before="40" w:after="40"/>
      </w:pPr>
      <w:r>
        <w:rPr>
          <w:rFonts w:ascii="Arial" w:cs="Arial" w:eastAsia="Arial" w:hAnsi="Arial"/>
          <w:sz w:val="20"/>
          <w:szCs w:val="20"/>
        </w:rPr>
        <w:t xml:space="preserve">ICH E6(R2). Good Clinical Practice: Integrated Addendum to ICH E6(R1). November 2016.</w:t>
      </w:r>
    </w:p>
    <w:p>
      <w:pPr>
        <w:pStyle w:val="ListParagraph"/>
        <w:numPr>
          <w:ilvl w:val="0"/>
          <w:numId w:val="3"/>
        </w:numPr>
        <w:spacing w:before="40" w:after="40"/>
      </w:pPr>
      <w:r>
        <w:rPr>
          <w:rFonts w:ascii="Arial" w:cs="Arial" w:eastAsia="Arial" w:hAnsi="Arial"/>
          <w:sz w:val="20"/>
          <w:szCs w:val="20"/>
        </w:rPr>
        <w:t xml:space="preserve">ICH E8(R1). General Considerations for Clinical Studies. October 2021.</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Bioanalytical Method Validation. May 2018.</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Immunogenicity Testing of Therapeutic Protein Products — Developing and Validating Assays for Anti-Drug Antibody Detection. January 2019.</w:t>
      </w:r>
    </w:p>
    <w:p>
      <w:pPr>
        <w:pStyle w:val="ListParagraph"/>
        <w:numPr>
          <w:ilvl w:val="0"/>
          <w:numId w:val="3"/>
        </w:numPr>
        <w:spacing w:before="40" w:after="40"/>
      </w:pPr>
      <w:r>
        <w:rPr>
          <w:rFonts w:ascii="Arial" w:cs="Arial" w:eastAsia="Arial" w:hAnsi="Arial"/>
          <w:sz w:val="20"/>
          <w:szCs w:val="20"/>
        </w:rPr>
        <w:t xml:space="preserve">Dirks NL, Meibohm B. Population pharmacokinetics of therapeutic monoclonal antibodies. Clin Pharmacokinet. 2010;49(10):633–659.</w:t>
      </w:r>
    </w:p>
    <w:p>
      <w:pPr>
        <w:pStyle w:val="ListParagraph"/>
        <w:numPr>
          <w:ilvl w:val="0"/>
          <w:numId w:val="3"/>
        </w:numPr>
        <w:spacing w:before="40" w:after="40"/>
      </w:pPr>
      <w:r>
        <w:rPr>
          <w:rFonts w:ascii="Arial" w:cs="Arial" w:eastAsia="Arial" w:hAnsi="Arial"/>
          <w:sz w:val="20"/>
          <w:szCs w:val="20"/>
        </w:rPr>
        <w:t xml:space="preserve">Robbie GJ, Criste R, Dall'Acqua WF, et al. A novel investigational Fc-modified humanized monoclonal antibody. MAbs. 2013;5(5):700–710.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360"/>
      </w:tabs>
      <w:spacing w:before="120" w:after="0"/>
    </w:pPr>
    <w:r>
      <w:rPr>
        <w:rFonts w:ascii="Arial" w:cs="Arial" w:eastAsia="Arial" w:hAnsi="Arial"/>
        <w:color w:val="595959"/>
        <w:sz w:val="16"/>
        <w:szCs w:val="16"/>
      </w:rPr>
      <w:t xml:space="preserve">Protocol: CRV-PK-001  |  Version 1.0  |  January 2025  |  </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before="0" w:after="120"/>
    </w:pPr>
    <w:r>
      <w:rPr>
        <w:rFonts w:ascii="Arial" w:cs="Arial" w:eastAsia="Arial" w:hAnsi="Arial"/>
        <w:b/>
        <w:bCs/>
        <w:color w:val="595959"/>
        <w:sz w:val="16"/>
        <w:szCs w:val="16"/>
      </w:rPr>
      <w:t xml:space="preserve">CONFIDENTIAL  |  CERVIMAB (CRV-PK-001)  |  FOOD EFFECT PROTOCOL v1.0  |  </w:t>
    </w:r>
    <w:r>
      <w:rPr>
        <w:rFonts w:ascii="Arial" w:cs="Arial" w:eastAsia="Arial" w:hAnsi="Arial"/>
        <w:i/>
        <w:iCs/>
        <w:color w:val="595959"/>
        <w:sz w:val="16"/>
        <w:szCs w:val="16"/>
      </w:rPr>
      <w:t xml:space="preserve">Vanguard Oncology Therapeutics,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2026-03-16T13:30:32.085Z</dcterms:created>
  <dcterms:modified xsi:type="dcterms:W3CDTF">2026-03-16T13:30:32.086Z</dcterms:modified>
</cp:coreProperties>
</file>

<file path=docProps/custom.xml><?xml version="1.0" encoding="utf-8"?>
<Properties xmlns="http://schemas.openxmlformats.org/officeDocument/2006/custom-properties" xmlns:vt="http://schemas.openxmlformats.org/officeDocument/2006/docPropsVTypes"/>
</file>