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20"/>
      </w:pPr>
      <w:r>
        <w:t xml:space="preserve"/>
      </w:r>
    </w:p>
    <w:p>
      <w:pPr>
        <w:spacing w:after="120"/>
      </w:pPr>
      <w:r>
        <w:t xml:space="preserve"/>
      </w:r>
    </w:p>
    <w:p>
      <w:pPr>
        <w:spacing w:after="120"/>
      </w:pPr>
      <w:r>
        <w:t xml:space="preserve"/>
      </w:r>
    </w:p>
    <w:p>
      <w:pPr>
        <w:spacing w:after="80"/>
        <w:jc w:val="center"/>
      </w:pPr>
      <w:r>
        <w:rPr>
          <w:b/>
          <w:bCs/>
          <w:color w:val="1F3864"/>
          <w:sz w:val="36"/>
          <w:szCs w:val="36"/>
        </w:rPr>
        <w:t xml:space="preserve">TYPE B — END OF PHASE 2 MEETING REQUEST</w:t>
      </w:r>
    </w:p>
    <w:p>
      <w:pPr>
        <w:pBdr>
          <w:bottom w:val="single" w:color="2E75B6" w:sz="6" w:space="1"/>
        </w:pBdr>
        <w:spacing w:after="200"/>
      </w:pPr>
      <w:r>
        <w:t xml:space="preserve"/>
      </w:r>
    </w:p>
    <w:p>
      <w:pPr>
        <w:spacing w:after="200"/>
        <w:jc w:val="center"/>
      </w:pPr>
      <w:r>
        <w:rPr>
          <w:b/>
          <w:bCs/>
          <w:color w:val="2E75B6"/>
          <w:sz w:val="30"/>
          <w:szCs w:val="30"/>
        </w:rPr>
        <w:t xml:space="preserve">CERVIMAB (anti-PD-1 Monoclonal Antibody)</w:t>
      </w:r>
    </w:p>
    <w:p>
      <w:pPr>
        <w:spacing w:after="120"/>
        <w:jc w:val="center"/>
      </w:pPr>
      <w:r>
        <w:rPr>
          <w:i/>
          <w:iCs/>
          <w:sz w:val="26"/>
          <w:szCs w:val="26"/>
        </w:rPr>
        <w:t xml:space="preserve">For the Treatment of Deficient Mismatch Repair / Microsatellite Instability-High (dMMR/MSI-H) Metastatic Colorectal Cancer</w:t>
      </w:r>
    </w:p>
    <w:p>
      <w:pPr>
        <w:spacing w:after="1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80"/>
        <w:gridCol w:w="6480"/>
      </w:tblGrid>
      <w:tr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sz w:val="22"/>
                <w:szCs w:val="22"/>
              </w:rPr>
              <w:t xml:space="preserve">IND Number:</w:t>
            </w:r>
          </w:p>
        </w:tc>
        <w:tc>
          <w:tcPr>
            <w:tcW w:type="dxa" w:w="6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sz w:val="22"/>
                <w:szCs w:val="22"/>
              </w:rPr>
              <w:t xml:space="preserve">IND 123456</w:t>
            </w:r>
          </w:p>
        </w:tc>
      </w:tr>
      <w:tr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sz w:val="22"/>
                <w:szCs w:val="22"/>
              </w:rPr>
              <w:t xml:space="preserve">Sponsor:</w:t>
            </w:r>
          </w:p>
        </w:tc>
        <w:tc>
          <w:tcPr>
            <w:tcW w:type="dxa" w:w="6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sz w:val="22"/>
                <w:szCs w:val="22"/>
              </w:rPr>
              <w:t xml:space="preserve">Vexion Therapeutics, Inc.</w:t>
            </w:r>
          </w:p>
        </w:tc>
      </w:tr>
      <w:tr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sz w:val="22"/>
                <w:szCs w:val="22"/>
              </w:rPr>
              <w:t xml:space="preserve">Sponsor Contact:</w:t>
            </w:r>
          </w:p>
        </w:tc>
        <w:tc>
          <w:tcPr>
            <w:tcW w:type="dxa" w:w="6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sz w:val="22"/>
                <w:szCs w:val="22"/>
              </w:rPr>
              <w:t xml:space="preserve">Jane M. Smith, MD, VP Clinical Development</w:t>
            </w:r>
          </w:p>
        </w:tc>
      </w:tr>
      <w:tr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sz w:val="22"/>
                <w:szCs w:val="22"/>
              </w:rPr>
              <w:t xml:space="preserve">Address:</w:t>
            </w:r>
          </w:p>
        </w:tc>
        <w:tc>
          <w:tcPr>
            <w:tcW w:type="dxa" w:w="6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sz w:val="22"/>
                <w:szCs w:val="22"/>
              </w:rPr>
              <w:t xml:space="preserve">1 Biotech Drive, Cambridge, MA 02142</w:t>
            </w:r>
          </w:p>
        </w:tc>
      </w:tr>
      <w:tr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sz w:val="22"/>
                <w:szCs w:val="22"/>
              </w:rPr>
              <w:t xml:space="preserve">Phone:</w:t>
            </w:r>
          </w:p>
        </w:tc>
        <w:tc>
          <w:tcPr>
            <w:tcW w:type="dxa" w:w="6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sz w:val="22"/>
                <w:szCs w:val="22"/>
              </w:rPr>
              <w:t xml:space="preserve">(617) 555-0100</w:t>
            </w:r>
          </w:p>
        </w:tc>
      </w:tr>
      <w:tr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sz w:val="22"/>
                <w:szCs w:val="22"/>
              </w:rPr>
              <w:t xml:space="preserve">Email:</w:t>
            </w:r>
          </w:p>
        </w:tc>
        <w:tc>
          <w:tcPr>
            <w:tcW w:type="dxa" w:w="6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sz w:val="22"/>
                <w:szCs w:val="22"/>
              </w:rPr>
              <w:t xml:space="preserve">regulatory@vexionthera.com</w:t>
            </w:r>
          </w:p>
        </w:tc>
      </w:tr>
      <w:tr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sz w:val="22"/>
                <w:szCs w:val="22"/>
              </w:rPr>
              <w:t xml:space="preserve">Date of Request:</w:t>
            </w:r>
          </w:p>
        </w:tc>
        <w:tc>
          <w:tcPr>
            <w:tcW w:type="dxa" w:w="6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sz w:val="22"/>
                <w:szCs w:val="22"/>
              </w:rPr>
              <w:t xml:space="preserve">March 16, 2026</w:t>
            </w:r>
          </w:p>
        </w:tc>
      </w:tr>
      <w:tr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sz w:val="22"/>
                <w:szCs w:val="22"/>
              </w:rPr>
              <w:t xml:space="preserve">Proposed Meeting Date:</w:t>
            </w:r>
          </w:p>
        </w:tc>
        <w:tc>
          <w:tcPr>
            <w:tcW w:type="dxa" w:w="6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sz w:val="22"/>
                <w:szCs w:val="22"/>
              </w:rPr>
              <w:t xml:space="preserve">On or before June 16, 2026 (90-day window)</w:t>
            </w:r>
          </w:p>
        </w:tc>
      </w:tr>
      <w:tr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sz w:val="22"/>
                <w:szCs w:val="22"/>
              </w:rPr>
              <w:t xml:space="preserve">Meeting Type Requested:</w:t>
            </w:r>
          </w:p>
        </w:tc>
        <w:tc>
          <w:tcPr>
            <w:tcW w:type="dxa" w:w="6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sz w:val="22"/>
                <w:szCs w:val="22"/>
              </w:rPr>
              <w:t xml:space="preserve">Type B — End of Phase 2</w:t>
            </w:r>
          </w:p>
        </w:tc>
      </w:tr>
      <w:tr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sz w:val="22"/>
                <w:szCs w:val="22"/>
              </w:rPr>
              <w:t xml:space="preserve">Preferred Format:</w:t>
            </w:r>
          </w:p>
        </w:tc>
        <w:tc>
          <w:tcPr>
            <w:tcW w:type="dxa" w:w="6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sz w:val="22"/>
                <w:szCs w:val="22"/>
              </w:rPr>
              <w:t xml:space="preserve">Teleconference with written follow-up</w:t>
            </w:r>
          </w:p>
        </w:tc>
      </w:tr>
    </w:tbl>
    <w:p>
      <w:pPr>
        <w:spacing w:after="120"/>
      </w:pPr>
      <w:r>
        <w:t xml:space="preserve"/>
      </w:r>
    </w:p>
    <w:p>
      <w:pPr>
        <w:spacing w:before="400" w:after="80"/>
        <w:jc w:val="center"/>
      </w:pPr>
      <w:r>
        <w:rPr>
          <w:b/>
          <w:bCs/>
          <w:color w:val="C00000"/>
          <w:sz w:val="20"/>
          <w:szCs w:val="20"/>
        </w:rPr>
        <w:t xml:space="preserve">CONFIDENTIAL</w:t>
      </w:r>
    </w:p>
    <w:p>
      <w:pPr>
        <w:spacing w:after="60"/>
        <w:jc w:val="center"/>
      </w:pPr>
      <w:r>
        <w:rPr>
          <w:color w:val="C00000"/>
          <w:sz w:val="18"/>
          <w:szCs w:val="18"/>
        </w:rPr>
        <w:t xml:space="preserve">Contains Trade Secret and Confidential Commercial Information</w:t>
      </w:r>
    </w:p>
    <w:p>
      <w:r>
        <w:br w:type="page"/>
      </w:r>
    </w:p>
    <w:p>
      <w:pPr>
        <w:pStyle w:val="Heading1"/>
      </w:pPr>
      <w:r>
        <w:t xml:space="preserve">TABLE OF CONTENTS</w:t>
      </w:r>
    </w:p>
    <w:p>
      <w:pPr>
        <w:spacing w:after="160"/>
        <w:jc w:val="left"/>
      </w:pPr>
      <w:r>
        <w:rPr>
          <w:sz w:val="24"/>
          <w:szCs w:val="24"/>
        </w:rPr>
        <w:t xml:space="preserve">1. Background and Purpose of Meeting</w:t>
      </w:r>
    </w:p>
    <w:p>
      <w:pPr>
        <w:spacing w:after="160"/>
        <w:jc w:val="left"/>
      </w:pPr>
      <w:r>
        <w:rPr>
          <w:sz w:val="24"/>
          <w:szCs w:val="24"/>
        </w:rPr>
        <w:t xml:space="preserve">2. Product and Clinical Development Overview</w:t>
      </w:r>
    </w:p>
    <w:p>
      <w:pPr>
        <w:spacing w:after="160"/>
        <w:jc w:val="left"/>
      </w:pPr>
      <w:r>
        <w:rPr>
          <w:sz w:val="24"/>
          <w:szCs w:val="24"/>
        </w:rPr>
        <w:t xml:space="preserve">3. Summary of Phase 2 Efficacy Data</w:t>
      </w:r>
    </w:p>
    <w:p>
      <w:pPr>
        <w:spacing w:after="160"/>
        <w:jc w:val="left"/>
      </w:pPr>
      <w:r>
        <w:rPr>
          <w:sz w:val="24"/>
          <w:szCs w:val="24"/>
        </w:rPr>
        <w:t xml:space="preserve">4. Summary of Phase 2 Safety Data</w:t>
      </w:r>
    </w:p>
    <w:p>
      <w:pPr>
        <w:spacing w:after="160"/>
        <w:jc w:val="left"/>
      </w:pPr>
      <w:r>
        <w:rPr>
          <w:sz w:val="24"/>
          <w:szCs w:val="24"/>
        </w:rPr>
        <w:t xml:space="preserve">5. Proposed Phase 3 Design and Rationale</w:t>
      </w:r>
    </w:p>
    <w:p>
      <w:pPr>
        <w:spacing w:after="160"/>
        <w:jc w:val="left"/>
      </w:pPr>
      <w:r>
        <w:rPr>
          <w:sz w:val="24"/>
          <w:szCs w:val="24"/>
        </w:rPr>
        <w:t xml:space="preserve">6. Proposed Endpoints and Estimands</w:t>
      </w:r>
    </w:p>
    <w:p>
      <w:pPr>
        <w:spacing w:after="160"/>
        <w:jc w:val="left"/>
      </w:pPr>
      <w:r>
        <w:rPr>
          <w:sz w:val="24"/>
          <w:szCs w:val="24"/>
        </w:rPr>
        <w:t xml:space="preserve">7. Statistical Analysis Plan Overview</w:t>
      </w:r>
    </w:p>
    <w:p>
      <w:pPr>
        <w:spacing w:after="160"/>
        <w:jc w:val="left"/>
      </w:pPr>
      <w:r>
        <w:rPr>
          <w:sz w:val="24"/>
          <w:szCs w:val="24"/>
        </w:rPr>
        <w:t xml:space="preserve">8. CMC/Drug Supply Summary</w:t>
      </w:r>
    </w:p>
    <w:p>
      <w:pPr>
        <w:spacing w:after="160"/>
        <w:jc w:val="left"/>
      </w:pPr>
      <w:r>
        <w:rPr>
          <w:sz w:val="24"/>
          <w:szCs w:val="24"/>
        </w:rPr>
        <w:t xml:space="preserve">9. Meeting Questions</w:t>
      </w:r>
    </w:p>
    <w:p>
      <w:pPr>
        <w:spacing w:after="160"/>
        <w:jc w:val="left"/>
      </w:pPr>
      <w:r>
        <w:rPr>
          <w:sz w:val="24"/>
          <w:szCs w:val="24"/>
        </w:rPr>
        <w:t xml:space="preserve">10. Appendices</w:t>
      </w:r>
    </w:p>
    <w:p>
      <w:r>
        <w:br w:type="page"/>
      </w:r>
    </w:p>
    <w:p>
      <w:pPr>
        <w:pStyle w:val="Heading1"/>
      </w:pPr>
      <w:r>
        <w:t xml:space="preserve">1. BACKGROUND AND PURPOSE OF MEETING</w:t>
      </w:r>
    </w:p>
    <w:p>
      <w:pPr>
        <w:pBdr>
          <w:bottom w:val="single" w:color="2E75B6" w:sz="6" w:space="1"/>
        </w:pBdr>
        <w:spacing w:after="200"/>
      </w:pPr>
      <w:r>
        <w:t xml:space="preserve"/>
      </w:r>
    </w:p>
    <w:p>
      <w:pPr>
        <w:spacing w:after="160"/>
        <w:jc w:val="left"/>
      </w:pPr>
      <w:r>
        <w:rPr>
          <w:sz w:val="24"/>
          <w:szCs w:val="24"/>
        </w:rPr>
        <w:t xml:space="preserve">Vexion Therapeutics, Inc. ("Sponsor") respectfully requests a Type B End of Phase 2 (EOP2) meeting with the Food and Drug Administration (FDA), Division of Oncology Products 2 (DOP2), to discuss the Phase 3 development program for cervimab, an investigational humanized IgG4 monoclonal antibody targeting programmed cell death protein-1 (PD-1), in patients with deficient mismatch repair (dMMR) or microsatellite instability-high (MSI-H) metastatic colorectal cancer (mCRC).</w:t>
      </w:r>
    </w:p>
    <w:p>
      <w:pPr>
        <w:spacing w:after="120"/>
      </w:pPr>
      <w:r>
        <w:t xml:space="preserve"/>
      </w:r>
    </w:p>
    <w:p>
      <w:pPr>
        <w:spacing w:after="160"/>
        <w:jc w:val="left"/>
      </w:pPr>
      <w:r>
        <w:rPr>
          <w:b/>
          <w:bCs/>
          <w:sz w:val="24"/>
          <w:szCs w:val="24"/>
        </w:rPr>
        <w:t xml:space="preserve">The primary objectives of this meeting are: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4"/>
          <w:szCs w:val="24"/>
        </w:rPr>
        <w:t xml:space="preserve">To obtain FDA feedback on the adequacy of the Phase 2 data package to support initiation of a pivotal Phase 3 trial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4"/>
          <w:szCs w:val="24"/>
        </w:rPr>
        <w:t xml:space="preserve">To align on the Phase 3 trial design, including primary endpoint, key secondary endpoints, and estimand framework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4"/>
          <w:szCs w:val="24"/>
        </w:rPr>
        <w:t xml:space="preserve">To discuss the feasibility of a Special Protocol Assessment (SPA) for the proposed Phase 3 protocol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4"/>
          <w:szCs w:val="24"/>
        </w:rPr>
        <w:t xml:space="preserve">To obtain agreement on the biomarker strategy and dMMR/MSI-H testing requirements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4"/>
          <w:szCs w:val="24"/>
        </w:rPr>
        <w:t xml:space="preserve">To discuss CMC readiness and drug supply for Phase 3</w:t>
      </w:r>
    </w:p>
    <w:p>
      <w:pPr>
        <w:spacing w:after="120"/>
      </w:pPr>
      <w:r>
        <w:t xml:space="preserve"/>
      </w:r>
    </w:p>
    <w:p>
      <w:pPr>
        <w:pStyle w:val="Heading1"/>
      </w:pPr>
      <w:r>
        <w:t xml:space="preserve">2. PRODUCT AND CLINICAL DEVELOPMENT OVERVIEW</w:t>
      </w:r>
    </w:p>
    <w:p>
      <w:pPr>
        <w:pBdr>
          <w:bottom w:val="single" w:color="2E75B6" w:sz="6" w:space="1"/>
        </w:pBdr>
        <w:spacing w:after="200"/>
      </w:pPr>
      <w:r>
        <w:t xml:space="preserve"/>
      </w:r>
    </w:p>
    <w:p>
      <w:pPr>
        <w:pStyle w:val="Heading2"/>
      </w:pPr>
      <w:r>
        <w:t xml:space="preserve">2.1 Product Description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sz w:val="22"/>
                <w:szCs w:val="22"/>
              </w:rPr>
              <w:t xml:space="preserve">INN / Proposed Trade Name: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sz w:val="22"/>
                <w:szCs w:val="22"/>
              </w:rPr>
              <w:t xml:space="preserve">Cervimab / CERVIXAR (proposed)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sz w:val="22"/>
                <w:szCs w:val="22"/>
              </w:rPr>
              <w:t xml:space="preserve">Molecular Target: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sz w:val="22"/>
                <w:szCs w:val="22"/>
              </w:rPr>
              <w:t xml:space="preserve">PD-1 (CD279)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sz w:val="22"/>
                <w:szCs w:val="22"/>
              </w:rPr>
              <w:t xml:space="preserve">Antibody Class: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sz w:val="22"/>
                <w:szCs w:val="22"/>
              </w:rPr>
              <w:t xml:space="preserve">Humanized IgG4 monoclonal antibody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sz w:val="22"/>
                <w:szCs w:val="22"/>
              </w:rPr>
              <w:t xml:space="preserve">Mechanism of Action: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sz w:val="22"/>
                <w:szCs w:val="22"/>
              </w:rPr>
              <w:t xml:space="preserve">Blocks PD-1/PD-L1 and PD-1/PD-L2 interactions, restoring T-cell-mediated anti-tumor immunity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sz w:val="22"/>
                <w:szCs w:val="22"/>
              </w:rPr>
              <w:t xml:space="preserve">Route of Administration: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sz w:val="22"/>
                <w:szCs w:val="22"/>
              </w:rPr>
              <w:t xml:space="preserve">Intravenous (IV) infusion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sz w:val="22"/>
                <w:szCs w:val="22"/>
              </w:rPr>
              <w:t xml:space="preserve">Proposed Dose/Schedule: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sz w:val="22"/>
                <w:szCs w:val="22"/>
              </w:rPr>
              <w:t xml:space="preserve">400 mg Q6W (fixed dose; flat dosing supported by PK/PD modeling)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sz w:val="22"/>
                <w:szCs w:val="22"/>
              </w:rPr>
              <w:t xml:space="preserve">Formulation: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sz w:val="22"/>
                <w:szCs w:val="22"/>
              </w:rPr>
              <w:t xml:space="preserve">25 mg/mL solution for injection; 250 mg/10 mL vials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sz w:val="22"/>
                <w:szCs w:val="22"/>
              </w:rPr>
              <w:t xml:space="preserve">Indication: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sz w:val="22"/>
                <w:szCs w:val="22"/>
              </w:rPr>
              <w:t xml:space="preserve">dMMR/MSI-H mCRC, previously treated with fluoropyrimidine-based chemotherapy</w:t>
            </w:r>
          </w:p>
        </w:tc>
      </w:tr>
    </w:tbl>
    <w:p>
      <w:pPr>
        <w:spacing w:after="120"/>
      </w:pPr>
      <w:r>
        <w:t xml:space="preserve"/>
      </w:r>
    </w:p>
    <w:p>
      <w:pPr>
        <w:pStyle w:val="Heading2"/>
      </w:pPr>
      <w:r>
        <w:t xml:space="preserve">2.2 Clinical Development History</w:t>
      </w:r>
    </w:p>
    <w:p>
      <w:pPr>
        <w:spacing w:after="160"/>
        <w:jc w:val="left"/>
      </w:pPr>
      <w:r>
        <w:rPr>
          <w:sz w:val="24"/>
          <w:szCs w:val="24"/>
        </w:rPr>
        <w:t xml:space="preserve">Cervimab has been evaluated across a multi-cohort Phase 1/2 program (CERVIX-01 and CERVIX-02) enrolling patients with solid tumors harboring mismatch repair deficiency. The key milestones are summarized below:</w:t>
      </w:r>
    </w:p>
    <w:p>
      <w:pPr>
        <w:spacing w:after="1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2400"/>
        <w:gridCol w:w="5160"/>
      </w:tblGrid>
      <w:tr>
        <w:trPr>
          <w:tblHeader/>
        </w:trP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sz w:val="22"/>
                <w:szCs w:val="22"/>
              </w:rPr>
              <w:t xml:space="preserve">Study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sz w:val="22"/>
                <w:szCs w:val="22"/>
              </w:rPr>
              <w:t xml:space="preserve">Phase / Design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sz w:val="22"/>
                <w:szCs w:val="22"/>
              </w:rPr>
              <w:t xml:space="preserve">Key Findings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sz w:val="22"/>
                <w:szCs w:val="22"/>
              </w:rPr>
              <w:t xml:space="preserve">CERVIX-01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sz w:val="22"/>
                <w:szCs w:val="22"/>
              </w:rPr>
              <w:t xml:space="preserve">Phase 1 (Dose Escalation + Expansion)
N=48; Solid Tumors dMMR/MSI-H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sz w:val="22"/>
                <w:szCs w:val="22"/>
              </w:rPr>
              <w:t xml:space="preserve">MTD not reached; RP2D established: 400 mg Q6W
No DLTs at 400 mg; PK linear 1–800 mg
ORR 32% across all tumor types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sz w:val="22"/>
                <w:szCs w:val="22"/>
              </w:rPr>
              <w:t xml:space="preserve">CERVIX-02 Cohort A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sz w:val="22"/>
                <w:szCs w:val="22"/>
              </w:rPr>
              <w:t xml:space="preserve">Phase 2 (Single-arm)
N=112; dMMR/MSI-H mCRC
≥1 prior therapy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sz w:val="22"/>
                <w:szCs w:val="22"/>
              </w:rPr>
              <w:t xml:space="preserve">Primary analysis: ORR 45.5% (95% CI: 35.9–55.3)
mDOR not reached (median f/u 18.4 mo)
DCR 72.3%; mPFS 9.8 mo (95% CI: 7.2–NR)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sz w:val="22"/>
                <w:szCs w:val="22"/>
              </w:rPr>
              <w:t xml:space="preserve">CERVIX-02 Cohort B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sz w:val="22"/>
                <w:szCs w:val="22"/>
              </w:rPr>
              <w:t xml:space="preserve">Phase 2 Expansion
N=58; 1L dMMR/MSI-H mCRC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sz w:val="22"/>
                <w:szCs w:val="22"/>
              </w:rPr>
              <w:t xml:space="preserve">ORR 57.9% (95% CI: 43.9–71.3)
mPFS 14.2 mo; OS data immature</w:t>
            </w:r>
          </w:p>
        </w:tc>
      </w:tr>
    </w:tbl>
    <w:p>
      <w:pPr>
        <w:spacing w:after="120"/>
      </w:pPr>
      <w:r>
        <w:t xml:space="preserve"/>
      </w:r>
    </w:p>
    <w:p>
      <w:pPr>
        <w:pStyle w:val="Heading1"/>
      </w:pPr>
      <w:r>
        <w:t xml:space="preserve">3. SUMMARY OF PHASE 2 EFFICACY DATA</w:t>
      </w:r>
    </w:p>
    <w:p>
      <w:pPr>
        <w:pBdr>
          <w:bottom w:val="single" w:color="2E75B6" w:sz="6" w:space="1"/>
        </w:pBdr>
        <w:spacing w:after="200"/>
      </w:pPr>
      <w:r>
        <w:t xml:space="preserve"/>
      </w:r>
    </w:p>
    <w:p>
      <w:pPr>
        <w:pStyle w:val="Heading2"/>
      </w:pPr>
      <w:r>
        <w:t xml:space="preserve">3.1 Efficacy Results — CERVIX-02 Cohort A (Primary Analysis Population)</w:t>
      </w:r>
    </w:p>
    <w:p>
      <w:pPr>
        <w:spacing w:after="160"/>
        <w:jc w:val="left"/>
      </w:pPr>
      <w:r>
        <w:rPr>
          <w:sz w:val="24"/>
          <w:szCs w:val="24"/>
        </w:rPr>
        <w:t xml:space="preserve">The primary endpoint of CERVIX-02 Cohort A was objective response rate (ORR) per RECIST v1.1 assessed by blinded independent central review (BICR). The pre-specified null hypothesis (H0: ORR ≤ 20%) was rejected with high statistical confidence.</w:t>
      </w:r>
    </w:p>
    <w:p>
      <w:pPr>
        <w:spacing w:after="1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0"/>
        <w:gridCol w:w="2680"/>
        <w:gridCol w:w="2680"/>
      </w:tblGrid>
      <w:tr>
        <w:trPr>
          <w:tblHeader/>
        </w:trP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sz w:val="22"/>
                <w:szCs w:val="22"/>
              </w:rPr>
              <w:t xml:space="preserve">Efficacy Endpoint</w:t>
            </w:r>
          </w:p>
        </w:tc>
        <w:tc>
          <w:tcPr>
            <w:tcW w:type="dxa" w:w="2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sz w:val="22"/>
                <w:szCs w:val="22"/>
              </w:rPr>
              <w:t xml:space="preserve">Result</w:t>
            </w:r>
          </w:p>
        </w:tc>
        <w:tc>
          <w:tcPr>
            <w:tcW w:type="dxa" w:w="2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sz w:val="22"/>
                <w:szCs w:val="22"/>
              </w:rPr>
              <w:t xml:space="preserve">95% CI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sz w:val="22"/>
                <w:szCs w:val="22"/>
              </w:rPr>
              <w:t xml:space="preserve">Objective Response Rate (ORR)</w:t>
            </w:r>
          </w:p>
        </w:tc>
        <w:tc>
          <w:tcPr>
            <w:tcW w:type="dxa" w:w="2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sz w:val="22"/>
                <w:szCs w:val="22"/>
              </w:rPr>
              <w:t xml:space="preserve">45.5% (51/112)</w:t>
            </w:r>
          </w:p>
        </w:tc>
        <w:tc>
          <w:tcPr>
            <w:tcW w:type="dxa" w:w="2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sz w:val="22"/>
                <w:szCs w:val="22"/>
              </w:rPr>
              <w:t xml:space="preserve">35.9–55.3%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sz w:val="22"/>
                <w:szCs w:val="22"/>
              </w:rPr>
              <w:t xml:space="preserve">Complete Response (CR)</w:t>
            </w:r>
          </w:p>
        </w:tc>
        <w:tc>
          <w:tcPr>
            <w:tcW w:type="dxa" w:w="2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sz w:val="22"/>
                <w:szCs w:val="22"/>
              </w:rPr>
              <w:t xml:space="preserve">12.5% (14/112)</w:t>
            </w:r>
          </w:p>
        </w:tc>
        <w:tc>
          <w:tcPr>
            <w:tcW w:type="dxa" w:w="2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sz w:val="22"/>
                <w:szCs w:val="22"/>
              </w:rPr>
              <w:t xml:space="preserve">—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sz w:val="22"/>
                <w:szCs w:val="22"/>
              </w:rPr>
              <w:t xml:space="preserve">Partial Response (PR)</w:t>
            </w:r>
          </w:p>
        </w:tc>
        <w:tc>
          <w:tcPr>
            <w:tcW w:type="dxa" w:w="2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sz w:val="22"/>
                <w:szCs w:val="22"/>
              </w:rPr>
              <w:t xml:space="preserve">33.0% (37/112)</w:t>
            </w:r>
          </w:p>
        </w:tc>
        <w:tc>
          <w:tcPr>
            <w:tcW w:type="dxa" w:w="2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sz w:val="22"/>
                <w:szCs w:val="22"/>
              </w:rPr>
              <w:t xml:space="preserve">—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sz w:val="22"/>
                <w:szCs w:val="22"/>
              </w:rPr>
              <w:t xml:space="preserve">Disease Control Rate (DCR)</w:t>
            </w:r>
          </w:p>
        </w:tc>
        <w:tc>
          <w:tcPr>
            <w:tcW w:type="dxa" w:w="2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sz w:val="22"/>
                <w:szCs w:val="22"/>
              </w:rPr>
              <w:t xml:space="preserve">72.3% (81/112)</w:t>
            </w:r>
          </w:p>
        </w:tc>
        <w:tc>
          <w:tcPr>
            <w:tcW w:type="dxa" w:w="2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sz w:val="22"/>
                <w:szCs w:val="22"/>
              </w:rPr>
              <w:t xml:space="preserve">62.9–80.5%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sz w:val="22"/>
                <w:szCs w:val="22"/>
              </w:rPr>
              <w:t xml:space="preserve">Median Duration of Response (mDOR)</w:t>
            </w:r>
          </w:p>
        </w:tc>
        <w:tc>
          <w:tcPr>
            <w:tcW w:type="dxa" w:w="2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sz w:val="22"/>
                <w:szCs w:val="22"/>
              </w:rPr>
              <w:t xml:space="preserve">Not reached</w:t>
            </w:r>
          </w:p>
        </w:tc>
        <w:tc>
          <w:tcPr>
            <w:tcW w:type="dxa" w:w="2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sz w:val="22"/>
                <w:szCs w:val="22"/>
              </w:rPr>
              <w:t xml:space="preserve">15.6 mo – NR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sz w:val="22"/>
                <w:szCs w:val="22"/>
              </w:rPr>
              <w:t xml:space="preserve">Median Progression-Free Survival (mPFS)</w:t>
            </w:r>
          </w:p>
        </w:tc>
        <w:tc>
          <w:tcPr>
            <w:tcW w:type="dxa" w:w="2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sz w:val="22"/>
                <w:szCs w:val="22"/>
              </w:rPr>
              <w:t xml:space="preserve">9.8 months</w:t>
            </w:r>
          </w:p>
        </w:tc>
        <w:tc>
          <w:tcPr>
            <w:tcW w:type="dxa" w:w="2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sz w:val="22"/>
                <w:szCs w:val="22"/>
              </w:rPr>
              <w:t xml:space="preserve">7.2 mo – NR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sz w:val="22"/>
                <w:szCs w:val="22"/>
              </w:rPr>
              <w:t xml:space="preserve">PFS Rate at 12 months</w:t>
            </w:r>
          </w:p>
        </w:tc>
        <w:tc>
          <w:tcPr>
            <w:tcW w:type="dxa" w:w="2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sz w:val="22"/>
                <w:szCs w:val="22"/>
              </w:rPr>
              <w:t xml:space="preserve">48.2%</w:t>
            </w:r>
          </w:p>
        </w:tc>
        <w:tc>
          <w:tcPr>
            <w:tcW w:type="dxa" w:w="2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sz w:val="22"/>
                <w:szCs w:val="22"/>
              </w:rPr>
              <w:t xml:space="preserve">37.9–57.9%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sz w:val="22"/>
                <w:szCs w:val="22"/>
              </w:rPr>
              <w:t xml:space="preserve">Median Overall Survival (mOS)</w:t>
            </w:r>
          </w:p>
        </w:tc>
        <w:tc>
          <w:tcPr>
            <w:tcW w:type="dxa" w:w="2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sz w:val="22"/>
                <w:szCs w:val="22"/>
              </w:rPr>
              <w:t xml:space="preserve">Not reached</w:t>
            </w:r>
          </w:p>
        </w:tc>
        <w:tc>
          <w:tcPr>
            <w:tcW w:type="dxa" w:w="2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sz w:val="22"/>
                <w:szCs w:val="22"/>
              </w:rPr>
              <w:t xml:space="preserve">21.4 mo – NR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sz w:val="22"/>
                <w:szCs w:val="22"/>
              </w:rPr>
              <w:t xml:space="preserve">OS Rate at 18 months</w:t>
            </w:r>
          </w:p>
        </w:tc>
        <w:tc>
          <w:tcPr>
            <w:tcW w:type="dxa" w:w="2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sz w:val="22"/>
                <w:szCs w:val="22"/>
              </w:rPr>
              <w:t xml:space="preserve">67.3%</w:t>
            </w:r>
          </w:p>
        </w:tc>
        <w:tc>
          <w:tcPr>
            <w:tcW w:type="dxa" w:w="2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sz w:val="22"/>
                <w:szCs w:val="22"/>
              </w:rPr>
              <w:t xml:space="preserve">57.1–75.6%</w:t>
            </w:r>
          </w:p>
        </w:tc>
      </w:tr>
    </w:tbl>
    <w:p>
      <w:pPr>
        <w:spacing w:after="120"/>
      </w:pPr>
      <w:r>
        <w:t xml:space="preserve"/>
      </w:r>
    </w:p>
    <w:p>
      <w:pPr>
        <w:spacing w:after="160"/>
        <w:jc w:val="left"/>
      </w:pPr>
      <w:r>
        <w:rPr>
          <w:i/>
          <w:iCs/>
          <w:sz w:val="20"/>
          <w:szCs w:val="20"/>
        </w:rPr>
        <w:t xml:space="preserve">Note: Median follow-up: 18.4 months. All responses assessed per RECIST v1.1 by BICR. CI = confidence interval; NR = not reached.</w:t>
      </w:r>
    </w:p>
    <w:p>
      <w:pPr>
        <w:spacing w:after="120"/>
      </w:pPr>
      <w:r>
        <w:t xml:space="preserve"/>
      </w:r>
    </w:p>
    <w:p>
      <w:pPr>
        <w:pStyle w:val="Heading2"/>
      </w:pPr>
      <w:r>
        <w:t xml:space="preserve">3.2 Subgroup Analyses</w:t>
      </w:r>
    </w:p>
    <w:p>
      <w:pPr>
        <w:spacing w:after="160"/>
        <w:jc w:val="left"/>
      </w:pPr>
      <w:r>
        <w:rPr>
          <w:sz w:val="24"/>
          <w:szCs w:val="24"/>
        </w:rPr>
        <w:t xml:space="preserve">Responses were consistent across pre-specified subgroups including: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4"/>
          <w:szCs w:val="24"/>
        </w:rPr>
        <w:t xml:space="preserve">Prior lines of therapy (1 prior vs. ≥2 prior): ORR 48.2% vs. 42.3%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4"/>
          <w:szCs w:val="24"/>
        </w:rPr>
        <w:t xml:space="preserve">BRAF V600E mutation status (mutant vs. wild-type): ORR 38.1% vs. 47.6%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4"/>
          <w:szCs w:val="24"/>
        </w:rPr>
        <w:t xml:space="preserve">Lynch syndrome vs. sporadic dMMR: ORR 49.1% vs. 40.5%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4"/>
          <w:szCs w:val="24"/>
        </w:rPr>
        <w:t xml:space="preserve">Geographic region (North America, Europe, Asia-Pacific): ORR range 42.1–49.3%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4"/>
          <w:szCs w:val="24"/>
        </w:rPr>
        <w:t xml:space="preserve">PD-L1 expression (CPS ≥1 vs. &lt;1): ORR 50.2% vs. 36.8% (pre-specified exploratory)</w:t>
      </w:r>
    </w:p>
    <w:p>
      <w:pPr>
        <w:spacing w:after="120"/>
      </w:pPr>
      <w:r>
        <w:t xml:space="preserve"/>
      </w:r>
    </w:p>
    <w:p>
      <w:pPr>
        <w:pStyle w:val="Heading1"/>
      </w:pPr>
      <w:r>
        <w:t xml:space="preserve">4. SUMMARY OF PHASE 2 SAFETY DATA</w:t>
      </w:r>
    </w:p>
    <w:p>
      <w:pPr>
        <w:pBdr>
          <w:bottom w:val="single" w:color="2E75B6" w:sz="6" w:space="1"/>
        </w:pBdr>
        <w:spacing w:after="200"/>
      </w:pPr>
      <w:r>
        <w:t xml:space="preserve"/>
      </w:r>
    </w:p>
    <w:p>
      <w:pPr>
        <w:pStyle w:val="Heading2"/>
      </w:pPr>
      <w:r>
        <w:t xml:space="preserve">4.1 Overall Safety Profile</w:t>
      </w:r>
    </w:p>
    <w:p>
      <w:pPr>
        <w:spacing w:after="160"/>
        <w:jc w:val="left"/>
      </w:pPr>
      <w:r>
        <w:rPr>
          <w:sz w:val="24"/>
          <w:szCs w:val="24"/>
        </w:rPr>
        <w:t xml:space="preserve">The safety profile of cervimab in CERVIX-02 (N=170 dMMR/MSI-H mCRC patients) was consistent with the established class effect of PD-1 inhibitors. No new or unexpected safety signals were identified. The most clinically relevant adverse events are summarized below.</w:t>
      </w:r>
    </w:p>
    <w:p>
      <w:pPr>
        <w:spacing w:after="1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80"/>
        <w:gridCol w:w="2640"/>
        <w:gridCol w:w="2640"/>
      </w:tblGrid>
      <w:tr>
        <w:trPr>
          <w:tblHeader/>
        </w:trPr>
        <w:tc>
          <w:tcPr>
            <w:tcW w:type="dxa" w:w="4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sz w:val="22"/>
                <w:szCs w:val="22"/>
              </w:rPr>
              <w:t xml:space="preserve">Adverse Event</w:t>
            </w:r>
          </w:p>
        </w:tc>
        <w:tc>
          <w:tcPr>
            <w:tcW w:type="dxa" w:w="2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sz w:val="22"/>
                <w:szCs w:val="22"/>
              </w:rPr>
              <w:t xml:space="preserve">Any Grade (%)</w:t>
            </w:r>
          </w:p>
        </w:tc>
        <w:tc>
          <w:tcPr>
            <w:tcW w:type="dxa" w:w="2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sz w:val="22"/>
                <w:szCs w:val="22"/>
              </w:rPr>
              <w:t xml:space="preserve">Grade ≥3 (%)</w:t>
            </w:r>
          </w:p>
        </w:tc>
      </w:tr>
      <w:tr>
        <w:tc>
          <w:tcPr>
            <w:tcW w:type="dxa" w:w="4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sz w:val="22"/>
                <w:szCs w:val="22"/>
              </w:rPr>
              <w:t xml:space="preserve">Any Treatment-Related AE</w:t>
            </w:r>
          </w:p>
        </w:tc>
        <w:tc>
          <w:tcPr>
            <w:tcW w:type="dxa" w:w="2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sz w:val="22"/>
                <w:szCs w:val="22"/>
              </w:rPr>
              <w:t xml:space="preserve">78.2</w:t>
            </w:r>
          </w:p>
        </w:tc>
        <w:tc>
          <w:tcPr>
            <w:tcW w:type="dxa" w:w="2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sz w:val="22"/>
                <w:szCs w:val="22"/>
              </w:rPr>
              <w:t xml:space="preserve">22.9</w:t>
            </w:r>
          </w:p>
        </w:tc>
      </w:tr>
      <w:tr>
        <w:tc>
          <w:tcPr>
            <w:tcW w:type="dxa" w:w="4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sz w:val="22"/>
                <w:szCs w:val="22"/>
              </w:rPr>
              <w:t xml:space="preserve">Fatigue</w:t>
            </w:r>
          </w:p>
        </w:tc>
        <w:tc>
          <w:tcPr>
            <w:tcW w:type="dxa" w:w="2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sz w:val="22"/>
                <w:szCs w:val="22"/>
              </w:rPr>
              <w:t xml:space="preserve">32.4</w:t>
            </w:r>
          </w:p>
        </w:tc>
        <w:tc>
          <w:tcPr>
            <w:tcW w:type="dxa" w:w="2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sz w:val="22"/>
                <w:szCs w:val="22"/>
              </w:rPr>
              <w:t xml:space="preserve">2.9</w:t>
            </w:r>
          </w:p>
        </w:tc>
      </w:tr>
      <w:tr>
        <w:tc>
          <w:tcPr>
            <w:tcW w:type="dxa" w:w="4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sz w:val="22"/>
                <w:szCs w:val="22"/>
              </w:rPr>
              <w:t xml:space="preserve">Diarrhea / Colitis</w:t>
            </w:r>
          </w:p>
        </w:tc>
        <w:tc>
          <w:tcPr>
            <w:tcW w:type="dxa" w:w="2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sz w:val="22"/>
                <w:szCs w:val="22"/>
              </w:rPr>
              <w:t xml:space="preserve">21.8</w:t>
            </w:r>
          </w:p>
        </w:tc>
        <w:tc>
          <w:tcPr>
            <w:tcW w:type="dxa" w:w="2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sz w:val="22"/>
                <w:szCs w:val="22"/>
              </w:rPr>
              <w:t xml:space="preserve">5.9</w:t>
            </w:r>
          </w:p>
        </w:tc>
      </w:tr>
      <w:tr>
        <w:tc>
          <w:tcPr>
            <w:tcW w:type="dxa" w:w="4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sz w:val="22"/>
                <w:szCs w:val="22"/>
              </w:rPr>
              <w:t xml:space="preserve">Pruritus</w:t>
            </w:r>
          </w:p>
        </w:tc>
        <w:tc>
          <w:tcPr>
            <w:tcW w:type="dxa" w:w="2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sz w:val="22"/>
                <w:szCs w:val="22"/>
              </w:rPr>
              <w:t xml:space="preserve">18.2</w:t>
            </w:r>
          </w:p>
        </w:tc>
        <w:tc>
          <w:tcPr>
            <w:tcW w:type="dxa" w:w="2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sz w:val="22"/>
                <w:szCs w:val="22"/>
              </w:rPr>
              <w:t xml:space="preserve">0.6</w:t>
            </w:r>
          </w:p>
        </w:tc>
      </w:tr>
      <w:tr>
        <w:tc>
          <w:tcPr>
            <w:tcW w:type="dxa" w:w="4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sz w:val="22"/>
                <w:szCs w:val="22"/>
              </w:rPr>
              <w:t xml:space="preserve">Rash</w:t>
            </w:r>
          </w:p>
        </w:tc>
        <w:tc>
          <w:tcPr>
            <w:tcW w:type="dxa" w:w="2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sz w:val="22"/>
                <w:szCs w:val="22"/>
              </w:rPr>
              <w:t xml:space="preserve">16.5</w:t>
            </w:r>
          </w:p>
        </w:tc>
        <w:tc>
          <w:tcPr>
            <w:tcW w:type="dxa" w:w="2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sz w:val="22"/>
                <w:szCs w:val="22"/>
              </w:rPr>
              <w:t xml:space="preserve">1.2</w:t>
            </w:r>
          </w:p>
        </w:tc>
      </w:tr>
      <w:tr>
        <w:tc>
          <w:tcPr>
            <w:tcW w:type="dxa" w:w="4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sz w:val="22"/>
                <w:szCs w:val="22"/>
              </w:rPr>
              <w:t xml:space="preserve">Immune-mediated Hepatitis</w:t>
            </w:r>
          </w:p>
        </w:tc>
        <w:tc>
          <w:tcPr>
            <w:tcW w:type="dxa" w:w="2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sz w:val="22"/>
                <w:szCs w:val="22"/>
              </w:rPr>
              <w:t xml:space="preserve">8.8</w:t>
            </w:r>
          </w:p>
        </w:tc>
        <w:tc>
          <w:tcPr>
            <w:tcW w:type="dxa" w:w="2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sz w:val="22"/>
                <w:szCs w:val="22"/>
              </w:rPr>
              <w:t xml:space="preserve">3.5</w:t>
            </w:r>
          </w:p>
        </w:tc>
      </w:tr>
      <w:tr>
        <w:tc>
          <w:tcPr>
            <w:tcW w:type="dxa" w:w="4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sz w:val="22"/>
                <w:szCs w:val="22"/>
              </w:rPr>
              <w:t xml:space="preserve">Thyroid Disorders (hyper- or hypo-)</w:t>
            </w:r>
          </w:p>
        </w:tc>
        <w:tc>
          <w:tcPr>
            <w:tcW w:type="dxa" w:w="2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sz w:val="22"/>
                <w:szCs w:val="22"/>
              </w:rPr>
              <w:t xml:space="preserve">14.1</w:t>
            </w:r>
          </w:p>
        </w:tc>
        <w:tc>
          <w:tcPr>
            <w:tcW w:type="dxa" w:w="2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sz w:val="22"/>
                <w:szCs w:val="22"/>
              </w:rPr>
              <w:t xml:space="preserve">0.6</w:t>
            </w:r>
          </w:p>
        </w:tc>
      </w:tr>
      <w:tr>
        <w:tc>
          <w:tcPr>
            <w:tcW w:type="dxa" w:w="4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sz w:val="22"/>
                <w:szCs w:val="22"/>
              </w:rPr>
              <w:t xml:space="preserve">Immune-mediated Pneumonitis</w:t>
            </w:r>
          </w:p>
        </w:tc>
        <w:tc>
          <w:tcPr>
            <w:tcW w:type="dxa" w:w="2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sz w:val="22"/>
                <w:szCs w:val="22"/>
              </w:rPr>
              <w:t xml:space="preserve">5.9</w:t>
            </w:r>
          </w:p>
        </w:tc>
        <w:tc>
          <w:tcPr>
            <w:tcW w:type="dxa" w:w="2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sz w:val="22"/>
                <w:szCs w:val="22"/>
              </w:rPr>
              <w:t xml:space="preserve">2.4</w:t>
            </w:r>
          </w:p>
        </w:tc>
      </w:tr>
      <w:tr>
        <w:tc>
          <w:tcPr>
            <w:tcW w:type="dxa" w:w="4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sz w:val="22"/>
                <w:szCs w:val="22"/>
              </w:rPr>
              <w:t xml:space="preserve">Immune-mediated Nephritis</w:t>
            </w:r>
          </w:p>
        </w:tc>
        <w:tc>
          <w:tcPr>
            <w:tcW w:type="dxa" w:w="2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sz w:val="22"/>
                <w:szCs w:val="22"/>
              </w:rPr>
              <w:t xml:space="preserve">2.9</w:t>
            </w:r>
          </w:p>
        </w:tc>
        <w:tc>
          <w:tcPr>
            <w:tcW w:type="dxa" w:w="2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sz w:val="22"/>
                <w:szCs w:val="22"/>
              </w:rPr>
              <w:t xml:space="preserve">1.2</w:t>
            </w:r>
          </w:p>
        </w:tc>
      </w:tr>
      <w:tr>
        <w:tc>
          <w:tcPr>
            <w:tcW w:type="dxa" w:w="4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sz w:val="22"/>
                <w:szCs w:val="22"/>
              </w:rPr>
              <w:t xml:space="preserve">Any Grade 5 TRAE</w:t>
            </w:r>
          </w:p>
        </w:tc>
        <w:tc>
          <w:tcPr>
            <w:tcW w:type="dxa" w:w="2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sz w:val="22"/>
                <w:szCs w:val="22"/>
              </w:rPr>
              <w:t xml:space="preserve">0.6 (1 patient: pneumonitis)</w:t>
            </w:r>
          </w:p>
        </w:tc>
        <w:tc>
          <w:tcPr>
            <w:tcW w:type="dxa" w:w="2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sz w:val="22"/>
                <w:szCs w:val="22"/>
              </w:rPr>
              <w:t xml:space="preserve">—</w:t>
            </w:r>
          </w:p>
        </w:tc>
      </w:tr>
      <w:tr>
        <w:tc>
          <w:tcPr>
            <w:tcW w:type="dxa" w:w="4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sz w:val="22"/>
                <w:szCs w:val="22"/>
              </w:rPr>
              <w:t xml:space="preserve">Discontinuation due to TRAE</w:t>
            </w:r>
          </w:p>
        </w:tc>
        <w:tc>
          <w:tcPr>
            <w:tcW w:type="dxa" w:w="2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sz w:val="22"/>
                <w:szCs w:val="22"/>
              </w:rPr>
              <w:t xml:space="preserve">8.8</w:t>
            </w:r>
          </w:p>
        </w:tc>
        <w:tc>
          <w:tcPr>
            <w:tcW w:type="dxa" w:w="2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sz w:val="22"/>
                <w:szCs w:val="22"/>
              </w:rPr>
              <w:t xml:space="preserve">—</w:t>
            </w:r>
          </w:p>
        </w:tc>
      </w:tr>
    </w:tbl>
    <w:p>
      <w:pPr>
        <w:spacing w:after="120"/>
      </w:pPr>
      <w:r>
        <w:t xml:space="preserve"/>
      </w:r>
    </w:p>
    <w:p>
      <w:pPr>
        <w:spacing w:after="160"/>
        <w:jc w:val="left"/>
      </w:pPr>
      <w:r>
        <w:rPr>
          <w:i/>
          <w:iCs/>
          <w:sz w:val="20"/>
          <w:szCs w:val="20"/>
        </w:rPr>
        <w:t xml:space="preserve">TRAE = treatment-related adverse event. AEs graded per NCI CTCAE v5.0.</w:t>
      </w:r>
    </w:p>
    <w:p>
      <w:pPr>
        <w:spacing w:after="120"/>
      </w:pPr>
      <w:r>
        <w:t xml:space="preserve"/>
      </w:r>
    </w:p>
    <w:p>
      <w:pPr>
        <w:pStyle w:val="Heading2"/>
      </w:pPr>
      <w:r>
        <w:t xml:space="preserve">4.2 Immune-Mediated Adverse Events (imAEs)</w:t>
      </w:r>
    </w:p>
    <w:p>
      <w:pPr>
        <w:spacing w:after="160"/>
        <w:jc w:val="left"/>
      </w:pPr>
      <w:r>
        <w:rPr>
          <w:sz w:val="24"/>
          <w:szCs w:val="24"/>
        </w:rPr>
        <w:t xml:space="preserve">imAEs were managed per protocol-specified management algorithms using corticosteroids and/or immunosuppressants as clinically indicated. Resolution to Grade ≤1 was achieved in 91.7% of patients with imAEs. No treatment-related deaths from irAEs occurred aside from the single Grade 5 pneumonitis case noted above.</w:t>
      </w:r>
    </w:p>
    <w:p>
      <w:pPr>
        <w:spacing w:after="120"/>
      </w:pPr>
      <w:r>
        <w:t xml:space="preserve"/>
      </w:r>
    </w:p>
    <w:p>
      <w:pPr>
        <w:pStyle w:val="Heading1"/>
      </w:pPr>
      <w:r>
        <w:t xml:space="preserve">5. PROPOSED PHASE 3 DESIGN AND RATIONALE</w:t>
      </w:r>
    </w:p>
    <w:p>
      <w:pPr>
        <w:pBdr>
          <w:bottom w:val="single" w:color="2E75B6" w:sz="6" w:space="1"/>
        </w:pBdr>
        <w:spacing w:after="200"/>
      </w:pPr>
      <w:r>
        <w:t xml:space="preserve"/>
      </w:r>
    </w:p>
    <w:p>
      <w:pPr>
        <w:pStyle w:val="Heading2"/>
      </w:pPr>
      <w:r>
        <w:t xml:space="preserve">5.1 Trial Overview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80"/>
        <w:gridCol w:w="6480"/>
      </w:tblGrid>
      <w:tr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sz w:val="22"/>
                <w:szCs w:val="22"/>
              </w:rPr>
              <w:t xml:space="preserve">Study Title:</w:t>
            </w:r>
          </w:p>
        </w:tc>
        <w:tc>
          <w:tcPr>
            <w:tcW w:type="dxa" w:w="6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sz w:val="22"/>
                <w:szCs w:val="22"/>
              </w:rPr>
              <w:t xml:space="preserve">A Randomized, Double-Blind, Placebo-Controlled Phase 3 Study of Cervimab vs. Investigator's Choice Chemotherapy in Previously Treated dMMR/MSI-H mCRC (CERVIX-03)</w:t>
            </w:r>
          </w:p>
        </w:tc>
      </w:tr>
      <w:tr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sz w:val="22"/>
                <w:szCs w:val="22"/>
              </w:rPr>
              <w:t xml:space="preserve">Design:</w:t>
            </w:r>
          </w:p>
        </w:tc>
        <w:tc>
          <w:tcPr>
            <w:tcW w:type="dxa" w:w="6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sz w:val="22"/>
                <w:szCs w:val="22"/>
              </w:rPr>
              <w:t xml:space="preserve">Randomized, active-controlled, open-label, multicenter, global Phase 3</w:t>
            </w:r>
          </w:p>
        </w:tc>
      </w:tr>
      <w:tr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sz w:val="22"/>
                <w:szCs w:val="22"/>
              </w:rPr>
              <w:t xml:space="preserve">Primary Endpoint:</w:t>
            </w:r>
          </w:p>
        </w:tc>
        <w:tc>
          <w:tcPr>
            <w:tcW w:type="dxa" w:w="6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sz w:val="22"/>
                <w:szCs w:val="22"/>
              </w:rPr>
              <w:t xml:space="preserve">Progression-Free Survival (PFS) per RECIST v1.1 by BICR</w:t>
            </w:r>
          </w:p>
        </w:tc>
      </w:tr>
      <w:tr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sz w:val="22"/>
                <w:szCs w:val="22"/>
              </w:rPr>
              <w:t xml:space="preserve">Key Secondary Endpoints:</w:t>
            </w:r>
          </w:p>
        </w:tc>
        <w:tc>
          <w:tcPr>
            <w:tcW w:type="dxa" w:w="6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sz w:val="22"/>
                <w:szCs w:val="22"/>
              </w:rPr>
              <w:t xml:space="preserve">Overall Survival (OS); ORR; DOR; Patient-reported outcomes (PRO)</w:t>
            </w:r>
          </w:p>
        </w:tc>
      </w:tr>
      <w:tr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sz w:val="22"/>
                <w:szCs w:val="22"/>
              </w:rPr>
              <w:t xml:space="preserve">Randomization:</w:t>
            </w:r>
          </w:p>
        </w:tc>
        <w:tc>
          <w:tcPr>
            <w:tcW w:type="dxa" w:w="6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sz w:val="22"/>
                <w:szCs w:val="22"/>
              </w:rPr>
              <w:t xml:space="preserve">2:1 (cervimab : ICC)</w:t>
            </w:r>
          </w:p>
        </w:tc>
      </w:tr>
      <w:tr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sz w:val="22"/>
                <w:szCs w:val="22"/>
              </w:rPr>
              <w:t xml:space="preserve">Stratification Factors:</w:t>
            </w:r>
          </w:p>
        </w:tc>
        <w:tc>
          <w:tcPr>
            <w:tcW w:type="dxa" w:w="6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sz w:val="22"/>
                <w:szCs w:val="22"/>
              </w:rPr>
              <w:t xml:space="preserve">Prior lines of therapy (1 vs. ≥2); BRAF V600E status (mutant vs. WT); Geographic region</w:t>
            </w:r>
          </w:p>
        </w:tc>
      </w:tr>
      <w:tr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sz w:val="22"/>
                <w:szCs w:val="22"/>
              </w:rPr>
              <w:t xml:space="preserve">Sample Size:</w:t>
            </w:r>
          </w:p>
        </w:tc>
        <w:tc>
          <w:tcPr>
            <w:tcW w:type="dxa" w:w="6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sz w:val="22"/>
                <w:szCs w:val="22"/>
              </w:rPr>
              <w:t xml:space="preserve">~450 patients (300 cervimab; 150 ICC)</w:t>
            </w:r>
          </w:p>
        </w:tc>
      </w:tr>
      <w:tr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sz w:val="22"/>
                <w:szCs w:val="22"/>
              </w:rPr>
              <w:t xml:space="preserve">Patient Population:</w:t>
            </w:r>
          </w:p>
        </w:tc>
        <w:tc>
          <w:tcPr>
            <w:tcW w:type="dxa" w:w="6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sz w:val="22"/>
                <w:szCs w:val="22"/>
              </w:rPr>
              <w:t xml:space="preserve">Adults ≥18 years; dMMR/MSI-H mCRC confirmed by local CLIA-certified testing; ECOG PS 0–2; ≥1 prior fluoropyrimidine-based chemotherapy</w:t>
            </w:r>
          </w:p>
        </w:tc>
      </w:tr>
      <w:tr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sz w:val="22"/>
                <w:szCs w:val="22"/>
              </w:rPr>
              <w:t xml:space="preserve">Control Arm:</w:t>
            </w:r>
          </w:p>
        </w:tc>
        <w:tc>
          <w:tcPr>
            <w:tcW w:type="dxa" w:w="6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sz w:val="22"/>
                <w:szCs w:val="22"/>
              </w:rPr>
              <w:t xml:space="preserve">Investigator's Choice Chemotherapy: FOLFIRI ± bevacizumab OR regorafenib OR trifluridine/tipiracil</w:t>
            </w:r>
          </w:p>
        </w:tc>
      </w:tr>
      <w:tr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sz w:val="22"/>
                <w:szCs w:val="22"/>
              </w:rPr>
              <w:t xml:space="preserve">Primary Statistical Test:</w:t>
            </w:r>
          </w:p>
        </w:tc>
        <w:tc>
          <w:tcPr>
            <w:tcW w:type="dxa" w:w="6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sz w:val="22"/>
                <w:szCs w:val="22"/>
              </w:rPr>
              <w:t xml:space="preserve">Log-rank test; HR estimated by Cox proportional hazards model; two-sided α = 0.05</w:t>
            </w:r>
          </w:p>
        </w:tc>
      </w:tr>
    </w:tbl>
    <w:p>
      <w:pPr>
        <w:spacing w:after="120"/>
      </w:pPr>
      <w:r>
        <w:t xml:space="preserve"/>
      </w:r>
    </w:p>
    <w:p>
      <w:pPr>
        <w:pStyle w:val="Heading2"/>
      </w:pPr>
      <w:r>
        <w:t xml:space="preserve">5.2 Rationale for Active-Controlled Design</w:t>
      </w:r>
    </w:p>
    <w:p>
      <w:pPr>
        <w:spacing w:after="160"/>
        <w:jc w:val="left"/>
      </w:pPr>
      <w:r>
        <w:rPr>
          <w:sz w:val="24"/>
          <w:szCs w:val="24"/>
        </w:rPr>
        <w:t xml:space="preserve">The Sponsor acknowledges FDA's preference for randomized controlled evidence in the dMMR/MSI-H mCRC setting, particularly given the approval of pembrolizumab as first-line therapy. The proposed active control reflects the current standard of care for patients progressing after first-line immune checkpoint blockade or chemotherapy. The proposed 2:1 randomization is intended to maximize safety data collection for cervimab while maintaining a feasible sample size.</w:t>
      </w:r>
    </w:p>
    <w:p>
      <w:pPr>
        <w:spacing w:after="120"/>
      </w:pPr>
      <w:r>
        <w:t xml:space="preserve"/>
      </w:r>
    </w:p>
    <w:p>
      <w:pPr>
        <w:pStyle w:val="Heading2"/>
      </w:pPr>
      <w:r>
        <w:t xml:space="preserve">5.3 dMMR/MSI-H Biomarker Testing Strategy</w:t>
      </w:r>
    </w:p>
    <w:p>
      <w:pPr>
        <w:spacing w:after="160"/>
        <w:jc w:val="left"/>
      </w:pPr>
      <w:r>
        <w:rPr>
          <w:sz w:val="24"/>
          <w:szCs w:val="24"/>
        </w:rPr>
        <w:t xml:space="preserve">All patients will be required to have dMMR/MSI-H status confirmed prior to enrollment using a validated, CLIA-certified assay. Acceptable testing platforms include: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4"/>
          <w:szCs w:val="24"/>
        </w:rPr>
        <w:t xml:space="preserve">IHC for MLH1, MSH2, MSH6, PMS2 (dMMR defined as loss of any protein)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4"/>
          <w:szCs w:val="24"/>
        </w:rPr>
        <w:t xml:space="preserve">PCR-based MSI testing (MSI-H defined as ≥2 of 5 NCI markers unstable)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4"/>
          <w:szCs w:val="24"/>
        </w:rPr>
        <w:t xml:space="preserve">Next-generation sequencing (NGS) with validated MSI-H call per CAP/ASCO guidelines</w:t>
      </w:r>
    </w:p>
    <w:p>
      <w:pPr>
        <w:spacing w:after="160"/>
        <w:jc w:val="left"/>
      </w:pPr>
      <w:r>
        <w:rPr>
          <w:i/>
          <w:iCs/>
          <w:sz w:val="24"/>
          <w:szCs w:val="24"/>
        </w:rPr>
        <w:t xml:space="preserve">Central confirmatory testing will be performed retrospectively on archival tissue for all enrolled patients. A companion diagnostic (CDx) strategy for cervimab is under development in parallel.</w:t>
      </w:r>
    </w:p>
    <w:p>
      <w:pPr>
        <w:spacing w:after="120"/>
      </w:pPr>
      <w:r>
        <w:t xml:space="preserve"/>
      </w:r>
    </w:p>
    <w:p>
      <w:pPr>
        <w:pStyle w:val="Heading1"/>
      </w:pPr>
      <w:r>
        <w:t xml:space="preserve">6. PROPOSED ENDPOINTS AND ESTIMANDS</w:t>
      </w:r>
    </w:p>
    <w:p>
      <w:pPr>
        <w:pBdr>
          <w:bottom w:val="single" w:color="2E75B6" w:sz="6" w:space="1"/>
        </w:pBdr>
        <w:spacing w:after="200"/>
      </w:pPr>
      <w:r>
        <w:t xml:space="preserve"/>
      </w:r>
    </w:p>
    <w:p>
      <w:pPr>
        <w:pStyle w:val="Heading2"/>
      </w:pPr>
      <w:r>
        <w:t xml:space="preserve">6.1 Estimand Framework (ICH E9(R1))</w:t>
      </w:r>
    </w:p>
    <w:p>
      <w:pPr>
        <w:spacing w:after="160"/>
        <w:jc w:val="left"/>
      </w:pPr>
      <w:r>
        <w:rPr>
          <w:sz w:val="24"/>
          <w:szCs w:val="24"/>
        </w:rPr>
        <w:t xml:space="preserve">Per ICH E9(R1), the following estimands are proposed for CERVIX-03:</w:t>
      </w:r>
    </w:p>
    <w:p>
      <w:pPr>
        <w:spacing w:after="1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2400"/>
        <w:gridCol w:w="2400"/>
        <w:gridCol w:w="2760"/>
      </w:tblGrid>
      <w:tr>
        <w:trPr>
          <w:tblHeader/>
        </w:trP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sz w:val="22"/>
                <w:szCs w:val="22"/>
              </w:rPr>
              <w:t xml:space="preserve">Estimand Component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sz w:val="22"/>
                <w:szCs w:val="22"/>
              </w:rPr>
              <w:t xml:space="preserve">Primary (PFS)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sz w:val="22"/>
                <w:szCs w:val="22"/>
              </w:rPr>
              <w:t xml:space="preserve">Key Secondary (OS)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sz w:val="22"/>
                <w:szCs w:val="22"/>
              </w:rPr>
              <w:t xml:space="preserve">Key Secondary (ORR)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sz w:val="22"/>
                <w:szCs w:val="22"/>
              </w:rPr>
              <w:t xml:space="preserve">Population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sz w:val="22"/>
                <w:szCs w:val="22"/>
              </w:rPr>
              <w:t xml:space="preserve">All randomized patients with confirmed dMMR/MSI-H mCRC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sz w:val="22"/>
                <w:szCs w:val="22"/>
              </w:rPr>
              <w:t xml:space="preserve">Same as PFS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sz w:val="22"/>
                <w:szCs w:val="22"/>
              </w:rPr>
              <w:t xml:space="preserve">Same as PFS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sz w:val="22"/>
                <w:szCs w:val="22"/>
              </w:rPr>
              <w:t xml:space="preserve">Variable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sz w:val="22"/>
                <w:szCs w:val="22"/>
              </w:rPr>
              <w:t xml:space="preserve">Time from randomization to first radiologic progression per RECIST v1.1 (BICR) or death from any cause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sz w:val="22"/>
                <w:szCs w:val="22"/>
              </w:rPr>
              <w:t xml:space="preserve">Time from randomization to death from any cause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sz w:val="22"/>
                <w:szCs w:val="22"/>
              </w:rPr>
              <w:t xml:space="preserve">Best overall response per RECIST v1.1 (BICR)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sz w:val="22"/>
                <w:szCs w:val="22"/>
              </w:rPr>
              <w:t xml:space="preserve">Intercurrent Events (ICEs)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sz w:val="22"/>
                <w:szCs w:val="22"/>
              </w:rPr>
              <w:t xml:space="preserve">Treatment discontinuation, cross-over to new anti-cancer therapy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sz w:val="22"/>
                <w:szCs w:val="22"/>
              </w:rPr>
              <w:t xml:space="preserve">Cross-over to new anti-cancer therapy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sz w:val="22"/>
                <w:szCs w:val="22"/>
              </w:rPr>
              <w:t xml:space="preserve">Treatment discontinuation prior to response assessment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sz w:val="22"/>
                <w:szCs w:val="22"/>
              </w:rPr>
              <w:t xml:space="preserve">ICE Strategy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sz w:val="22"/>
                <w:szCs w:val="22"/>
              </w:rPr>
              <w:t xml:space="preserve">While on treatment: events counted as events. Post-ICE censoring at last adequate assessment (composite strategy)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sz w:val="22"/>
                <w:szCs w:val="22"/>
              </w:rPr>
              <w:t xml:space="preserve">Mortality: event; cross-over: hypothetical strategy (sensitivity)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sz w:val="22"/>
                <w:szCs w:val="22"/>
              </w:rPr>
              <w:t xml:space="preserve">Treatment policy strategy: responses before or after ICE counted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sz w:val="22"/>
                <w:szCs w:val="22"/>
              </w:rPr>
              <w:t xml:space="preserve">Summary Measure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sz w:val="22"/>
                <w:szCs w:val="22"/>
              </w:rPr>
              <w:t xml:space="preserve">Hazard Ratio (HR); Median PFS; 12-month PFS rate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sz w:val="22"/>
                <w:szCs w:val="22"/>
              </w:rPr>
              <w:t xml:space="preserve">HR; Median OS; 24-month OS rate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sz w:val="22"/>
                <w:szCs w:val="22"/>
              </w:rPr>
              <w:t xml:space="preserve">ORR (CR + PR); 95% CI (Clopper-Pearson)</w:t>
            </w:r>
          </w:p>
        </w:tc>
      </w:tr>
    </w:tbl>
    <w:p>
      <w:pPr>
        <w:spacing w:after="120"/>
      </w:pPr>
      <w:r>
        <w:t xml:space="preserve"/>
      </w:r>
    </w:p>
    <w:p>
      <w:pPr>
        <w:pStyle w:val="Heading1"/>
      </w:pPr>
      <w:r>
        <w:t xml:space="preserve">7. STATISTICAL ANALYSIS PLAN OVERVIEW</w:t>
      </w:r>
    </w:p>
    <w:p>
      <w:pPr>
        <w:pBdr>
          <w:bottom w:val="single" w:color="2E75B6" w:sz="6" w:space="1"/>
        </w:pBdr>
        <w:spacing w:after="200"/>
      </w:pPr>
      <w:r>
        <w:t xml:space="preserve"/>
      </w:r>
    </w:p>
    <w:p>
      <w:pPr>
        <w:spacing w:after="160"/>
        <w:jc w:val="left"/>
      </w:pPr>
      <w:r>
        <w:rPr>
          <w:sz w:val="24"/>
          <w:szCs w:val="24"/>
        </w:rPr>
        <w:t xml:space="preserve">The statistical analysis plan (SAP) for CERVIX-03 is under development. Key elements are summarized below for FDA review and comment:</w:t>
      </w:r>
    </w:p>
    <w:p>
      <w:pPr>
        <w:spacing w:after="120"/>
      </w:pPr>
      <w:r>
        <w:t xml:space="preserve"/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4"/>
          <w:szCs w:val="24"/>
        </w:rPr>
        <w:t xml:space="preserve">Primary analysis: log-rank test for PFS, stratified by randomization factors; two-sided α = 0.05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4"/>
          <w:szCs w:val="24"/>
        </w:rPr>
        <w:t xml:space="preserve">OS: tested at final analysis with α allocation from group sequential design (Lan-DeMets O'Brien-Fleming spending function); planned at ~70% of required OS events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4"/>
          <w:szCs w:val="24"/>
        </w:rPr>
        <w:t xml:space="preserve">Multiplicity control: hierarchical testing procedure — PFS → OS → ORR → additional secondary endpoints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4"/>
          <w:szCs w:val="24"/>
        </w:rPr>
        <w:t xml:space="preserve">Sensitivity analyses for PFS: (1) unstratified log-rank; (2) censoring at cross-over; (3) PFS2 as sensitivity for OS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4"/>
          <w:szCs w:val="24"/>
        </w:rPr>
        <w:t xml:space="preserve">Interim analyses: one PFS interim analysis at ~60% of events (alpha spending per O'Brien-Fleming); one OS interim at ~50% OS events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4"/>
          <w:szCs w:val="24"/>
        </w:rPr>
        <w:t xml:space="preserve">Sample size: 316 PFS events required for 90% power to detect HR = 0.60, assuming median PFS control arm = 4.2 months (HR 0.60 → median PFS cervimab ≈ 7.0 months)</w:t>
      </w:r>
    </w:p>
    <w:p>
      <w:pPr>
        <w:spacing w:after="120"/>
      </w:pPr>
      <w:r>
        <w:t xml:space="preserve"/>
      </w:r>
    </w:p>
    <w:p>
      <w:pPr>
        <w:spacing w:after="160"/>
        <w:jc w:val="left"/>
      </w:pPr>
      <w:r>
        <w:rPr>
          <w:b/>
          <w:bCs/>
          <w:color w:val="2E75B6"/>
          <w:sz w:val="24"/>
          <w:szCs w:val="24"/>
        </w:rPr>
        <w:t xml:space="preserve">Question for FDA: The Sponsor proposes a PFS HR threshold of 0.65 as the minimum clinically meaningful benefit. Please confirm whether FDA agrees with this threshold and the proposed sample size / event count.</w:t>
      </w:r>
    </w:p>
    <w:p>
      <w:pPr>
        <w:spacing w:after="120"/>
      </w:pPr>
      <w:r>
        <w:t xml:space="preserve"/>
      </w:r>
    </w:p>
    <w:p>
      <w:pPr>
        <w:pStyle w:val="Heading1"/>
      </w:pPr>
      <w:r>
        <w:t xml:space="preserve">8. CMC / DRUG SUPPLY SUMMARY</w:t>
      </w:r>
    </w:p>
    <w:p>
      <w:pPr>
        <w:pBdr>
          <w:bottom w:val="single" w:color="2E75B6" w:sz="6" w:space="1"/>
        </w:pBdr>
        <w:spacing w:after="200"/>
      </w:pPr>
      <w:r>
        <w:t xml:space="preserve"/>
      </w:r>
    </w:p>
    <w:p>
      <w:pPr>
        <w:spacing w:after="160"/>
        <w:jc w:val="left"/>
      </w:pPr>
      <w:r>
        <w:rPr>
          <w:sz w:val="24"/>
          <w:szCs w:val="24"/>
        </w:rPr>
        <w:t xml:space="preserve">A brief overview of the CMC status is provided. Detailed CMC information is available in the IND and will be updated prior to Phase 3 initiation.</w:t>
      </w:r>
    </w:p>
    <w:p>
      <w:pPr>
        <w:spacing w:after="1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80"/>
        <w:gridCol w:w="6480"/>
      </w:tblGrid>
      <w:tr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sz w:val="22"/>
                <w:szCs w:val="22"/>
              </w:rPr>
              <w:t xml:space="preserve">Drug Substance (DS):</w:t>
            </w:r>
          </w:p>
        </w:tc>
        <w:tc>
          <w:tcPr>
            <w:tcW w:type="dxa" w:w="6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sz w:val="22"/>
                <w:szCs w:val="22"/>
              </w:rPr>
              <w:t xml:space="preserve">Produced by CHO cell culture; Protein A affinity chromatography purification; current DS batch size: 500 L bioreactor</w:t>
            </w:r>
          </w:p>
        </w:tc>
      </w:tr>
      <w:tr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sz w:val="22"/>
                <w:szCs w:val="22"/>
              </w:rPr>
              <w:t xml:space="preserve">Drug Product (DP):</w:t>
            </w:r>
          </w:p>
        </w:tc>
        <w:tc>
          <w:tcPr>
            <w:tcW w:type="dxa" w:w="6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sz w:val="22"/>
                <w:szCs w:val="22"/>
              </w:rPr>
              <w:t xml:space="preserve">Liquid formulation; 25 mg/mL in 10 mL Type I glass vials; 2–8°C refrigerated storage; 24-month shelf life demonstrated</w:t>
            </w:r>
          </w:p>
        </w:tc>
      </w:tr>
      <w:tr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sz w:val="22"/>
                <w:szCs w:val="22"/>
              </w:rPr>
              <w:t xml:space="preserve">Manufacturing Site:</w:t>
            </w:r>
          </w:p>
        </w:tc>
        <w:tc>
          <w:tcPr>
            <w:tcW w:type="dxa" w:w="6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sz w:val="22"/>
                <w:szCs w:val="22"/>
              </w:rPr>
              <w:t xml:space="preserve">Vexion Biologics Manufacturing, Research Triangle Park, NC (FDA-registered facility; last PAI: 2024)</w:t>
            </w:r>
          </w:p>
        </w:tc>
      </w:tr>
      <w:tr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sz w:val="22"/>
                <w:szCs w:val="22"/>
              </w:rPr>
              <w:t xml:space="preserve">Phase 3 Supply:</w:t>
            </w:r>
          </w:p>
        </w:tc>
        <w:tc>
          <w:tcPr>
            <w:tcW w:type="dxa" w:w="6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sz w:val="22"/>
                <w:szCs w:val="22"/>
              </w:rPr>
              <w:t xml:space="preserve">Estimated 900 kg DS required; capacity confirmed through CMO agreement with BioFab International</w:t>
            </w:r>
          </w:p>
        </w:tc>
      </w:tr>
      <w:tr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sz w:val="22"/>
                <w:szCs w:val="22"/>
              </w:rPr>
              <w:t xml:space="preserve">Analytical Methods:</w:t>
            </w:r>
          </w:p>
        </w:tc>
        <w:tc>
          <w:tcPr>
            <w:tcW w:type="dxa" w:w="6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sz w:val="22"/>
                <w:szCs w:val="22"/>
              </w:rPr>
              <w:t xml:space="preserve">All critical quality attributes (CQAs) characterized; comparability study ongoing between Phase 2 and Phase 3 manufacturing processes</w:t>
            </w:r>
          </w:p>
        </w:tc>
      </w:tr>
      <w:tr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sz w:val="22"/>
                <w:szCs w:val="22"/>
              </w:rPr>
              <w:t xml:space="preserve">Reference Standard:</w:t>
            </w:r>
          </w:p>
        </w:tc>
        <w:tc>
          <w:tcPr>
            <w:tcW w:type="dxa" w:w="6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sz w:val="22"/>
                <w:szCs w:val="22"/>
              </w:rPr>
              <w:t xml:space="preserve">Established; qualification complete</w:t>
            </w:r>
          </w:p>
        </w:tc>
      </w:tr>
    </w:tbl>
    <w:p>
      <w:pPr>
        <w:spacing w:after="120"/>
      </w:pPr>
      <w:r>
        <w:t xml:space="preserve"/>
      </w:r>
    </w:p>
    <w:p>
      <w:pPr>
        <w:pStyle w:val="Heading1"/>
      </w:pPr>
      <w:r>
        <w:t xml:space="preserve">9. MEETING QUESTIONS</w:t>
      </w:r>
    </w:p>
    <w:p>
      <w:pPr>
        <w:pBdr>
          <w:bottom w:val="single" w:color="2E75B6" w:sz="6" w:space="1"/>
        </w:pBdr>
        <w:spacing w:after="200"/>
      </w:pPr>
      <w:r>
        <w:t xml:space="preserve"/>
      </w:r>
    </w:p>
    <w:p>
      <w:pPr>
        <w:spacing w:after="160"/>
        <w:jc w:val="left"/>
      </w:pPr>
      <w:r>
        <w:rPr>
          <w:sz w:val="24"/>
          <w:szCs w:val="24"/>
        </w:rPr>
        <w:t xml:space="preserve">The Sponsor respectfully requests FDA's responses to the following questions. Questions are organized by topic and numbered for reference.</w:t>
      </w:r>
    </w:p>
    <w:p>
      <w:pPr>
        <w:spacing w:after="120"/>
      </w:pPr>
      <w:r>
        <w:t xml:space="preserve"/>
      </w:r>
    </w:p>
    <w:p>
      <w:pPr>
        <w:pStyle w:val="Heading2"/>
      </w:pPr>
      <w:r>
        <w:t xml:space="preserve">9.1 Phase 2 Data Adequacy</w:t>
      </w:r>
    </w:p>
    <w:p>
      <w:pPr>
        <w:pStyle w:val="ListParagraph"/>
        <w:numPr>
          <w:ilvl w:val="0"/>
          <w:numId w:val="3"/>
        </w:numPr>
        <w:spacing w:after="160"/>
      </w:pPr>
      <w:r>
        <w:rPr>
          <w:sz w:val="24"/>
          <w:szCs w:val="24"/>
        </w:rPr>
        <w:t xml:space="preserve">Q1. Does FDA agree that the Phase 2 data from CERVIX-02 Cohort A (N=112; ORR 45.5% by BICR; mDOR not reached; mPFS 9.8 months) are adequate to support initiation of a pivotal Phase 3 trial in previously treated dMMR/MSI-H mCRC, without a need for additional Phase 2 data?</w:t>
      </w:r>
    </w:p>
    <w:p>
      <w:pPr>
        <w:pStyle w:val="ListParagraph"/>
        <w:numPr>
          <w:ilvl w:val="0"/>
          <w:numId w:val="3"/>
        </w:numPr>
        <w:spacing w:after="160"/>
      </w:pPr>
      <w:r>
        <w:rPr>
          <w:sz w:val="24"/>
          <w:szCs w:val="24"/>
        </w:rPr>
        <w:t xml:space="preserve">Q2. FDA is requested to comment on the adequacy of biomarker testing methodology for dMMR/MSI-H confirmation in Phase 3 (IHC, PCR, or NGS) and whether a single validated CDx platform will be required for approval.</w:t>
      </w:r>
    </w:p>
    <w:p>
      <w:pPr>
        <w:spacing w:after="120"/>
      </w:pPr>
      <w:r>
        <w:t xml:space="preserve"/>
      </w:r>
    </w:p>
    <w:p>
      <w:pPr>
        <w:pStyle w:val="Heading2"/>
      </w:pPr>
      <w:r>
        <w:t xml:space="preserve">9.2 Phase 3 Design</w:t>
      </w:r>
    </w:p>
    <w:p>
      <w:pPr>
        <w:pStyle w:val="ListParagraph"/>
        <w:numPr>
          <w:ilvl w:val="0"/>
          <w:numId w:val="4"/>
        </w:numPr>
        <w:spacing w:after="160"/>
      </w:pPr>
      <w:r>
        <w:rPr>
          <w:sz w:val="24"/>
          <w:szCs w:val="24"/>
        </w:rPr>
        <w:t xml:space="preserve">Q3. Does FDA agree with PFS per RECIST v1.1 by BICR as the primary endpoint for the pivotal Phase 3 trial (CERVIX-03) in previously treated dMMR/MSI-H mCRC, with OS as a key secondary endpoint?</w:t>
      </w:r>
    </w:p>
    <w:p>
      <w:pPr>
        <w:pStyle w:val="ListParagraph"/>
        <w:numPr>
          <w:ilvl w:val="0"/>
          <w:numId w:val="4"/>
        </w:numPr>
        <w:spacing w:after="160"/>
      </w:pPr>
      <w:r>
        <w:rPr>
          <w:sz w:val="24"/>
          <w:szCs w:val="24"/>
        </w:rPr>
        <w:t xml:space="preserve">Q4. Does FDA agree with the proposed estimand framework per ICH E9(R1), including the composite intercurrent event strategy for PFS and the hypothetical strategy sensitivity analysis for OS?</w:t>
      </w:r>
    </w:p>
    <w:p>
      <w:pPr>
        <w:pStyle w:val="ListParagraph"/>
        <w:numPr>
          <w:ilvl w:val="0"/>
          <w:numId w:val="4"/>
        </w:numPr>
        <w:spacing w:after="160"/>
      </w:pPr>
      <w:r>
        <w:rPr>
          <w:sz w:val="24"/>
          <w:szCs w:val="24"/>
        </w:rPr>
        <w:t xml:space="preserve">Q5. Does FDA agree with the proposed 2:1 randomization ratio (cervimab : ICC), stratification factors, and active control arm (FOLFIRI ± bevacizumab, regorafenib, or trifluridine/tipiracil per investigator's choice)?</w:t>
      </w:r>
    </w:p>
    <w:p>
      <w:pPr>
        <w:pStyle w:val="ListParagraph"/>
        <w:numPr>
          <w:ilvl w:val="0"/>
          <w:numId w:val="4"/>
        </w:numPr>
        <w:spacing w:after="160"/>
      </w:pPr>
      <w:r>
        <w:rPr>
          <w:sz w:val="24"/>
          <w:szCs w:val="24"/>
        </w:rPr>
        <w:t xml:space="preserve">Q6. Does FDA agree with the proposed sample size of approximately 450 patients and the target of 316 PFS events to achieve 90% power at HR = 0.60? If FDA believes a different effect size or event count is warranted, please advise.</w:t>
      </w:r>
    </w:p>
    <w:p>
      <w:pPr>
        <w:spacing w:after="120"/>
      </w:pPr>
      <w:r>
        <w:t xml:space="preserve"/>
      </w:r>
    </w:p>
    <w:p>
      <w:pPr>
        <w:pStyle w:val="Heading2"/>
      </w:pPr>
      <w:r>
        <w:t xml:space="preserve">9.3 Accelerated Approval / Regulatory Pathway</w:t>
      </w:r>
    </w:p>
    <w:p>
      <w:pPr>
        <w:pStyle w:val="ListParagraph"/>
        <w:numPr>
          <w:ilvl w:val="0"/>
          <w:numId w:val="5"/>
        </w:numPr>
        <w:spacing w:after="160"/>
      </w:pPr>
      <w:r>
        <w:rPr>
          <w:sz w:val="24"/>
          <w:szCs w:val="24"/>
        </w:rPr>
        <w:t xml:space="preserve">Q7. Given the established precedent for accelerated approval of PD-1 inhibitors in MSI-H malignancies, does FDA consider ORR and DOR from CERVIX-02 as a potential basis for accelerated approval in previously treated dMMR/MSI-H mCRC, while CERVIX-03 provides confirmatory evidence?</w:t>
      </w:r>
    </w:p>
    <w:p>
      <w:pPr>
        <w:pStyle w:val="ListParagraph"/>
        <w:numPr>
          <w:ilvl w:val="0"/>
          <w:numId w:val="5"/>
        </w:numPr>
        <w:spacing w:after="160"/>
      </w:pPr>
      <w:r>
        <w:rPr>
          <w:sz w:val="24"/>
          <w:szCs w:val="24"/>
        </w:rPr>
        <w:t xml:space="preserve">Q8. Does FDA agree that CERVIX-03 would qualify for the Special Protocol Assessment (SPA) process? The Sponsor intends to submit an SPA request concurrently with or shortly following this EOP2 meeting.</w:t>
      </w:r>
    </w:p>
    <w:p>
      <w:pPr>
        <w:spacing w:after="120"/>
      </w:pPr>
      <w:r>
        <w:t xml:space="preserve"/>
      </w:r>
    </w:p>
    <w:p>
      <w:pPr>
        <w:pStyle w:val="Heading2"/>
      </w:pPr>
      <w:r>
        <w:t xml:space="preserve">9.4 Safety and Benefit-Risk</w:t>
      </w:r>
    </w:p>
    <w:p>
      <w:pPr>
        <w:pStyle w:val="ListParagraph"/>
        <w:numPr>
          <w:ilvl w:val="0"/>
          <w:numId w:val="6"/>
        </w:numPr>
        <w:spacing w:after="160"/>
      </w:pPr>
      <w:r>
        <w:rPr>
          <w:sz w:val="24"/>
          <w:szCs w:val="24"/>
        </w:rPr>
        <w:t xml:space="preserve">Q9. Does FDA agree that the safety database from CERVIX-01 and CERVIX-02 (N=218 patients with cervimab; minimum follow-up 12 months) is adequate to characterize the safety profile of cervimab to support initiation of Phase 3? Are there any additional safety assessments or risk mitigation strategies FDA recommends be incorporated into CERVIX-03?</w:t>
      </w:r>
    </w:p>
    <w:p>
      <w:pPr>
        <w:spacing w:after="120"/>
      </w:pPr>
      <w:r>
        <w:t xml:space="preserve"/>
      </w:r>
    </w:p>
    <w:p>
      <w:pPr>
        <w:pStyle w:val="Heading2"/>
      </w:pPr>
      <w:r>
        <w:t xml:space="preserve">9.5 CMC</w:t>
      </w:r>
    </w:p>
    <w:p>
      <w:pPr>
        <w:pStyle w:val="ListParagraph"/>
        <w:numPr>
          <w:ilvl w:val="0"/>
          <w:numId w:val="7"/>
        </w:numPr>
        <w:spacing w:after="160"/>
      </w:pPr>
      <w:r>
        <w:rPr>
          <w:sz w:val="24"/>
          <w:szCs w:val="24"/>
        </w:rPr>
        <w:t xml:space="preserve">Q10. Does FDA have any concerns with the proposed Phase 3 manufacturing process or scale-up strategy as described in Section 8, given that a formal comparability study between Phase 2 and Phase 3 DS lots is currently ongoing?</w:t>
      </w:r>
    </w:p>
    <w:p>
      <w:pPr>
        <w:spacing w:after="120"/>
      </w:pPr>
      <w:r>
        <w:t xml:space="preserve"/>
      </w:r>
    </w:p>
    <w:p>
      <w:pPr>
        <w:pStyle w:val="Heading1"/>
      </w:pPr>
      <w:r>
        <w:t xml:space="preserve">10. APPENDICES</w:t>
      </w:r>
    </w:p>
    <w:p>
      <w:pPr>
        <w:pBdr>
          <w:bottom w:val="single" w:color="2E75B6" w:sz="6" w:space="1"/>
        </w:pBdr>
        <w:spacing w:after="200"/>
      </w:pPr>
      <w:r>
        <w:t xml:space="preserve"/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4"/>
          <w:szCs w:val="24"/>
        </w:rPr>
        <w:t xml:space="preserve">Appendix A: CERVIX-02 Clinical Study Report (Summary)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4"/>
          <w:szCs w:val="24"/>
        </w:rPr>
        <w:t xml:space="preserve">Appendix B: Integrated Summary of Safety (Phase 1/2 Pooled Analysis)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4"/>
          <w:szCs w:val="24"/>
        </w:rPr>
        <w:t xml:space="preserve">Appendix C: Proposed Phase 3 Protocol Synopsis (CERVIX-03)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4"/>
          <w:szCs w:val="24"/>
        </w:rPr>
        <w:t xml:space="preserve">Appendix D: Statistical Analysis Plan (Outline)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4"/>
          <w:szCs w:val="24"/>
        </w:rPr>
        <w:t xml:space="preserve">Appendix E: PK/PD Summary and Dose Selection Rationale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4"/>
          <w:szCs w:val="24"/>
        </w:rPr>
        <w:t xml:space="preserve">Appendix F: Biomarker Testing Guidance and CDx Development Plan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4"/>
          <w:szCs w:val="24"/>
        </w:rPr>
        <w:t xml:space="preserve">Appendix G: Product Quality Overview (CMC)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4"/>
          <w:szCs w:val="24"/>
        </w:rPr>
        <w:t xml:space="preserve">Appendix H: Publications and Regulatory Communications</w:t>
      </w:r>
    </w:p>
    <w:sectPr>
      <w:headerReference w:type="default" r:id="rId6"/>
      <w:pgSz w:w="12240" w:h="15840" w:orient="portrait"/>
      <w:pgMar w:top="1440" w:right="1296" w:bottom="1440" w:left="1296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2E75B6" w:sz="4" w:space="1"/>
      </w:pBdr>
      <w:spacing w:after="120"/>
    </w:pPr>
    <w:r>
      <w:rPr>
        <w:color w:val="666666"/>
        <w:sz w:val="18"/>
        <w:szCs w:val="18"/>
      </w:rPr>
      <w:t xml:space="preserve">CONFIDENTIAL — Type B EOP2 Meeting Request | Cervimab | IND 123456 | Vexion Therapeutics  </w:t>
    </w:r>
    <w:r>
      <w:rPr>
        <w:color w:val="666666"/>
        <w:sz w:val="18"/>
        <w:szCs w:val="18"/>
      </w:rPr>
      <w:fldChar w:fldCharType="begin"/>
      <w:instrText xml:space="preserve">PAGE</w:instrText>
      <w:fldChar w:fldCharType="separate"/>
      <w:fldChar w:fldCharType="end"/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bullet"/>
      <w:lvlText w:val="–"/>
      <w:lvlJc w:val="left"/>
      <w:pPr>
        <w:ind w:left="1080" w:hanging="360"/>
      </w:pPr>
    </w:lvl>
  </w:abstractNum>
  <w:abstractNum w:abstractNumId="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4"/>
    <w:lvlOverride w:ilvl="0">
      <w:startOverride w:val="1"/>
    </w:lvlOverride>
  </w:num>
  <w:num w:numId="4">
    <w:abstractNumId w:val="5"/>
    <w:lvlOverride w:ilvl="0">
      <w:startOverride w:val="1"/>
    </w:lvlOverride>
  </w:num>
  <w:num w:numId="5">
    <w:abstractNumId w:val="6"/>
    <w:lvlOverride w:ilvl="0">
      <w:startOverride w:val="1"/>
    </w:lvlOverride>
  </w:num>
  <w:num w:numId="6">
    <w:abstractNumId w:val="7"/>
    <w:lvlOverride w:ilvl="0">
      <w:startOverride w:val="1"/>
    </w:lvlOverride>
  </w:num>
  <w:num w:numId="7">
    <w:abstractNumId w:val="8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4"/>
        <w:szCs w:val="24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360" w:after="160"/>
      <w:outlineLvl w:val="0"/>
    </w:pPr>
    <w:rPr>
      <w:rFonts w:ascii="Arial" w:cs="Arial" w:eastAsia="Arial" w:hAnsi="Arial"/>
      <w:b/>
      <w:bCs/>
      <w:color w:val="1F3864"/>
      <w:sz w:val="32"/>
      <w:szCs w:val="32"/>
    </w:rPr>
  </w:style>
  <w:style w:type="paragraph" w:styleId="Heading2">
    <w:name w:val="Heading 2"/>
    <w:basedOn w:val="Normal"/>
    <w:next w:val="Normal"/>
    <w:qFormat/>
    <w:pPr>
      <w:spacing w:before="240" w:after="120"/>
      <w:outlineLvl w:val="1"/>
    </w:pPr>
    <w:rPr>
      <w:rFonts w:ascii="Arial" w:cs="Arial" w:eastAsia="Arial" w:hAnsi="Arial"/>
      <w:b/>
      <w:bCs/>
      <w:color w:val="2E75B6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header" Target="header1.xml"/><Relationship Id="rId7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2026-03-16T13:53:29.492Z</dcterms:created>
  <dcterms:modified xsi:type="dcterms:W3CDTF">2026-03-16T13:53:29.492Z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