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480" w:after="120"/>
        <w:jc w:val="center"/>
      </w:pPr>
      <w:r>
        <w:rPr>
          <w:rFonts w:ascii="Arial" w:cs="Arial" w:eastAsia="Arial" w:hAnsi="Arial"/>
          <w:b/>
          <w:bCs/>
          <w:color w:val="17375E"/>
          <w:sz w:val="40"/>
          <w:szCs w:val="40"/>
        </w:rPr>
        <w:t xml:space="preserve">CLINICAL STUDY PROTOCOL</w:t>
      </w:r>
    </w:p>
    <w:p>
      <w:pPr>
        <w:spacing w:before="0" w:after="60"/>
        <w:jc w:val="center"/>
      </w:pPr>
      <w:r>
        <w:rPr>
          <w:rFonts w:ascii="Arial" w:cs="Arial" w:eastAsia="Arial" w:hAnsi="Arial"/>
          <w:color w:val="1F4E79"/>
          <w:sz w:val="28"/>
          <w:szCs w:val="28"/>
        </w:rPr>
        <w:t xml:space="preserve">Phase 2a, Open-Label, Single-Arm Study</w:t>
      </w:r>
    </w:p>
    <w:p>
      <w:r>
        <w:t xml:space="preserve"/>
      </w:r>
    </w:p>
    <w:p>
      <w:pPr>
        <w:spacing w:before="60" w:after="60"/>
        <w:jc w:val="center"/>
      </w:pPr>
      <w:r>
        <w:rPr>
          <w:rFonts w:ascii="Arial" w:cs="Arial" w:eastAsia="Arial" w:hAnsi="Arial"/>
          <w:b/>
          <w:bCs/>
          <w:color w:val="1F4E79"/>
          <w:sz w:val="36"/>
          <w:szCs w:val="36"/>
        </w:rPr>
        <w:t xml:space="preserve">CERVIMAB</w:t>
      </w:r>
    </w:p>
    <w:p>
      <w:pPr>
        <w:spacing w:before="0" w:after="60"/>
        <w:jc w:val="center"/>
      </w:pPr>
      <w:r>
        <w:rPr>
          <w:rFonts w:ascii="Arial" w:cs="Arial" w:eastAsia="Arial" w:hAnsi="Arial"/>
          <w:color w:val="555555"/>
          <w:sz w:val="22"/>
          <w:szCs w:val="22"/>
        </w:rPr>
        <w:t xml:space="preserve">(Anti-PD-1 Monoclonal Antibody)</w:t>
      </w:r>
    </w:p>
    <w:p>
      <w:r>
        <w:t xml:space="preserve"/>
      </w:r>
    </w:p>
    <w:p>
      <w:pPr>
        <w:spacing w:before="60" w:after="60"/>
        <w:jc w:val="center"/>
      </w:pPr>
      <w:r>
        <w:rPr>
          <w:rFonts w:ascii="Arial" w:cs="Arial" w:eastAsia="Arial" w:hAnsi="Arial"/>
          <w:b/>
          <w:bCs/>
          <w:color w:val="17375E"/>
          <w:sz w:val="24"/>
          <w:szCs w:val="24"/>
        </w:rPr>
        <w:t xml:space="preserve">A Phase 2a Study to Evaluate the Efficacy and Safety of Cervimab</w:t>
      </w:r>
    </w:p>
    <w:p>
      <w:pPr>
        <w:spacing w:before="0" w:after="120"/>
        <w:jc w:val="center"/>
      </w:pPr>
      <w:r>
        <w:rPr>
          <w:rFonts w:ascii="Arial" w:cs="Arial" w:eastAsia="Arial" w:hAnsi="Arial"/>
          <w:b/>
          <w:bCs/>
          <w:color w:val="17375E"/>
          <w:sz w:val="24"/>
          <w:szCs w:val="24"/>
        </w:rPr>
        <w:t xml:space="preserve">in Patients with dMMR/MSI-H Metastatic Colorectal Cancer</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7375E"/>
                <w:sz w:val="18"/>
                <w:szCs w:val="18"/>
              </w:rPr>
              <w:t xml:space="preserve">Document Field</w:t>
            </w:r>
          </w:p>
        </w:tc>
        <w:tc>
          <w:tcPr>
            <w:tcW w:type="dxa" w:w="5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7375E"/>
                <w:sz w:val="18"/>
                <w:szCs w:val="18"/>
              </w:rPr>
              <w:t xml:space="preserve">Details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Protocol Number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CVB-CRC-201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IND Number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XXXXX (Pending)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EudraCT Number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XXXX-XXXXXX-XX</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Sponsor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Cervi Therapeutics, Inc.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Sponsor Address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100 Innovation Drive, Cambridge, MA 02139</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Medical Monitor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Jane M. Doe, MD, PhD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Protocol Version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Protocol Date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01 March 2025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Indication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dMMR/MSI-H Metastatic Colorectal Cancer (mCRC)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IND Holder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Cervi Therapeutics, Inc.</w:t>
            </w:r>
          </w:p>
        </w:tc>
      </w:tr>
    </w:tbl>
    <w:p>
      <w:r>
        <w:t xml:space="preserve"/>
      </w:r>
    </w:p>
    <w:p>
      <w:pPr>
        <w:spacing w:before="120" w:after="60"/>
        <w:jc w:val="center"/>
      </w:pPr>
      <w:r>
        <w:rPr>
          <w:rFonts w:ascii="Arial" w:cs="Arial" w:eastAsia="Arial" w:hAnsi="Arial"/>
          <w:b/>
          <w:bCs/>
          <w:color w:val="CC0000"/>
          <w:sz w:val="18"/>
          <w:szCs w:val="18"/>
        </w:rPr>
        <w:t xml:space="preserve">CONFIDENTIAL — FOR INVESTIGATIONAL USE ONLY</w:t>
      </w:r>
    </w:p>
    <w:p>
      <w:pPr>
        <w:spacing w:before="0" w:after="60"/>
        <w:jc w:val="center"/>
      </w:pPr>
      <w:r>
        <w:rPr>
          <w:rFonts w:ascii="Arial" w:cs="Arial" w:eastAsia="Arial" w:hAnsi="Arial"/>
          <w:color w:val="888888"/>
          <w:sz w:val="16"/>
          <w:szCs w:val="16"/>
        </w:rPr>
        <w:t xml:space="preserve">This document contains proprietary and confidential information.</w:t>
      </w:r>
    </w:p>
    <w:p>
      <w:pPr>
        <w:pageBreakBefore/>
      </w:pPr>
      <w:r>
        <w:t xml:space="preserve"/>
      </w:r>
    </w:p>
    <w:p>
      <w:pPr>
        <w:pStyle w:val="Heading1"/>
        <w:pBdr>
          <w:bottom w:val="single" w:color="1F4E79" w:sz="6" w:space="4"/>
        </w:pBdr>
        <w:spacing w:before="360" w:after="120"/>
      </w:pPr>
      <w:r>
        <w:rPr>
          <w:rFonts w:ascii="Arial" w:cs="Arial" w:eastAsia="Arial" w:hAnsi="Arial"/>
          <w:b/>
          <w:bCs/>
          <w:color w:val="17375E"/>
          <w:sz w:val="28"/>
          <w:szCs w:val="28"/>
        </w:rPr>
        <w:t xml:space="preserve">PROTOCOL SYNOPSIS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7375E"/>
                <w:sz w:val="18"/>
                <w:szCs w:val="18"/>
              </w:rPr>
              <w:t xml:space="preserve">Parameter</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7375E"/>
                <w:sz w:val="18"/>
                <w:szCs w:val="18"/>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2a, Open-Label, Single-Arm Study of Cervimab in Patients with dMMR/MSI-H Metastatic Colorectal Cancer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Short 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CVB-CRC-201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Study Phase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2a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Study Design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Open-label, single-arm, multicenter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Investigational Drug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Cervimab (anti-PD-1 monoclonal antibody), 200 mg IV Q3W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Study Population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Adults with dMMR/MSI-H mCRC who have received at least 1 prior line of systemic therapy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Sample Size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40 evaluable patients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Primary Endpoint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Objective Response Rate (ORR) per RECIST v1.1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Secondary Endpoints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Duration of Response (DoR), Progression-Free Survival (PFS), Overall Survival (OS), Disease Control Rate (DCR), Safety and tolerability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Exploratory Endpoints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PD-L1 expression, TMB, ctDNA, tumor-infiltrating lymphocytes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Treatment Duration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 to 24 months or until disease progression or unacceptable toxicity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Follow-Up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Survival follow-up every 12 weeks for up to 24 months post-treatment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Regulatory Context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 FDA IND; ICH E6(R2) GCP compliant</w:t>
            </w:r>
          </w:p>
        </w:tc>
      </w:tr>
    </w:tbl>
    <w:p>
      <w:pPr>
        <w:pageBreakBefore/>
      </w:pPr>
      <w:r>
        <w:t xml:space="preserve"/>
      </w:r>
    </w:p>
    <w:p>
      <w:pPr>
        <w:pStyle w:val="Heading1"/>
        <w:pBdr>
          <w:bottom w:val="single" w:color="1F4E79" w:sz="6" w:space="4"/>
        </w:pBdr>
        <w:spacing w:before="360" w:after="120"/>
      </w:pPr>
      <w:r>
        <w:rPr>
          <w:rFonts w:ascii="Arial" w:cs="Arial" w:eastAsia="Arial" w:hAnsi="Arial"/>
          <w:b/>
          <w:bCs/>
          <w:color w:val="17375E"/>
          <w:sz w:val="28"/>
          <w:szCs w:val="28"/>
        </w:rPr>
        <w:t xml:space="preserve">TABLE OF CONTENTS</w:t>
      </w:r>
    </w:p>
    <w:p>
      <w:pPr>
        <w:spacing w:before="60" w:after="80"/>
      </w:pPr>
      <w:r>
        <w:rPr>
          <w:rFonts w:ascii="Arial" w:cs="Arial" w:eastAsia="Arial" w:hAnsi="Arial"/>
          <w:sz w:val="20"/>
          <w:szCs w:val="20"/>
        </w:rPr>
        <w:t xml:space="preserve">1.   Background and Rationale</w:t>
      </w:r>
    </w:p>
    <w:p>
      <w:pPr>
        <w:spacing w:before="60" w:after="80"/>
      </w:pPr>
      <w:r>
        <w:rPr>
          <w:rFonts w:ascii="Arial" w:cs="Arial" w:eastAsia="Arial" w:hAnsi="Arial"/>
          <w:sz w:val="20"/>
          <w:szCs w:val="20"/>
        </w:rPr>
        <w:t xml:space="preserve">2.   Study Objectives and Endpoints</w:t>
      </w:r>
    </w:p>
    <w:p>
      <w:pPr>
        <w:spacing w:before="60" w:after="80"/>
      </w:pPr>
      <w:r>
        <w:rPr>
          <w:rFonts w:ascii="Arial" w:cs="Arial" w:eastAsia="Arial" w:hAnsi="Arial"/>
          <w:sz w:val="20"/>
          <w:szCs w:val="20"/>
        </w:rPr>
        <w:t xml:space="preserve">3.   Study Design</w:t>
      </w:r>
    </w:p>
    <w:p>
      <w:pPr>
        <w:spacing w:before="60" w:after="80"/>
      </w:pPr>
      <w:r>
        <w:rPr>
          <w:rFonts w:ascii="Arial" w:cs="Arial" w:eastAsia="Arial" w:hAnsi="Arial"/>
          <w:sz w:val="20"/>
          <w:szCs w:val="20"/>
        </w:rPr>
        <w:t xml:space="preserve">4.   Study Population</w:t>
      </w:r>
    </w:p>
    <w:p>
      <w:pPr>
        <w:spacing w:before="60" w:after="80"/>
      </w:pPr>
      <w:r>
        <w:rPr>
          <w:rFonts w:ascii="Arial" w:cs="Arial" w:eastAsia="Arial" w:hAnsi="Arial"/>
          <w:sz w:val="20"/>
          <w:szCs w:val="20"/>
        </w:rPr>
        <w:t xml:space="preserve">5.   Treatment Plan</w:t>
      </w:r>
    </w:p>
    <w:p>
      <w:pPr>
        <w:spacing w:before="60" w:after="80"/>
      </w:pPr>
      <w:r>
        <w:rPr>
          <w:rFonts w:ascii="Arial" w:cs="Arial" w:eastAsia="Arial" w:hAnsi="Arial"/>
          <w:sz w:val="20"/>
          <w:szCs w:val="20"/>
        </w:rPr>
        <w:t xml:space="preserve">6.   Study Procedures and Assessments</w:t>
      </w:r>
    </w:p>
    <w:p>
      <w:pPr>
        <w:spacing w:before="60" w:after="80"/>
      </w:pPr>
      <w:r>
        <w:rPr>
          <w:rFonts w:ascii="Arial" w:cs="Arial" w:eastAsia="Arial" w:hAnsi="Arial"/>
          <w:sz w:val="20"/>
          <w:szCs w:val="20"/>
        </w:rPr>
        <w:t xml:space="preserve">7.   Safety Monitoring and Reporting</w:t>
      </w:r>
    </w:p>
    <w:p>
      <w:pPr>
        <w:spacing w:before="60" w:after="80"/>
      </w:pPr>
      <w:r>
        <w:rPr>
          <w:rFonts w:ascii="Arial" w:cs="Arial" w:eastAsia="Arial" w:hAnsi="Arial"/>
          <w:sz w:val="20"/>
          <w:szCs w:val="20"/>
        </w:rPr>
        <w:t xml:space="preserve">8.   Statistical Methods</w:t>
      </w:r>
    </w:p>
    <w:p>
      <w:pPr>
        <w:spacing w:before="60" w:after="80"/>
      </w:pPr>
      <w:r>
        <w:rPr>
          <w:rFonts w:ascii="Arial" w:cs="Arial" w:eastAsia="Arial" w:hAnsi="Arial"/>
          <w:sz w:val="20"/>
          <w:szCs w:val="20"/>
        </w:rPr>
        <w:t xml:space="preserve">9.   Data Management</w:t>
      </w:r>
    </w:p>
    <w:p>
      <w:pPr>
        <w:spacing w:before="60" w:after="80"/>
      </w:pPr>
      <w:r>
        <w:rPr>
          <w:rFonts w:ascii="Arial" w:cs="Arial" w:eastAsia="Arial" w:hAnsi="Arial"/>
          <w:sz w:val="20"/>
          <w:szCs w:val="20"/>
        </w:rPr>
        <w:t xml:space="preserve">10.  Ethical Considerations</w:t>
      </w:r>
    </w:p>
    <w:p>
      <w:pPr>
        <w:spacing w:before="60" w:after="80"/>
      </w:pPr>
      <w:r>
        <w:rPr>
          <w:rFonts w:ascii="Arial" w:cs="Arial" w:eastAsia="Arial" w:hAnsi="Arial"/>
          <w:sz w:val="20"/>
          <w:szCs w:val="20"/>
        </w:rPr>
        <w:t xml:space="preserve">11.  Regulatory Compliance</w:t>
      </w:r>
    </w:p>
    <w:p>
      <w:pPr>
        <w:spacing w:before="60" w:after="80"/>
      </w:pPr>
      <w:r>
        <w:rPr>
          <w:rFonts w:ascii="Arial" w:cs="Arial" w:eastAsia="Arial" w:hAnsi="Arial"/>
          <w:sz w:val="20"/>
          <w:szCs w:val="20"/>
        </w:rPr>
        <w:t xml:space="preserve">12.  References</w:t>
      </w:r>
    </w:p>
    <w:p>
      <w:pPr>
        <w:spacing w:before="60" w:after="80"/>
      </w:pPr>
      <w:r>
        <w:rPr>
          <w:rFonts w:ascii="Arial" w:cs="Arial" w:eastAsia="Arial" w:hAnsi="Arial"/>
          <w:sz w:val="20"/>
          <w:szCs w:val="20"/>
        </w:rPr>
        <w:t xml:space="preserve">Appendices</w:t>
      </w:r>
    </w:p>
    <w:p>
      <w:pPr>
        <w:pageBreakBefore/>
      </w:pPr>
      <w:r>
        <w:t xml:space="preserve"/>
      </w:r>
    </w:p>
    <w:p>
      <w:pPr>
        <w:pStyle w:val="Heading1"/>
        <w:pBdr>
          <w:bottom w:val="single" w:color="1F4E79" w:sz="6" w:space="4"/>
        </w:pBdr>
        <w:spacing w:before="360" w:after="120"/>
      </w:pPr>
      <w:r>
        <w:rPr>
          <w:rFonts w:ascii="Arial" w:cs="Arial" w:eastAsia="Arial" w:hAnsi="Arial"/>
          <w:b/>
          <w:bCs/>
          <w:color w:val="17375E"/>
          <w:sz w:val="28"/>
          <w:szCs w:val="28"/>
        </w:rPr>
        <w:t xml:space="preserve">1. BACKGROUND AND RATIONALE</w:t>
      </w:r>
    </w:p>
    <w:p>
      <w:pPr>
        <w:pStyle w:val="Heading2"/>
        <w:spacing w:before="240" w:after="80"/>
      </w:pPr>
      <w:r>
        <w:rPr>
          <w:rFonts w:ascii="Arial" w:cs="Arial" w:eastAsia="Arial" w:hAnsi="Arial"/>
          <w:b/>
          <w:bCs/>
          <w:color w:val="1F4E79"/>
          <w:sz w:val="24"/>
          <w:szCs w:val="24"/>
        </w:rPr>
        <w:t xml:space="preserve">1.1 Disease Overview</w:t>
      </w:r>
    </w:p>
    <w:p>
      <w:pPr>
        <w:spacing w:before="60" w:after="80"/>
      </w:pPr>
      <w:r>
        <w:rPr>
          <w:rFonts w:ascii="Arial" w:cs="Arial" w:eastAsia="Arial" w:hAnsi="Arial"/>
          <w:sz w:val="20"/>
          <w:szCs w:val="20"/>
        </w:rPr>
        <w:t xml:space="preserve">Colorectal cancer (CRC) is the third most commonly diagnosed cancer and the second leading cause of cancer-related mortality worldwide, with an estimated 1.93 million new cases and 935,000 deaths annually (GLOBOCAN 2022). Approximately 20-25% of patients present with metastatic disease at the time of diagnosis, and an additional 25-30% will develop metastatic disease over their clinical course. Five-year survival for metastatic CRC (mCRC) remains approximately 14% with standard chemotherapy-based regimens.</w:t>
      </w:r>
    </w:p>
    <w:p>
      <w:pPr>
        <w:spacing w:before="60" w:after="80"/>
      </w:pPr>
      <w:r>
        <w:rPr>
          <w:rFonts w:ascii="Arial" w:cs="Arial" w:eastAsia="Arial" w:hAnsi="Arial"/>
          <w:sz w:val="20"/>
          <w:szCs w:val="20"/>
        </w:rPr>
        <w:t xml:space="preserve">Deficiency in the DNA mismatch repair (dMMR) pathway, identified either through immunohistochemistry (IHC) or high microsatellite instability (MSI-H) by molecular testing, occurs in approximately 3-5% of mCRC cases. These tumors accumulate a high burden of frameshift mutations generating neoantigens that can be recognized by the immune system, making them uniquely susceptible to immune checkpoint blockade.</w:t>
      </w:r>
    </w:p>
    <w:p>
      <w:pPr>
        <w:pStyle w:val="Heading2"/>
        <w:spacing w:before="240" w:after="80"/>
      </w:pPr>
      <w:r>
        <w:rPr>
          <w:rFonts w:ascii="Arial" w:cs="Arial" w:eastAsia="Arial" w:hAnsi="Arial"/>
          <w:b/>
          <w:bCs/>
          <w:color w:val="1F4E79"/>
          <w:sz w:val="24"/>
          <w:szCs w:val="24"/>
        </w:rPr>
        <w:t xml:space="preserve">1.2 Scientific Rationale for Immunotherapy in dMMR/MSI-H mCRC</w:t>
      </w:r>
    </w:p>
    <w:p>
      <w:pPr>
        <w:spacing w:before="60" w:after="80"/>
      </w:pPr>
      <w:r>
        <w:rPr>
          <w:rFonts w:ascii="Arial" w:cs="Arial" w:eastAsia="Arial" w:hAnsi="Arial"/>
          <w:sz w:val="20"/>
          <w:szCs w:val="20"/>
        </w:rPr>
        <w:t xml:space="preserve">The biological basis for enhanced immunotherapy responsiveness in dMMR/MSI-H tumors includes: (1) high tumor mutational burden (TMB) leading to abundant neoantigens; (2) dense tumor-infiltrating lymphocyte (TIL) infiltration; (3) elevated expression of PD-L1 and other immune checkpoint molecules; and (4) enrichment of effector memory T cells. These features collectively create an immunologically 'hot' tumor microenvironment amenable to PD-1/PD-L1 blockade.</w:t>
      </w:r>
    </w:p>
    <w:p>
      <w:pPr>
        <w:spacing w:before="60" w:after="80"/>
      </w:pPr>
      <w:r>
        <w:rPr>
          <w:rFonts w:ascii="Arial" w:cs="Arial" w:eastAsia="Arial" w:hAnsi="Arial"/>
          <w:sz w:val="20"/>
          <w:szCs w:val="20"/>
        </w:rPr>
        <w:t xml:space="preserve">Pembrolizumab (KEYNOTE-158, KEYNOTE-177) and nivolumab (CheckMate 142) have demonstrated durable objective responses (ORR ~40%) and significant improvement in progression-free and overall survival compared to chemotherapy in dMMR/MSI-H mCRC patients. These landmark results led to FDA approvals of pembrolizumab as first-line monotherapy and nivolumab with or without ipilimumab.</w:t>
      </w:r>
    </w:p>
    <w:p>
      <w:pPr>
        <w:pStyle w:val="Heading2"/>
        <w:spacing w:before="240" w:after="80"/>
      </w:pPr>
      <w:r>
        <w:rPr>
          <w:rFonts w:ascii="Arial" w:cs="Arial" w:eastAsia="Arial" w:hAnsi="Arial"/>
          <w:b/>
          <w:bCs/>
          <w:color w:val="1F4E79"/>
          <w:sz w:val="24"/>
          <w:szCs w:val="24"/>
        </w:rPr>
        <w:t xml:space="preserve">1.3 Cervimab: Investigational Agent</w:t>
      </w:r>
    </w:p>
    <w:p>
      <w:pPr>
        <w:spacing w:before="60" w:after="80"/>
      </w:pPr>
      <w:r>
        <w:rPr>
          <w:rFonts w:ascii="Arial" w:cs="Arial" w:eastAsia="Arial" w:hAnsi="Arial"/>
          <w:sz w:val="20"/>
          <w:szCs w:val="20"/>
        </w:rPr>
        <w:t xml:space="preserve">Cervimab is a fully humanized IgG4 monoclonal antibody that binds with high affinity and specificity to the PD-1 receptor on T lymphocytes, blocking interaction with its ligands PD-L1 and PD-L2. Cervimab was engineered with a stabilizing Fc region mutation (S228P) to prevent Fab-arm exchange and reduce Fc-mediated effector functions, consistent with its mechanism as an immune checkpoint blocker rather than an antibody-dependent cellular cytotoxicity (ADCC) agent.</w:t>
      </w:r>
    </w:p>
    <w:p>
      <w:pPr>
        <w:spacing w:before="60" w:after="80"/>
      </w:pPr>
      <w:r>
        <w:rPr>
          <w:rFonts w:ascii="Arial" w:cs="Arial" w:eastAsia="Arial" w:hAnsi="Arial"/>
          <w:sz w:val="20"/>
          <w:szCs w:val="20"/>
        </w:rPr>
        <w:t xml:space="preserve">Preclinical data demonstrate potent PD-1 blockade with an IC50 of 0.8 nM in T-cell activation assays, favorable pharmacokinetic profile with a predicted human half-life of ~25 days, and no off-target binding to other immune receptors in comprehensive cross-reactivity panels.</w:t>
      </w:r>
    </w:p>
    <w:p>
      <w:pPr>
        <w:pStyle w:val="Heading2"/>
        <w:spacing w:before="240" w:after="80"/>
      </w:pPr>
      <w:r>
        <w:rPr>
          <w:rFonts w:ascii="Arial" w:cs="Arial" w:eastAsia="Arial" w:hAnsi="Arial"/>
          <w:b/>
          <w:bCs/>
          <w:color w:val="1F4E79"/>
          <w:sz w:val="24"/>
          <w:szCs w:val="24"/>
        </w:rPr>
        <w:t xml:space="preserve">1.4 Prior Clinical Experience with Cervimab</w:t>
      </w:r>
    </w:p>
    <w:p>
      <w:pPr>
        <w:spacing w:before="60" w:after="80"/>
      </w:pPr>
      <w:r>
        <w:rPr>
          <w:rFonts w:ascii="Arial" w:cs="Arial" w:eastAsia="Arial" w:hAnsi="Arial"/>
          <w:sz w:val="20"/>
          <w:szCs w:val="20"/>
        </w:rPr>
        <w:t xml:space="preserve">Cervimab has been evaluated in a Phase 1 dose-escalation study (CVB-001) in patients with advanced solid tumors (N=56). The recommended Phase 2 dose (RP2D) was established as 200 mg IV every 3 weeks based on acceptable safety, PK/PD data, and preliminary anti-tumor activity. Specifically, in patients with dMMR/MSI-H tumors within the Phase 1 cohort (N=8), 3 confirmed partial responses were observed (ORR 37.5%), providing proof-of-concept for the current study.</w:t>
      </w:r>
    </w:p>
    <w:p>
      <w:pPr>
        <w:spacing w:before="60" w:after="80"/>
      </w:pPr>
      <w:r>
        <w:rPr>
          <w:rFonts w:ascii="Arial" w:cs="Arial" w:eastAsia="Arial" w:hAnsi="Arial"/>
          <w:sz w:val="20"/>
          <w:szCs w:val="20"/>
        </w:rPr>
        <w:t xml:space="preserve">The safety profile of cervimab is consistent with the class effects of PD-1 inhibitors, with immune-related adverse events (irAEs) observed in approximately 60% of patients (all grades) and approximately 15% (Grade 3-4). No unexpected safety signals were observed, and no treatment-related deaths occurred.</w:t>
      </w:r>
    </w:p>
    <w:p>
      <w:pPr>
        <w:pStyle w:val="Heading2"/>
        <w:spacing w:before="240" w:after="80"/>
      </w:pPr>
      <w:r>
        <w:rPr>
          <w:rFonts w:ascii="Arial" w:cs="Arial" w:eastAsia="Arial" w:hAnsi="Arial"/>
          <w:b/>
          <w:bCs/>
          <w:color w:val="1F4E79"/>
          <w:sz w:val="24"/>
          <w:szCs w:val="24"/>
        </w:rPr>
        <w:t xml:space="preserve">1.5 Rationale for Phase 2a Study Design</w:t>
      </w:r>
    </w:p>
    <w:p>
      <w:pPr>
        <w:spacing w:before="60" w:after="80"/>
      </w:pPr>
      <w:r>
        <w:rPr>
          <w:rFonts w:ascii="Arial" w:cs="Arial" w:eastAsia="Arial" w:hAnsi="Arial"/>
          <w:sz w:val="20"/>
          <w:szCs w:val="20"/>
        </w:rPr>
        <w:t xml:space="preserve">This Phase 2a study is designed as a single-arm, open-label study utilizing a two-stage Simon optimal design, which provides an efficient and ethically sound approach to assess the preliminary efficacy of cervimab in the dMMR/MSI-H mCRC population. The single-arm design is appropriate given: (1) strong proof-of-concept from Phase 1 data; (2) the established efficacy of PD-1 inhibitors in this biomarker-defined population serving as historical benchmark; (3) ethical considerations precluding a placebo arm given available active therapies; and (4) regulatory alignment with FDA Breakthrough Therapy Designation pathways for biomarker-enriched oncology studies.</w:t>
      </w:r>
    </w:p>
    <w:p>
      <w:pPr>
        <w:pageBreakBefore/>
      </w:pPr>
      <w:r>
        <w:t xml:space="preserve"/>
      </w:r>
    </w:p>
    <w:p>
      <w:pPr>
        <w:pStyle w:val="Heading1"/>
        <w:pBdr>
          <w:bottom w:val="single" w:color="1F4E79" w:sz="6" w:space="4"/>
        </w:pBdr>
        <w:spacing w:before="360" w:after="120"/>
      </w:pPr>
      <w:r>
        <w:rPr>
          <w:rFonts w:ascii="Arial" w:cs="Arial" w:eastAsia="Arial" w:hAnsi="Arial"/>
          <w:b/>
          <w:bCs/>
          <w:color w:val="17375E"/>
          <w:sz w:val="28"/>
          <w:szCs w:val="28"/>
        </w:rPr>
        <w:t xml:space="preserve">2. STUDY OBJECTIVES AND ENDPOINTS</w:t>
      </w:r>
    </w:p>
    <w:p>
      <w:pPr>
        <w:pStyle w:val="Heading2"/>
        <w:spacing w:before="240" w:after="80"/>
      </w:pPr>
      <w:r>
        <w:rPr>
          <w:rFonts w:ascii="Arial" w:cs="Arial" w:eastAsia="Arial" w:hAnsi="Arial"/>
          <w:b/>
          <w:bCs/>
          <w:color w:val="1F4E79"/>
          <w:sz w:val="24"/>
          <w:szCs w:val="24"/>
        </w:rPr>
        <w:t xml:space="preserve">2.1 Primary Objective</w:t>
      </w:r>
    </w:p>
    <w:p>
      <w:pPr>
        <w:spacing w:before="60" w:after="80"/>
      </w:pPr>
      <w:r>
        <w:rPr>
          <w:rFonts w:ascii="Arial" w:cs="Arial" w:eastAsia="Arial" w:hAnsi="Arial"/>
          <w:sz w:val="20"/>
          <w:szCs w:val="20"/>
        </w:rPr>
        <w:t xml:space="preserve">To evaluate the antitumor activity of cervimab 200 mg IV Q3W, as measured by objective response rate (ORR), in patients with previously treated dMMR/MSI-H mCRC.</w:t>
      </w:r>
    </w:p>
    <w:p>
      <w:pPr>
        <w:pStyle w:val="Heading2"/>
        <w:spacing w:before="240" w:after="80"/>
      </w:pPr>
      <w:r>
        <w:rPr>
          <w:rFonts w:ascii="Arial" w:cs="Arial" w:eastAsia="Arial" w:hAnsi="Arial"/>
          <w:b/>
          <w:bCs/>
          <w:color w:val="1F4E79"/>
          <w:sz w:val="24"/>
          <w:szCs w:val="24"/>
        </w:rPr>
        <w:t xml:space="preserve">2.2 Primary Endpoint</w:t>
      </w:r>
    </w:p>
    <w:p>
      <w:pPr>
        <w:spacing w:before="60" w:after="80"/>
      </w:pPr>
      <w:r>
        <w:rPr>
          <w:rFonts w:ascii="Arial" w:cs="Arial" w:eastAsia="Arial" w:hAnsi="Arial"/>
          <w:sz w:val="20"/>
          <w:szCs w:val="20"/>
        </w:rPr>
        <w:t xml:space="preserve">Objective Response Rate (ORR), defined as the proportion of patients achieving confirmed complete response (CR) or partial response (PR) per Response Evaluation Criteria in Solid Tumors version 1.1 (RECIST v1.1) as assessed by blinded independent central review (BICR).</w:t>
      </w:r>
    </w:p>
    <w:p>
      <w:pPr>
        <w:pStyle w:val="Heading2"/>
        <w:spacing w:before="240" w:after="80"/>
      </w:pPr>
      <w:r>
        <w:rPr>
          <w:rFonts w:ascii="Arial" w:cs="Arial" w:eastAsia="Arial" w:hAnsi="Arial"/>
          <w:b/>
          <w:bCs/>
          <w:color w:val="1F4E79"/>
          <w:sz w:val="24"/>
          <w:szCs w:val="24"/>
        </w:rPr>
        <w:t xml:space="preserve">2.3 Secondary Objectives and Endpoints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36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7375E"/>
                <w:sz w:val="18"/>
                <w:szCs w:val="18"/>
              </w:rPr>
              <w:t xml:space="preserve">Objective</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7375E"/>
                <w:sz w:val="18"/>
                <w:szCs w:val="18"/>
              </w:rPr>
              <w:t xml:space="preserve">Endpoint</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7375E"/>
                <w:sz w:val="18"/>
                <w:szCs w:val="18"/>
              </w:rPr>
              <w:t xml:space="preserve">Assessment Method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Evaluate durability of response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Duration of Response (DoR)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RECIST v1.1 / BICR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Evaluate time to progression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Progression-Free Survival (PFS)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RECIST v1.1 / BICR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Evaluate overall survival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Overall Survival (OS)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Vital status follow-up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Evaluate disease control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Disease Control Rate (DCR) = CR+PR+SD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RECIST v1.1 / BICR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Characterize safety profile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Incidence, severity, and causality of AEs per CTCAE v5.0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Investigator assessment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Evaluate immunogenicity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Anti-drug antibody (ADA) incidence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Validated immunoassay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Characterize PK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Trough (Ctrough) and peak (Cmax) concentrations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Validated PK assay</w:t>
            </w:r>
          </w:p>
        </w:tc>
      </w:tr>
    </w:tbl>
    <w:p>
      <w:r>
        <w:t xml:space="preserve"/>
      </w:r>
    </w:p>
    <w:p>
      <w:pPr>
        <w:pStyle w:val="Heading2"/>
        <w:spacing w:before="240" w:after="80"/>
      </w:pPr>
      <w:r>
        <w:rPr>
          <w:rFonts w:ascii="Arial" w:cs="Arial" w:eastAsia="Arial" w:hAnsi="Arial"/>
          <w:b/>
          <w:bCs/>
          <w:color w:val="1F4E79"/>
          <w:sz w:val="24"/>
          <w:szCs w:val="24"/>
        </w:rPr>
        <w:t xml:space="preserve">2.4 Exploratory Endpoints</w:t>
      </w:r>
    </w:p>
    <w:p>
      <w:pPr>
        <w:pStyle w:val="ListParagraph"/>
        <w:numPr>
          <w:ilvl w:val="0"/>
          <w:numId w:val="2"/>
        </w:numPr>
        <w:spacing w:before="40" w:after="40"/>
      </w:pPr>
      <w:r>
        <w:rPr>
          <w:rFonts w:ascii="Arial" w:cs="Arial" w:eastAsia="Arial" w:hAnsi="Arial"/>
          <w:sz w:val="20"/>
          <w:szCs w:val="20"/>
        </w:rPr>
        <w:t xml:space="preserve">Correlation of PD-L1 Combined Positive Score (CPS) with ORR and PFS</w:t>
      </w:r>
    </w:p>
    <w:p>
      <w:pPr>
        <w:pStyle w:val="ListParagraph"/>
        <w:numPr>
          <w:ilvl w:val="0"/>
          <w:numId w:val="2"/>
        </w:numPr>
        <w:spacing w:before="40" w:after="40"/>
      </w:pPr>
      <w:r>
        <w:rPr>
          <w:rFonts w:ascii="Arial" w:cs="Arial" w:eastAsia="Arial" w:hAnsi="Arial"/>
          <w:sz w:val="20"/>
          <w:szCs w:val="20"/>
        </w:rPr>
        <w:t xml:space="preserve">Correlation of tumor mutational burden (TMB) with clinical outcomes</w:t>
      </w:r>
    </w:p>
    <w:p>
      <w:pPr>
        <w:pStyle w:val="ListParagraph"/>
        <w:numPr>
          <w:ilvl w:val="0"/>
          <w:numId w:val="2"/>
        </w:numPr>
        <w:spacing w:before="40" w:after="40"/>
      </w:pPr>
      <w:r>
        <w:rPr>
          <w:rFonts w:ascii="Arial" w:cs="Arial" w:eastAsia="Arial" w:hAnsi="Arial"/>
          <w:sz w:val="20"/>
          <w:szCs w:val="20"/>
        </w:rPr>
        <w:t xml:space="preserve">Circulating tumor DNA (ctDNA) dynamics as an early efficacy biomarker</w:t>
      </w:r>
    </w:p>
    <w:p>
      <w:pPr>
        <w:pStyle w:val="ListParagraph"/>
        <w:numPr>
          <w:ilvl w:val="0"/>
          <w:numId w:val="2"/>
        </w:numPr>
        <w:spacing w:before="40" w:after="40"/>
      </w:pPr>
      <w:r>
        <w:rPr>
          <w:rFonts w:ascii="Arial" w:cs="Arial" w:eastAsia="Arial" w:hAnsi="Arial"/>
          <w:sz w:val="20"/>
          <w:szCs w:val="20"/>
        </w:rPr>
        <w:t xml:space="preserve">Tumor-infiltrating lymphocyte (TIL) density and immunophenotype</w:t>
      </w:r>
    </w:p>
    <w:p>
      <w:pPr>
        <w:pStyle w:val="ListParagraph"/>
        <w:numPr>
          <w:ilvl w:val="0"/>
          <w:numId w:val="2"/>
        </w:numPr>
        <w:spacing w:before="40" w:after="40"/>
      </w:pPr>
      <w:r>
        <w:rPr>
          <w:rFonts w:ascii="Arial" w:cs="Arial" w:eastAsia="Arial" w:hAnsi="Arial"/>
          <w:sz w:val="20"/>
          <w:szCs w:val="20"/>
        </w:rPr>
        <w:t xml:space="preserve">Transcriptomic profiling of responders vs. non-responders via RNA-seq</w:t>
      </w:r>
    </w:p>
    <w:p>
      <w:pPr>
        <w:pStyle w:val="ListParagraph"/>
        <w:numPr>
          <w:ilvl w:val="0"/>
          <w:numId w:val="2"/>
        </w:numPr>
        <w:spacing w:before="40" w:after="40"/>
      </w:pPr>
      <w:r>
        <w:rPr>
          <w:rFonts w:ascii="Arial" w:cs="Arial" w:eastAsia="Arial" w:hAnsi="Arial"/>
          <w:sz w:val="20"/>
          <w:szCs w:val="20"/>
        </w:rPr>
        <w:t xml:space="preserve">Patient-reported outcomes (PROs) using EORTC QLQ-C30 and EQ-5D-5L</w:t>
      </w:r>
    </w:p>
    <w:p>
      <w:pPr>
        <w:pageBreakBefore/>
      </w:pPr>
      <w:r>
        <w:t xml:space="preserve"/>
      </w:r>
    </w:p>
    <w:p>
      <w:pPr>
        <w:pStyle w:val="Heading1"/>
        <w:pBdr>
          <w:bottom w:val="single" w:color="1F4E79" w:sz="6" w:space="4"/>
        </w:pBdr>
        <w:spacing w:before="360" w:after="120"/>
      </w:pPr>
      <w:r>
        <w:rPr>
          <w:rFonts w:ascii="Arial" w:cs="Arial" w:eastAsia="Arial" w:hAnsi="Arial"/>
          <w:b/>
          <w:bCs/>
          <w:color w:val="17375E"/>
          <w:sz w:val="28"/>
          <w:szCs w:val="28"/>
        </w:rPr>
        <w:t xml:space="preserve">3. STUDY DESIGN</w:t>
      </w:r>
    </w:p>
    <w:p>
      <w:pPr>
        <w:pStyle w:val="Heading2"/>
        <w:spacing w:before="240" w:after="80"/>
      </w:pPr>
      <w:r>
        <w:rPr>
          <w:rFonts w:ascii="Arial" w:cs="Arial" w:eastAsia="Arial" w:hAnsi="Arial"/>
          <w:b/>
          <w:bCs/>
          <w:color w:val="1F4E79"/>
          <w:sz w:val="24"/>
          <w:szCs w:val="24"/>
        </w:rPr>
        <w:t xml:space="preserve">3.1 Overview</w:t>
      </w:r>
    </w:p>
    <w:p>
      <w:pPr>
        <w:spacing w:before="60" w:after="80"/>
      </w:pPr>
      <w:r>
        <w:rPr>
          <w:rFonts w:ascii="Arial" w:cs="Arial" w:eastAsia="Arial" w:hAnsi="Arial"/>
          <w:sz w:val="20"/>
          <w:szCs w:val="20"/>
        </w:rPr>
        <w:t xml:space="preserve">CVB-CRC-201 is a Phase 2a, open-label, single-arm, multicenter study employing a two-stage Simon Optimal design to evaluate the efficacy and safety of cervimab in patients with dMMR/MSI-H mCRC who have received at least one prior line of systemic therapy.</w:t>
      </w:r>
    </w:p>
    <w:p>
      <w:pPr>
        <w:pStyle w:val="Heading2"/>
        <w:spacing w:before="240" w:after="80"/>
      </w:pPr>
      <w:r>
        <w:rPr>
          <w:rFonts w:ascii="Arial" w:cs="Arial" w:eastAsia="Arial" w:hAnsi="Arial"/>
          <w:b/>
          <w:bCs/>
          <w:color w:val="1F4E79"/>
          <w:sz w:val="24"/>
          <w:szCs w:val="24"/>
        </w:rPr>
        <w:t xml:space="preserve">3.2 Simon Two-Stage Design</w:t>
      </w:r>
    </w:p>
    <w:p>
      <w:pPr>
        <w:spacing w:before="60" w:after="80"/>
      </w:pPr>
      <w:r>
        <w:rPr>
          <w:rFonts w:ascii="Arial" w:cs="Arial" w:eastAsia="Arial" w:hAnsi="Arial"/>
          <w:sz w:val="20"/>
          <w:szCs w:val="20"/>
        </w:rPr>
        <w:t xml:space="preserve">The study utilizes the Simon Optimal design to minimize the expected sample size under the null hypothesis while controlling Type I and Type II error rates.</w:t>
      </w:r>
    </w:p>
    <w:p>
      <w:pPr>
        <w:pStyle w:val="ListParagraph"/>
        <w:numPr>
          <w:ilvl w:val="0"/>
          <w:numId w:val="2"/>
        </w:numPr>
        <w:spacing w:before="40" w:after="40"/>
      </w:pPr>
      <w:r>
        <w:rPr>
          <w:rFonts w:ascii="Arial" w:cs="Arial" w:eastAsia="Arial" w:hAnsi="Arial"/>
          <w:sz w:val="20"/>
          <w:szCs w:val="20"/>
        </w:rPr>
        <w:t xml:space="preserve">Null hypothesis (H0): ORR &lt;= 20% (p0 = 0.20; consistent with historical chemotherapy benchmark)</w:t>
      </w:r>
    </w:p>
    <w:p>
      <w:pPr>
        <w:pStyle w:val="ListParagraph"/>
        <w:numPr>
          <w:ilvl w:val="0"/>
          <w:numId w:val="2"/>
        </w:numPr>
        <w:spacing w:before="40" w:after="40"/>
      </w:pPr>
      <w:r>
        <w:rPr>
          <w:rFonts w:ascii="Arial" w:cs="Arial" w:eastAsia="Arial" w:hAnsi="Arial"/>
          <w:sz w:val="20"/>
          <w:szCs w:val="20"/>
        </w:rPr>
        <w:t xml:space="preserve">Alternative hypothesis (H1): ORR &gt;= 40% (p1 = 0.40; clinically meaningful threshold)</w:t>
      </w:r>
    </w:p>
    <w:p>
      <w:pPr>
        <w:pStyle w:val="ListParagraph"/>
        <w:numPr>
          <w:ilvl w:val="0"/>
          <w:numId w:val="2"/>
        </w:numPr>
        <w:spacing w:before="40" w:after="40"/>
      </w:pPr>
      <w:r>
        <w:rPr>
          <w:rFonts w:ascii="Arial" w:cs="Arial" w:eastAsia="Arial" w:hAnsi="Arial"/>
          <w:sz w:val="20"/>
          <w:szCs w:val="20"/>
        </w:rPr>
        <w:t xml:space="preserve">Alpha (one-sided): 0.05</w:t>
      </w:r>
    </w:p>
    <w:p>
      <w:pPr>
        <w:pStyle w:val="ListParagraph"/>
        <w:numPr>
          <w:ilvl w:val="0"/>
          <w:numId w:val="2"/>
        </w:numPr>
        <w:spacing w:before="40" w:after="40"/>
      </w:pPr>
      <w:r>
        <w:rPr>
          <w:rFonts w:ascii="Arial" w:cs="Arial" w:eastAsia="Arial" w:hAnsi="Arial"/>
          <w:sz w:val="20"/>
          <w:szCs w:val="20"/>
        </w:rPr>
        <w:t xml:space="preserve">Power (1-beta): 0.80</w:t>
      </w:r>
    </w:p>
    <w:p>
      <w:pPr>
        <w:pStyle w:val="ListParagraph"/>
        <w:numPr>
          <w:ilvl w:val="0"/>
          <w:numId w:val="2"/>
        </w:numPr>
        <w:spacing w:before="40" w:after="40"/>
      </w:pPr>
      <w:r>
        <w:rPr>
          <w:rFonts w:ascii="Arial" w:cs="Arial" w:eastAsia="Arial" w:hAnsi="Arial"/>
          <w:sz w:val="20"/>
          <w:szCs w:val="20"/>
        </w:rPr>
        <w:t xml:space="preserve">Stage 1: Enroll 19 patients. If &lt;= 5 responses: stop for futility. If &gt;= 6: proceed to Stage 2.</w:t>
      </w:r>
    </w:p>
    <w:p>
      <w:pPr>
        <w:pStyle w:val="ListParagraph"/>
        <w:numPr>
          <w:ilvl w:val="0"/>
          <w:numId w:val="2"/>
        </w:numPr>
        <w:spacing w:before="40" w:after="40"/>
      </w:pPr>
      <w:r>
        <w:rPr>
          <w:rFonts w:ascii="Arial" w:cs="Arial" w:eastAsia="Arial" w:hAnsi="Arial"/>
          <w:sz w:val="20"/>
          <w:szCs w:val="20"/>
        </w:rPr>
        <w:t xml:space="preserve">Stage 2: Enroll additional 21 patients (total N=40). Reject H0 if &gt;= 13 responses observed in 40 patients.</w:t>
      </w:r>
    </w:p>
    <w:p>
      <w:pPr>
        <w:pStyle w:val="Heading2"/>
        <w:spacing w:before="240" w:after="80"/>
      </w:pPr>
      <w:r>
        <w:rPr>
          <w:rFonts w:ascii="Arial" w:cs="Arial" w:eastAsia="Arial" w:hAnsi="Arial"/>
          <w:b/>
          <w:bCs/>
          <w:color w:val="1F4E79"/>
          <w:sz w:val="24"/>
          <w:szCs w:val="24"/>
        </w:rPr>
        <w:t xml:space="preserve">3.3 Study Schema</w:t>
      </w:r>
    </w:p>
    <w:p>
      <w:pPr>
        <w:spacing w:before="60" w:after="80"/>
      </w:pPr>
      <w:r>
        <w:rPr>
          <w:rFonts w:ascii="Arial" w:cs="Arial" w:eastAsia="Arial" w:hAnsi="Arial"/>
          <w:sz w:val="20"/>
          <w:szCs w:val="20"/>
        </w:rPr>
        <w:t xml:space="preserve">Screening (up to 28 days) -&gt; Enrollment &amp; Baseline -&gt; Treatment: Cervimab 200 mg IV Q3W (Cycles 1-up to 32 cycles [~24 months]) -&gt; End of Treatment (EOT) Visit -&gt; Safety Follow-Up (30 days post last dose) -&gt; Survival Follow-Up (Q12W up to 24 months).</w:t>
      </w:r>
    </w:p>
    <w:p>
      <w:pPr>
        <w:pStyle w:val="Heading2"/>
        <w:spacing w:before="240" w:after="80"/>
      </w:pPr>
      <w:r>
        <w:rPr>
          <w:rFonts w:ascii="Arial" w:cs="Arial" w:eastAsia="Arial" w:hAnsi="Arial"/>
          <w:b/>
          <w:bCs/>
          <w:color w:val="1F4E79"/>
          <w:sz w:val="24"/>
          <w:szCs w:val="24"/>
        </w:rPr>
        <w:t xml:space="preserve">3.4 Study Duration</w:t>
      </w:r>
    </w:p>
    <w:p>
      <w:pPr>
        <w:pStyle w:val="ListParagraph"/>
        <w:numPr>
          <w:ilvl w:val="0"/>
          <w:numId w:val="2"/>
        </w:numPr>
        <w:spacing w:before="40" w:after="40"/>
      </w:pPr>
      <w:r>
        <w:rPr>
          <w:rFonts w:ascii="Arial" w:cs="Arial" w:eastAsia="Arial" w:hAnsi="Arial"/>
          <w:sz w:val="20"/>
          <w:szCs w:val="20"/>
        </w:rPr>
        <w:t xml:space="preserve">Enrollment period: Approximately 18 months</w:t>
      </w:r>
    </w:p>
    <w:p>
      <w:pPr>
        <w:pStyle w:val="ListParagraph"/>
        <w:numPr>
          <w:ilvl w:val="0"/>
          <w:numId w:val="2"/>
        </w:numPr>
        <w:spacing w:before="40" w:after="40"/>
      </w:pPr>
      <w:r>
        <w:rPr>
          <w:rFonts w:ascii="Arial" w:cs="Arial" w:eastAsia="Arial" w:hAnsi="Arial"/>
          <w:sz w:val="20"/>
          <w:szCs w:val="20"/>
        </w:rPr>
        <w:t xml:space="preserve">Treatment duration per patient: Up to 24 months (or until PD/unacceptable toxicity)</w:t>
      </w:r>
    </w:p>
    <w:p>
      <w:pPr>
        <w:pStyle w:val="ListParagraph"/>
        <w:numPr>
          <w:ilvl w:val="0"/>
          <w:numId w:val="2"/>
        </w:numPr>
        <w:spacing w:before="40" w:after="40"/>
      </w:pPr>
      <w:r>
        <w:rPr>
          <w:rFonts w:ascii="Arial" w:cs="Arial" w:eastAsia="Arial" w:hAnsi="Arial"/>
          <w:sz w:val="20"/>
          <w:szCs w:val="20"/>
        </w:rPr>
        <w:t xml:space="preserve">Follow-up period: Up to 24 months post-treatment</w:t>
      </w:r>
    </w:p>
    <w:p>
      <w:pPr>
        <w:pStyle w:val="ListParagraph"/>
        <w:numPr>
          <w:ilvl w:val="0"/>
          <w:numId w:val="2"/>
        </w:numPr>
        <w:spacing w:before="40" w:after="40"/>
      </w:pPr>
      <w:r>
        <w:rPr>
          <w:rFonts w:ascii="Arial" w:cs="Arial" w:eastAsia="Arial" w:hAnsi="Arial"/>
          <w:sz w:val="20"/>
          <w:szCs w:val="20"/>
        </w:rPr>
        <w:t xml:space="preserve">Total study duration: Approximately 5 years</w:t>
      </w:r>
    </w:p>
    <w:p>
      <w:pPr>
        <w:pStyle w:val="Heading2"/>
        <w:spacing w:before="240" w:after="80"/>
      </w:pPr>
      <w:r>
        <w:rPr>
          <w:rFonts w:ascii="Arial" w:cs="Arial" w:eastAsia="Arial" w:hAnsi="Arial"/>
          <w:b/>
          <w:bCs/>
          <w:color w:val="1F4E79"/>
          <w:sz w:val="24"/>
          <w:szCs w:val="24"/>
        </w:rPr>
        <w:t xml:space="preserve">3.5 Number of Sites</w:t>
      </w:r>
    </w:p>
    <w:p>
      <w:pPr>
        <w:spacing w:before="60" w:after="80"/>
      </w:pPr>
      <w:r>
        <w:rPr>
          <w:rFonts w:ascii="Arial" w:cs="Arial" w:eastAsia="Arial" w:hAnsi="Arial"/>
          <w:sz w:val="20"/>
          <w:szCs w:val="20"/>
        </w:rPr>
        <w:t xml:space="preserve">Approximately 10-15 US clinical sites with demonstrated oncology research infrastructure, dMMR/MSI-H testing capabilities, and experience with immune checkpoint inhibitor administration.</w:t>
      </w:r>
    </w:p>
    <w:p>
      <w:pPr>
        <w:pageBreakBefore/>
      </w:pPr>
      <w:r>
        <w:t xml:space="preserve"/>
      </w:r>
    </w:p>
    <w:p>
      <w:pPr>
        <w:pStyle w:val="Heading1"/>
        <w:pBdr>
          <w:bottom w:val="single" w:color="1F4E79" w:sz="6" w:space="4"/>
        </w:pBdr>
        <w:spacing w:before="360" w:after="120"/>
      </w:pPr>
      <w:r>
        <w:rPr>
          <w:rFonts w:ascii="Arial" w:cs="Arial" w:eastAsia="Arial" w:hAnsi="Arial"/>
          <w:b/>
          <w:bCs/>
          <w:color w:val="17375E"/>
          <w:sz w:val="28"/>
          <w:szCs w:val="28"/>
        </w:rPr>
        <w:t xml:space="preserve">4. STUDY POPULATION</w:t>
      </w:r>
    </w:p>
    <w:p>
      <w:pPr>
        <w:pStyle w:val="Heading2"/>
        <w:spacing w:before="240" w:after="80"/>
      </w:pPr>
      <w:r>
        <w:rPr>
          <w:rFonts w:ascii="Arial" w:cs="Arial" w:eastAsia="Arial" w:hAnsi="Arial"/>
          <w:b/>
          <w:bCs/>
          <w:color w:val="1F4E79"/>
          <w:sz w:val="24"/>
          <w:szCs w:val="24"/>
        </w:rPr>
        <w:t xml:space="preserve">4.1 Inclusion Criteria</w:t>
      </w:r>
    </w:p>
    <w:p>
      <w:pPr>
        <w:spacing w:before="60" w:after="80"/>
      </w:pPr>
      <w:r>
        <w:rPr>
          <w:rFonts w:ascii="Arial" w:cs="Arial" w:eastAsia="Arial" w:hAnsi="Arial"/>
          <w:sz w:val="20"/>
          <w:szCs w:val="20"/>
        </w:rPr>
        <w:t xml:space="preserve">Patients must meet ALL of the following criteria to be eligible:</w:t>
      </w:r>
    </w:p>
    <w:p>
      <w:pPr>
        <w:pStyle w:val="ListParagraph"/>
        <w:numPr>
          <w:ilvl w:val="0"/>
          <w:numId w:val="3"/>
        </w:numPr>
        <w:spacing w:before="40" w:after="40"/>
      </w:pPr>
      <w:r>
        <w:rPr>
          <w:rFonts w:ascii="Arial" w:cs="Arial" w:eastAsia="Arial" w:hAnsi="Arial"/>
          <w:sz w:val="20"/>
          <w:szCs w:val="20"/>
        </w:rPr>
        <w:t xml:space="preserve">Histologically or cytologically confirmed adenocarcinoma of the colon or rectum with evidence of metastatic or unresectable disease.</w:t>
      </w:r>
    </w:p>
    <w:p>
      <w:pPr>
        <w:pStyle w:val="ListParagraph"/>
        <w:numPr>
          <w:ilvl w:val="0"/>
          <w:numId w:val="3"/>
        </w:numPr>
        <w:spacing w:before="40" w:after="40"/>
      </w:pPr>
      <w:r>
        <w:rPr>
          <w:rFonts w:ascii="Arial" w:cs="Arial" w:eastAsia="Arial" w:hAnsi="Arial"/>
          <w:sz w:val="20"/>
          <w:szCs w:val="20"/>
        </w:rPr>
        <w:t xml:space="preserve">dMMR/MSI-H status confirmed by one of the following: (a) Loss of MMR protein expression (MLH1, MSH2, MSH6, and/or PMS2) by IHC performed in a CLIA-certified laboratory; OR (b) MSI-H by PCR or NGS panel in a CLIA-certified laboratory. Testing performed on primary or metastatic tumor tissue is acceptable.</w:t>
      </w:r>
    </w:p>
    <w:p>
      <w:pPr>
        <w:pStyle w:val="ListParagraph"/>
        <w:numPr>
          <w:ilvl w:val="0"/>
          <w:numId w:val="3"/>
        </w:numPr>
        <w:spacing w:before="40" w:after="40"/>
      </w:pPr>
      <w:r>
        <w:rPr>
          <w:rFonts w:ascii="Arial" w:cs="Arial" w:eastAsia="Arial" w:hAnsi="Arial"/>
          <w:sz w:val="20"/>
          <w:szCs w:val="20"/>
        </w:rPr>
        <w:t xml:space="preserve">Measurable disease per RECIST v1.1, as assessed by CT or MRI within 28 days prior to enrollment.</w:t>
      </w:r>
    </w:p>
    <w:p>
      <w:pPr>
        <w:pStyle w:val="ListParagraph"/>
        <w:numPr>
          <w:ilvl w:val="0"/>
          <w:numId w:val="3"/>
        </w:numPr>
        <w:spacing w:before="40" w:after="40"/>
      </w:pPr>
      <w:r>
        <w:rPr>
          <w:rFonts w:ascii="Arial" w:cs="Arial" w:eastAsia="Arial" w:hAnsi="Arial"/>
          <w:sz w:val="20"/>
          <w:szCs w:val="20"/>
        </w:rPr>
        <w:t xml:space="preserve">Prior treatment with at least one line of systemic chemotherapy for metastatic disease (e.g., FOLFOX, FOLFIRI, CAPOX). Prior targeted therapy (e.g., bevacizumab, cetuximab, panitumumab where applicable) is permitted.</w:t>
      </w:r>
    </w:p>
    <w:p>
      <w:pPr>
        <w:pStyle w:val="ListParagraph"/>
        <w:numPr>
          <w:ilvl w:val="0"/>
          <w:numId w:val="3"/>
        </w:numPr>
        <w:spacing w:before="40" w:after="40"/>
      </w:pPr>
      <w:r>
        <w:rPr>
          <w:rFonts w:ascii="Arial" w:cs="Arial" w:eastAsia="Arial" w:hAnsi="Arial"/>
          <w:sz w:val="20"/>
          <w:szCs w:val="20"/>
        </w:rPr>
        <w:t xml:space="preserve">Eastern Cooperative Oncology Group (ECOG) Performance Status of 0 or 1.</w:t>
      </w:r>
    </w:p>
    <w:p>
      <w:pPr>
        <w:pStyle w:val="ListParagraph"/>
        <w:numPr>
          <w:ilvl w:val="0"/>
          <w:numId w:val="3"/>
        </w:numPr>
        <w:spacing w:before="40" w:after="40"/>
      </w:pPr>
      <w:r>
        <w:rPr>
          <w:rFonts w:ascii="Arial" w:cs="Arial" w:eastAsia="Arial" w:hAnsi="Arial"/>
          <w:sz w:val="20"/>
          <w:szCs w:val="20"/>
        </w:rPr>
        <w:t xml:space="preserve">Age &gt;= 18 years at time of informed consent.</w:t>
      </w:r>
    </w:p>
    <w:p>
      <w:pPr>
        <w:pStyle w:val="ListParagraph"/>
        <w:numPr>
          <w:ilvl w:val="0"/>
          <w:numId w:val="3"/>
        </w:numPr>
        <w:spacing w:before="40" w:after="40"/>
      </w:pPr>
      <w:r>
        <w:rPr>
          <w:rFonts w:ascii="Arial" w:cs="Arial" w:eastAsia="Arial" w:hAnsi="Arial"/>
          <w:sz w:val="20"/>
          <w:szCs w:val="20"/>
        </w:rPr>
        <w:t xml:space="preserve">Adequate organ function within 14 days prior to enrollment: ANC &gt;= 1.5 x 10^9/L, Platelets &gt;= 100 x 10^9/L, Hemoglobin &gt;= 9.0 g/dL, Creatinine &lt;= 1.5 x ULN OR CrCl &gt;= 50 mL/min, AST/ALT &lt;= 2.5 x ULN (&lt;= 5 x ULN if liver mets), Total bilirubin &lt;= 1.5 x ULN (&lt; 3 x ULN if Gilbert's or liver mets).</w:t>
      </w:r>
    </w:p>
    <w:p>
      <w:pPr>
        <w:pStyle w:val="ListParagraph"/>
        <w:numPr>
          <w:ilvl w:val="0"/>
          <w:numId w:val="3"/>
        </w:numPr>
        <w:spacing w:before="40" w:after="40"/>
      </w:pPr>
      <w:r>
        <w:rPr>
          <w:rFonts w:ascii="Arial" w:cs="Arial" w:eastAsia="Arial" w:hAnsi="Arial"/>
          <w:sz w:val="20"/>
          <w:szCs w:val="20"/>
        </w:rPr>
        <w:t xml:space="preserve">Willing and able to provide written informed consent prior to any study procedures.</w:t>
      </w:r>
    </w:p>
    <w:p>
      <w:pPr>
        <w:pStyle w:val="ListParagraph"/>
        <w:numPr>
          <w:ilvl w:val="0"/>
          <w:numId w:val="3"/>
        </w:numPr>
        <w:spacing w:before="40" w:after="40"/>
      </w:pPr>
      <w:r>
        <w:rPr>
          <w:rFonts w:ascii="Arial" w:cs="Arial" w:eastAsia="Arial" w:hAnsi="Arial"/>
          <w:sz w:val="20"/>
          <w:szCs w:val="20"/>
        </w:rPr>
        <w:t xml:space="preserve">Women of childbearing potential (WOCBP) must have a negative serum or urine pregnancy test within 72 hours prior to first dose and must agree to use highly effective contraception during treatment and for 5 months after last cervimab dose.</w:t>
      </w:r>
    </w:p>
    <w:p>
      <w:pPr>
        <w:pStyle w:val="ListParagraph"/>
        <w:numPr>
          <w:ilvl w:val="0"/>
          <w:numId w:val="3"/>
        </w:numPr>
        <w:spacing w:before="40" w:after="40"/>
      </w:pPr>
      <w:r>
        <w:rPr>
          <w:rFonts w:ascii="Arial" w:cs="Arial" w:eastAsia="Arial" w:hAnsi="Arial"/>
          <w:sz w:val="20"/>
          <w:szCs w:val="20"/>
        </w:rPr>
        <w:t xml:space="preserve">Male patients must agree to use contraception during treatment and for 7 months after last dose.</w:t>
      </w:r>
    </w:p>
    <w:p>
      <w:r>
        <w:t xml:space="preserve"/>
      </w:r>
    </w:p>
    <w:p>
      <w:pPr>
        <w:pStyle w:val="Heading2"/>
        <w:spacing w:before="240" w:after="80"/>
      </w:pPr>
      <w:r>
        <w:rPr>
          <w:rFonts w:ascii="Arial" w:cs="Arial" w:eastAsia="Arial" w:hAnsi="Arial"/>
          <w:b/>
          <w:bCs/>
          <w:color w:val="1F4E79"/>
          <w:sz w:val="24"/>
          <w:szCs w:val="24"/>
        </w:rPr>
        <w:t xml:space="preserve">4.2 Exclusion Criteria</w:t>
      </w:r>
    </w:p>
    <w:p>
      <w:pPr>
        <w:spacing w:before="60" w:after="80"/>
      </w:pPr>
      <w:r>
        <w:rPr>
          <w:rFonts w:ascii="Arial" w:cs="Arial" w:eastAsia="Arial" w:hAnsi="Arial"/>
          <w:sz w:val="20"/>
          <w:szCs w:val="20"/>
        </w:rPr>
        <w:t xml:space="preserve">Patients meeting ANY of the following criteria are NOT eligible:</w:t>
      </w:r>
    </w:p>
    <w:p>
      <w:pPr>
        <w:pStyle w:val="ListParagraph"/>
        <w:numPr>
          <w:ilvl w:val="0"/>
          <w:numId w:val="3"/>
        </w:numPr>
        <w:spacing w:before="40" w:after="40"/>
      </w:pPr>
      <w:r>
        <w:rPr>
          <w:rFonts w:ascii="Arial" w:cs="Arial" w:eastAsia="Arial" w:hAnsi="Arial"/>
          <w:sz w:val="20"/>
          <w:szCs w:val="20"/>
        </w:rPr>
        <w:t xml:space="preserve">Prior treatment with any anti-PD-1, anti-PD-L1, anti-PD-L2, or anti-CTLA-4 antibody or any other immune checkpoint inhibitor.</w:t>
      </w:r>
    </w:p>
    <w:p>
      <w:pPr>
        <w:pStyle w:val="ListParagraph"/>
        <w:numPr>
          <w:ilvl w:val="0"/>
          <w:numId w:val="3"/>
        </w:numPr>
        <w:spacing w:before="40" w:after="40"/>
      </w:pPr>
      <w:r>
        <w:rPr>
          <w:rFonts w:ascii="Arial" w:cs="Arial" w:eastAsia="Arial" w:hAnsi="Arial"/>
          <w:sz w:val="20"/>
          <w:szCs w:val="20"/>
        </w:rPr>
        <w:t xml:space="preserve">Active autoimmune disease requiring systemic treatment within the past 2 years, except: vitiligo, alopecia, controlled type 1 diabetes, hypothyroidism on stable hormone replacement therapy.</w:t>
      </w:r>
    </w:p>
    <w:p>
      <w:pPr>
        <w:pStyle w:val="ListParagraph"/>
        <w:numPr>
          <w:ilvl w:val="0"/>
          <w:numId w:val="3"/>
        </w:numPr>
        <w:spacing w:before="40" w:after="40"/>
      </w:pPr>
      <w:r>
        <w:rPr>
          <w:rFonts w:ascii="Arial" w:cs="Arial" w:eastAsia="Arial" w:hAnsi="Arial"/>
          <w:sz w:val="20"/>
          <w:szCs w:val="20"/>
        </w:rPr>
        <w:t xml:space="preserve">Active or prior documented inflammatory bowel disease (Crohn's disease, ulcerative colitis).</w:t>
      </w:r>
    </w:p>
    <w:p>
      <w:pPr>
        <w:pStyle w:val="ListParagraph"/>
        <w:numPr>
          <w:ilvl w:val="0"/>
          <w:numId w:val="3"/>
        </w:numPr>
        <w:spacing w:before="40" w:after="40"/>
      </w:pPr>
      <w:r>
        <w:rPr>
          <w:rFonts w:ascii="Arial" w:cs="Arial" w:eastAsia="Arial" w:hAnsi="Arial"/>
          <w:sz w:val="20"/>
          <w:szCs w:val="20"/>
        </w:rPr>
        <w:t xml:space="preserve">Systemic corticosteroid therapy (&gt;10 mg/day prednisone or equivalent) within 14 days prior to first dose. Physiologic replacement doses and inhaled/topical steroids are permitted.</w:t>
      </w:r>
    </w:p>
    <w:p>
      <w:pPr>
        <w:pStyle w:val="ListParagraph"/>
        <w:numPr>
          <w:ilvl w:val="0"/>
          <w:numId w:val="3"/>
        </w:numPr>
        <w:spacing w:before="40" w:after="40"/>
      </w:pPr>
      <w:r>
        <w:rPr>
          <w:rFonts w:ascii="Arial" w:cs="Arial" w:eastAsia="Arial" w:hAnsi="Arial"/>
          <w:sz w:val="20"/>
          <w:szCs w:val="20"/>
        </w:rPr>
        <w:t xml:space="preserve">Known central nervous system (CNS) metastases unless treated and neurologically stable for &gt;= 4 weeks with no requirement for corticosteroids within 14 days prior to enrollment.</w:t>
      </w:r>
    </w:p>
    <w:p>
      <w:pPr>
        <w:pStyle w:val="ListParagraph"/>
        <w:numPr>
          <w:ilvl w:val="0"/>
          <w:numId w:val="3"/>
        </w:numPr>
        <w:spacing w:before="40" w:after="40"/>
      </w:pPr>
      <w:r>
        <w:rPr>
          <w:rFonts w:ascii="Arial" w:cs="Arial" w:eastAsia="Arial" w:hAnsi="Arial"/>
          <w:sz w:val="20"/>
          <w:szCs w:val="20"/>
        </w:rPr>
        <w:t xml:space="preserve">Uncontrolled intercurrent illness including: active infection requiring IV antibiotics, symptomatic congestive heart failure (NYHA Class III/IV), unstable angina, cardiac arrhythmia, or psychiatric illness/social situations that would limit protocol compliance.</w:t>
      </w:r>
    </w:p>
    <w:p>
      <w:pPr>
        <w:pStyle w:val="ListParagraph"/>
        <w:numPr>
          <w:ilvl w:val="0"/>
          <w:numId w:val="3"/>
        </w:numPr>
        <w:spacing w:before="40" w:after="40"/>
      </w:pPr>
      <w:r>
        <w:rPr>
          <w:rFonts w:ascii="Arial" w:cs="Arial" w:eastAsia="Arial" w:hAnsi="Arial"/>
          <w:sz w:val="20"/>
          <w:szCs w:val="20"/>
        </w:rPr>
        <w:t xml:space="preserve">Known history of active Mycobacterium tuberculosis infection.</w:t>
      </w:r>
    </w:p>
    <w:p>
      <w:pPr>
        <w:pStyle w:val="ListParagraph"/>
        <w:numPr>
          <w:ilvl w:val="0"/>
          <w:numId w:val="3"/>
        </w:numPr>
        <w:spacing w:before="40" w:after="40"/>
      </w:pPr>
      <w:r>
        <w:rPr>
          <w:rFonts w:ascii="Arial" w:cs="Arial" w:eastAsia="Arial" w:hAnsi="Arial"/>
          <w:sz w:val="20"/>
          <w:szCs w:val="20"/>
        </w:rPr>
        <w:t xml:space="preserve">Known HIV infection with CD4+ count &lt;200 cells/uL or detectable viral load within 6 months of enrollment.</w:t>
      </w:r>
    </w:p>
    <w:p>
      <w:pPr>
        <w:pStyle w:val="ListParagraph"/>
        <w:numPr>
          <w:ilvl w:val="0"/>
          <w:numId w:val="3"/>
        </w:numPr>
        <w:spacing w:before="40" w:after="40"/>
      </w:pPr>
      <w:r>
        <w:rPr>
          <w:rFonts w:ascii="Arial" w:cs="Arial" w:eastAsia="Arial" w:hAnsi="Arial"/>
          <w:sz w:val="20"/>
          <w:szCs w:val="20"/>
        </w:rPr>
        <w:t xml:space="preserve">Active hepatitis B (HBsAg+) or hepatitis C (HCV RNA+) infection.</w:t>
      </w:r>
    </w:p>
    <w:p>
      <w:pPr>
        <w:pStyle w:val="ListParagraph"/>
        <w:numPr>
          <w:ilvl w:val="0"/>
          <w:numId w:val="3"/>
        </w:numPr>
        <w:spacing w:before="40" w:after="40"/>
      </w:pPr>
      <w:r>
        <w:rPr>
          <w:rFonts w:ascii="Arial" w:cs="Arial" w:eastAsia="Arial" w:hAnsi="Arial"/>
          <w:sz w:val="20"/>
          <w:szCs w:val="20"/>
        </w:rPr>
        <w:t xml:space="preserve">Receipt of live vaccine within 30 days prior to first dose.</w:t>
      </w:r>
    </w:p>
    <w:p>
      <w:pPr>
        <w:pStyle w:val="ListParagraph"/>
        <w:numPr>
          <w:ilvl w:val="0"/>
          <w:numId w:val="3"/>
        </w:numPr>
        <w:spacing w:before="40" w:after="40"/>
      </w:pPr>
      <w:r>
        <w:rPr>
          <w:rFonts w:ascii="Arial" w:cs="Arial" w:eastAsia="Arial" w:hAnsi="Arial"/>
          <w:sz w:val="20"/>
          <w:szCs w:val="20"/>
        </w:rPr>
        <w:t xml:space="preserve">Prior malignancy within 2 years, except adequately treated non-melanoma skin cancer, in situ cervical cancer, or other curatively treated malignancy with no evidence of active disease.</w:t>
      </w:r>
    </w:p>
    <w:p>
      <w:pPr>
        <w:pStyle w:val="ListParagraph"/>
        <w:numPr>
          <w:ilvl w:val="0"/>
          <w:numId w:val="3"/>
        </w:numPr>
        <w:spacing w:before="40" w:after="40"/>
      </w:pPr>
      <w:r>
        <w:rPr>
          <w:rFonts w:ascii="Arial" w:cs="Arial" w:eastAsia="Arial" w:hAnsi="Arial"/>
          <w:sz w:val="20"/>
          <w:szCs w:val="20"/>
        </w:rPr>
        <w:t xml:space="preserve">Pregnancy or breastfeeding.</w:t>
      </w:r>
    </w:p>
    <w:p>
      <w:pPr>
        <w:pStyle w:val="ListParagraph"/>
        <w:numPr>
          <w:ilvl w:val="0"/>
          <w:numId w:val="3"/>
        </w:numPr>
        <w:spacing w:before="40" w:after="40"/>
      </w:pPr>
      <w:r>
        <w:rPr>
          <w:rFonts w:ascii="Arial" w:cs="Arial" w:eastAsia="Arial" w:hAnsi="Arial"/>
          <w:sz w:val="20"/>
          <w:szCs w:val="20"/>
        </w:rPr>
        <w:t xml:space="preserve">Known hypersensitivity to cervimab or any of its excipients.</w:t>
      </w:r>
    </w:p>
    <w:p>
      <w:pPr>
        <w:pStyle w:val="ListParagraph"/>
        <w:numPr>
          <w:ilvl w:val="0"/>
          <w:numId w:val="3"/>
        </w:numPr>
        <w:spacing w:before="40" w:after="40"/>
      </w:pPr>
      <w:r>
        <w:rPr>
          <w:rFonts w:ascii="Arial" w:cs="Arial" w:eastAsia="Arial" w:hAnsi="Arial"/>
          <w:sz w:val="20"/>
          <w:szCs w:val="20"/>
        </w:rPr>
        <w:t xml:space="preserve">Prior organ or bone marrow transplantation.</w:t>
      </w:r>
    </w:p>
    <w:p>
      <w:pPr>
        <w:pageBreakBefore/>
      </w:pPr>
      <w:r>
        <w:t xml:space="preserve"/>
      </w:r>
    </w:p>
    <w:p>
      <w:pPr>
        <w:pStyle w:val="Heading1"/>
        <w:pBdr>
          <w:bottom w:val="single" w:color="1F4E79" w:sz="6" w:space="4"/>
        </w:pBdr>
        <w:spacing w:before="360" w:after="120"/>
      </w:pPr>
      <w:r>
        <w:rPr>
          <w:rFonts w:ascii="Arial" w:cs="Arial" w:eastAsia="Arial" w:hAnsi="Arial"/>
          <w:b/>
          <w:bCs/>
          <w:color w:val="17375E"/>
          <w:sz w:val="28"/>
          <w:szCs w:val="28"/>
        </w:rPr>
        <w:t xml:space="preserve">5. TREATMENT PLAN</w:t>
      </w:r>
    </w:p>
    <w:p>
      <w:pPr>
        <w:pStyle w:val="Heading2"/>
        <w:spacing w:before="240" w:after="80"/>
      </w:pPr>
      <w:r>
        <w:rPr>
          <w:rFonts w:ascii="Arial" w:cs="Arial" w:eastAsia="Arial" w:hAnsi="Arial"/>
          <w:b/>
          <w:bCs/>
          <w:color w:val="1F4E79"/>
          <w:sz w:val="24"/>
          <w:szCs w:val="24"/>
        </w:rPr>
        <w:t xml:space="preserve">5.1 Investigational Medicinal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7375E"/>
                <w:sz w:val="18"/>
                <w:szCs w:val="18"/>
              </w:rPr>
              <w:t xml:space="preserve">Parameter</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7375E"/>
                <w:sz w:val="18"/>
                <w:szCs w:val="18"/>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Drug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Cervimab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Mechanism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Anti-PD-1 monoclonal antibody (fully humanized IgG4)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Formulation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150 mg/10 mL (15 mg/mL) liquid concentrate for IV infusion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 mg fixed dose (flat dosing; no weight-based adjustment required based on PK modeling)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Route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Intravenous (IV) infusion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Infusion Duration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 minutes (initial infusion); 15 minutes if no Grade &gt;=2 infusion reactions in first 3 cycles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Frequency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Every 3 weeks (Q3W); 1 cycle = 21 days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Treatment Duration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 to 32 cycles (~24 months), or until disease progression, unacceptable toxicity, patient withdrawal, or investigator decision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Storage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2-8°C (refrigerated); protect from light; do not freeze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Preparation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Dilute in 0.9% NaCl or 5% Dextrose to final concentration 1-10 mg/mL; administer through 0.2-micron in-line filter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Manufacturer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Cervi Therapeutics, Inc.</w:t>
            </w:r>
          </w:p>
        </w:tc>
      </w:tr>
    </w:tbl>
    <w:p>
      <w:r>
        <w:t xml:space="preserve"/>
      </w:r>
    </w:p>
    <w:p>
      <w:pPr>
        <w:pStyle w:val="Heading2"/>
        <w:spacing w:before="240" w:after="80"/>
      </w:pPr>
      <w:r>
        <w:rPr>
          <w:rFonts w:ascii="Arial" w:cs="Arial" w:eastAsia="Arial" w:hAnsi="Arial"/>
          <w:b/>
          <w:bCs/>
          <w:color w:val="1F4E79"/>
          <w:sz w:val="24"/>
          <w:szCs w:val="24"/>
        </w:rPr>
        <w:t xml:space="preserve">5.2 Dose Modifications</w:t>
      </w:r>
    </w:p>
    <w:p>
      <w:pPr>
        <w:spacing w:before="60" w:after="80"/>
      </w:pPr>
      <w:r>
        <w:rPr>
          <w:rFonts w:ascii="Arial" w:cs="Arial" w:eastAsia="Arial" w:hAnsi="Arial"/>
          <w:sz w:val="20"/>
          <w:szCs w:val="20"/>
        </w:rPr>
        <w:t xml:space="preserve">Cervimab dose reductions are NOT permitted. Dose delays and treatment discontinuation are the primary management strategies for AEs. Immune-related AEs (irAEs) are managed per protocol-defined immune-mediated adverse event management guidelines detailed in Appendix B.</w:t>
      </w:r>
    </w:p>
    <w:p>
      <w:pPr>
        <w:pStyle w:val="Heading3"/>
        <w:spacing w:before="180" w:after="60"/>
      </w:pPr>
      <w:r>
        <w:rPr>
          <w:rFonts w:ascii="Arial" w:cs="Arial" w:eastAsia="Arial" w:hAnsi="Arial"/>
          <w:b/>
          <w:bCs/>
          <w:color w:val="2E75B6"/>
          <w:sz w:val="22"/>
          <w:szCs w:val="22"/>
        </w:rPr>
        <w:t xml:space="preserve">5.2.1 Dose Delay Criteria</w:t>
      </w:r>
    </w:p>
    <w:p>
      <w:pPr>
        <w:pStyle w:val="ListParagraph"/>
        <w:numPr>
          <w:ilvl w:val="0"/>
          <w:numId w:val="2"/>
        </w:numPr>
        <w:spacing w:before="40" w:after="40"/>
      </w:pPr>
      <w:r>
        <w:rPr>
          <w:rFonts w:ascii="Arial" w:cs="Arial" w:eastAsia="Arial" w:hAnsi="Arial"/>
          <w:sz w:val="20"/>
          <w:szCs w:val="20"/>
        </w:rPr>
        <w:t xml:space="preserve">Grade &gt;= 3 non-immune-related toxicity: Hold until resolution to Grade &lt;= 1 or baseline, then resume with close monitoring.</w:t>
      </w:r>
    </w:p>
    <w:p>
      <w:pPr>
        <w:pStyle w:val="ListParagraph"/>
        <w:numPr>
          <w:ilvl w:val="0"/>
          <w:numId w:val="2"/>
        </w:numPr>
        <w:spacing w:before="40" w:after="40"/>
      </w:pPr>
      <w:r>
        <w:rPr>
          <w:rFonts w:ascii="Arial" w:cs="Arial" w:eastAsia="Arial" w:hAnsi="Arial"/>
          <w:sz w:val="20"/>
          <w:szCs w:val="20"/>
        </w:rPr>
        <w:t xml:space="preserve">Grade 3 immune-related AE: Hold; initiate corticosteroids (prednisone 1-2 mg/kg/day or equivalent); resume after resolution to Grade &lt;= 1 and corticosteroid taper to &lt;= 10 mg/day prednisone equivalent.</w:t>
      </w:r>
    </w:p>
    <w:p>
      <w:pPr>
        <w:pStyle w:val="ListParagraph"/>
        <w:numPr>
          <w:ilvl w:val="0"/>
          <w:numId w:val="2"/>
        </w:numPr>
        <w:spacing w:before="40" w:after="40"/>
      </w:pPr>
      <w:r>
        <w:rPr>
          <w:rFonts w:ascii="Arial" w:cs="Arial" w:eastAsia="Arial" w:hAnsi="Arial"/>
          <w:sz w:val="20"/>
          <w:szCs w:val="20"/>
        </w:rPr>
        <w:t xml:space="preserve">Any Grade 4 laboratory abnormality that is transient and not clinically significant: May resume with medical monitor approval.</w:t>
      </w:r>
    </w:p>
    <w:p>
      <w:pPr>
        <w:pStyle w:val="Heading3"/>
        <w:spacing w:before="180" w:after="60"/>
      </w:pPr>
      <w:r>
        <w:rPr>
          <w:rFonts w:ascii="Arial" w:cs="Arial" w:eastAsia="Arial" w:hAnsi="Arial"/>
          <w:b/>
          <w:bCs/>
          <w:color w:val="2E75B6"/>
          <w:sz w:val="22"/>
          <w:szCs w:val="22"/>
        </w:rPr>
        <w:t xml:space="preserve">5.2.2 Permanent Discontinuation Criteria</w:t>
      </w:r>
    </w:p>
    <w:p>
      <w:pPr>
        <w:pStyle w:val="ListParagraph"/>
        <w:numPr>
          <w:ilvl w:val="0"/>
          <w:numId w:val="2"/>
        </w:numPr>
        <w:spacing w:before="40" w:after="40"/>
      </w:pPr>
      <w:r>
        <w:rPr>
          <w:rFonts w:ascii="Arial" w:cs="Arial" w:eastAsia="Arial" w:hAnsi="Arial"/>
          <w:sz w:val="20"/>
          <w:szCs w:val="20"/>
        </w:rPr>
        <w:t xml:space="preserve">Grade 4 immune-related AE (any organ) or Grade 3 immune-related AE that does not resolve to &lt;= Grade 1 within 12 weeks with adequate immunosuppression.</w:t>
      </w:r>
    </w:p>
    <w:p>
      <w:pPr>
        <w:pStyle w:val="ListParagraph"/>
        <w:numPr>
          <w:ilvl w:val="0"/>
          <w:numId w:val="2"/>
        </w:numPr>
        <w:spacing w:before="40" w:after="40"/>
      </w:pPr>
      <w:r>
        <w:rPr>
          <w:rFonts w:ascii="Arial" w:cs="Arial" w:eastAsia="Arial" w:hAnsi="Arial"/>
          <w:sz w:val="20"/>
          <w:szCs w:val="20"/>
        </w:rPr>
        <w:t xml:space="preserve">Recurrent Grade 3 immune-related AE of the same organ/type.</w:t>
      </w:r>
    </w:p>
    <w:p>
      <w:pPr>
        <w:pStyle w:val="ListParagraph"/>
        <w:numPr>
          <w:ilvl w:val="0"/>
          <w:numId w:val="2"/>
        </w:numPr>
        <w:spacing w:before="40" w:after="40"/>
      </w:pPr>
      <w:r>
        <w:rPr>
          <w:rFonts w:ascii="Arial" w:cs="Arial" w:eastAsia="Arial" w:hAnsi="Arial"/>
          <w:sz w:val="20"/>
          <w:szCs w:val="20"/>
        </w:rPr>
        <w:t xml:space="preserve">Grade 3 or 4 pneumonitis, myocarditis (any grade), or immune-related encephalitis.</w:t>
      </w:r>
    </w:p>
    <w:p>
      <w:pPr>
        <w:pStyle w:val="ListParagraph"/>
        <w:numPr>
          <w:ilvl w:val="0"/>
          <w:numId w:val="2"/>
        </w:numPr>
        <w:spacing w:before="40" w:after="40"/>
      </w:pPr>
      <w:r>
        <w:rPr>
          <w:rFonts w:ascii="Arial" w:cs="Arial" w:eastAsia="Arial" w:hAnsi="Arial"/>
          <w:sz w:val="20"/>
          <w:szCs w:val="20"/>
        </w:rPr>
        <w:t xml:space="preserve">Grade 3 or 4 infusion-related reaction not manageable with premedication.</w:t>
      </w:r>
    </w:p>
    <w:p>
      <w:pPr>
        <w:pStyle w:val="ListParagraph"/>
        <w:numPr>
          <w:ilvl w:val="0"/>
          <w:numId w:val="2"/>
        </w:numPr>
        <w:spacing w:before="40" w:after="40"/>
      </w:pPr>
      <w:r>
        <w:rPr>
          <w:rFonts w:ascii="Arial" w:cs="Arial" w:eastAsia="Arial" w:hAnsi="Arial"/>
          <w:sz w:val="20"/>
          <w:szCs w:val="20"/>
        </w:rPr>
        <w:t xml:space="preserve">Maximum dose delay of 12 weeks from scheduled date.</w:t>
      </w:r>
    </w:p>
    <w:p>
      <w:pPr>
        <w:pStyle w:val="ListParagraph"/>
        <w:numPr>
          <w:ilvl w:val="0"/>
          <w:numId w:val="2"/>
        </w:numPr>
        <w:spacing w:before="40" w:after="40"/>
      </w:pPr>
      <w:r>
        <w:rPr>
          <w:rFonts w:ascii="Arial" w:cs="Arial" w:eastAsia="Arial" w:hAnsi="Arial"/>
          <w:sz w:val="20"/>
          <w:szCs w:val="20"/>
        </w:rPr>
        <w:t xml:space="preserve">Confirmed radiographic progressive disease per RECIST v1.1 (investigator's determination, pending BICR confirmation).</w:t>
      </w:r>
    </w:p>
    <w:p>
      <w:pPr>
        <w:pStyle w:val="Heading2"/>
        <w:spacing w:before="240" w:after="80"/>
      </w:pPr>
      <w:r>
        <w:rPr>
          <w:rFonts w:ascii="Arial" w:cs="Arial" w:eastAsia="Arial" w:hAnsi="Arial"/>
          <w:b/>
          <w:bCs/>
          <w:color w:val="1F4E79"/>
          <w:sz w:val="24"/>
          <w:szCs w:val="24"/>
        </w:rPr>
        <w:t xml:space="preserve">5.3 Prohibited and Permitted Medications</w:t>
      </w:r>
    </w:p>
    <w:p>
      <w:pPr>
        <w:spacing w:before="60" w:after="80"/>
      </w:pPr>
      <w:r>
        <w:rPr>
          <w:rFonts w:ascii="Arial" w:cs="Arial" w:eastAsia="Arial" w:hAnsi="Arial"/>
          <w:sz w:val="20"/>
          <w:szCs w:val="20"/>
        </w:rPr>
        <w:t xml:space="preserve">Prohibited: Systemic corticosteroids (&gt;10 mg/day prednisone equivalent) for non-irAE purposes; any other anticancer therapy (chemotherapy, targeted therapy, hormonal therapy, radiation therapy); other investigational agents; live vaccines. Permitted: Supportive care medications (antiemetics, analgesics, growth factors for Grade 4 neutropenia); physiologic steroid replacement; inhaled/topical/intranasal steroids; proton pump inhibitors; bisphosphonates/denosumab.</w:t>
      </w:r>
    </w:p>
    <w:p>
      <w:pPr>
        <w:pageBreakBefore/>
      </w:pPr>
      <w:r>
        <w:t xml:space="preserve"/>
      </w:r>
    </w:p>
    <w:p>
      <w:pPr>
        <w:pStyle w:val="Heading1"/>
        <w:pBdr>
          <w:bottom w:val="single" w:color="1F4E79" w:sz="6" w:space="4"/>
        </w:pBdr>
        <w:spacing w:before="360" w:after="120"/>
      </w:pPr>
      <w:r>
        <w:rPr>
          <w:rFonts w:ascii="Arial" w:cs="Arial" w:eastAsia="Arial" w:hAnsi="Arial"/>
          <w:b/>
          <w:bCs/>
          <w:color w:val="17375E"/>
          <w:sz w:val="28"/>
          <w:szCs w:val="28"/>
        </w:rPr>
        <w:t xml:space="preserve">6. STUDY PROCEDURES AND ASSESSMENTS</w:t>
      </w:r>
    </w:p>
    <w:p>
      <w:pPr>
        <w:pStyle w:val="Heading2"/>
        <w:spacing w:before="240" w:after="80"/>
      </w:pPr>
      <w:r>
        <w:rPr>
          <w:rFonts w:ascii="Arial" w:cs="Arial" w:eastAsia="Arial" w:hAnsi="Arial"/>
          <w:b/>
          <w:bCs/>
          <w:color w:val="1F4E79"/>
          <w:sz w:val="24"/>
          <w:szCs w:val="24"/>
        </w:rPr>
        <w:t xml:space="preserve">6.1 Visit Schedule Overview</w:t>
      </w:r>
    </w:p>
    <w:tbl>
      <w:tblPr>
        <w:tblW w:type="dxa" w:w="795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700"/>
        <w:gridCol w:w="800"/>
        <w:gridCol w:w="850"/>
        <w:gridCol w:w="800"/>
        <w:gridCol w:w="850"/>
        <w:gridCol w:w="85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7375E"/>
                <w:sz w:val="18"/>
                <w:szCs w:val="18"/>
              </w:rPr>
              <w:t xml:space="preserve">Procedure</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7375E"/>
                <w:sz w:val="18"/>
                <w:szCs w:val="18"/>
              </w:rPr>
              <w:t xml:space="preserve">Screening
(-28 to -1)</w:t>
            </w:r>
          </w:p>
        </w:tc>
        <w:tc>
          <w:tcPr>
            <w:tcW w:type="dxa" w:w="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7375E"/>
                <w:sz w:val="18"/>
                <w:szCs w:val="18"/>
              </w:rPr>
              <w:t xml:space="preserve">C1D1</w:t>
            </w:r>
          </w:p>
        </w:tc>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7375E"/>
                <w:sz w:val="18"/>
                <w:szCs w:val="18"/>
              </w:rPr>
              <w:t xml:space="preserve">C1D8
(Safety)</w:t>
            </w:r>
          </w:p>
        </w:tc>
        <w:tc>
          <w:tcPr>
            <w:tcW w:type="dxa" w:w="85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7375E"/>
                <w:sz w:val="18"/>
                <w:szCs w:val="18"/>
              </w:rPr>
              <w:t xml:space="preserve">Each
Q3W Cycle</w:t>
            </w:r>
          </w:p>
        </w:tc>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7375E"/>
                <w:sz w:val="18"/>
                <w:szCs w:val="18"/>
              </w:rPr>
              <w:t xml:space="preserve">EOT
(+7d)</w:t>
            </w:r>
          </w:p>
        </w:tc>
        <w:tc>
          <w:tcPr>
            <w:tcW w:type="dxa" w:w="85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7375E"/>
                <w:sz w:val="18"/>
                <w:szCs w:val="18"/>
              </w:rPr>
              <w:t xml:space="preserve">30d
Followup</w:t>
            </w:r>
          </w:p>
        </w:tc>
        <w:tc>
          <w:tcPr>
            <w:tcW w:type="dxa" w:w="85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7375E"/>
                <w:sz w:val="18"/>
                <w:szCs w:val="18"/>
              </w:rPr>
              <w:t xml:space="preserve">Q12W
Survival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Informed Consent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Eligibility Review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Demographics/History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ECOG Performance Status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Physical Examination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Vital Signs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Height and Weight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12-Lead ECG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 (Odd)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Hematology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Chemistry Panel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Thyroid Function (TSH, FT4)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 (Q2Cy)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Urinalysis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 (Q3Cy)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Serum Pregnancy Test (WOCBP)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dMMR/MSI-H Confirmation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Tumor Biopsy (Archival/Fresh)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 (req)</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Optional (PD)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ctDNA (plasma)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 (Q2Cy)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ADA Sampling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 (Cy3,6,12)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PK Sampling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 (pre/post)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 (Cy3,6)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CT/MRI Tumor Imaging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 (Q2Cy)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EORTC QLQ-C30 / EQ-5D-5L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 (Q2Cy)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Concomitant Medications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Adverse Event Assessment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Survival Status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8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w:t>
            </w:r>
          </w:p>
        </w:tc>
      </w:tr>
    </w:tbl>
    <w:p>
      <w:r>
        <w:t xml:space="preserve"/>
      </w:r>
    </w:p>
    <w:p>
      <w:pPr>
        <w:pStyle w:val="Heading2"/>
        <w:spacing w:before="240" w:after="80"/>
      </w:pPr>
      <w:r>
        <w:rPr>
          <w:rFonts w:ascii="Arial" w:cs="Arial" w:eastAsia="Arial" w:hAnsi="Arial"/>
          <w:b/>
          <w:bCs/>
          <w:color w:val="1F4E79"/>
          <w:sz w:val="24"/>
          <w:szCs w:val="24"/>
        </w:rPr>
        <w:t xml:space="preserve">6.2 Tumor Response Assessments</w:t>
      </w:r>
    </w:p>
    <w:p>
      <w:pPr>
        <w:spacing w:before="60" w:after="80"/>
      </w:pPr>
      <w:r>
        <w:rPr>
          <w:rFonts w:ascii="Arial" w:cs="Arial" w:eastAsia="Arial" w:hAnsi="Arial"/>
          <w:sz w:val="20"/>
          <w:szCs w:val="20"/>
        </w:rPr>
        <w:t xml:space="preserve">Radiographic tumor assessments will be performed by CT scan of the chest, abdomen, and pelvis (with IV contrast unless contraindicated) or MRI every 6 weeks (2 cycles) for the first 24 weeks, then every 12 weeks (4 cycles) thereafter. All imaging will be submitted for Blinded Independent Central Review (BICR) by an independent radiology vendor. Response will be assessed per RECIST v1.1 criteria. Immune-related RECIST (iRECIST) will be applied as a supplementary exploratory assessment.</w:t>
      </w:r>
    </w:p>
    <w:p>
      <w:pPr>
        <w:spacing w:before="60" w:after="80"/>
      </w:pPr>
      <w:r>
        <w:rPr>
          <w:rFonts w:ascii="Arial" w:cs="Arial" w:eastAsia="Arial" w:hAnsi="Arial"/>
          <w:sz w:val="20"/>
          <w:szCs w:val="20"/>
        </w:rPr>
        <w:t xml:space="preserve">Complete or partial responses must be confirmed by repeat imaging no sooner than 4 weeks after initial response criteria are met.</w:t>
      </w:r>
    </w:p>
    <w:p>
      <w:pPr>
        <w:pageBreakBefore/>
      </w:pPr>
      <w:r>
        <w:t xml:space="preserve"/>
      </w:r>
    </w:p>
    <w:p>
      <w:pPr>
        <w:pStyle w:val="Heading1"/>
        <w:pBdr>
          <w:bottom w:val="single" w:color="1F4E79" w:sz="6" w:space="4"/>
        </w:pBdr>
        <w:spacing w:before="360" w:after="120"/>
      </w:pPr>
      <w:r>
        <w:rPr>
          <w:rFonts w:ascii="Arial" w:cs="Arial" w:eastAsia="Arial" w:hAnsi="Arial"/>
          <w:b/>
          <w:bCs/>
          <w:color w:val="17375E"/>
          <w:sz w:val="28"/>
          <w:szCs w:val="28"/>
        </w:rPr>
        <w:t xml:space="preserve">7. SAFETY MONITORING AND REPORTING</w:t>
      </w:r>
    </w:p>
    <w:p>
      <w:pPr>
        <w:pStyle w:val="Heading2"/>
        <w:spacing w:before="240" w:after="80"/>
      </w:pPr>
      <w:r>
        <w:rPr>
          <w:rFonts w:ascii="Arial" w:cs="Arial" w:eastAsia="Arial" w:hAnsi="Arial"/>
          <w:b/>
          <w:bCs/>
          <w:color w:val="1F4E79"/>
          <w:sz w:val="24"/>
          <w:szCs w:val="24"/>
        </w:rPr>
        <w:t xml:space="preserve">7.1 Adverse Event Definitions</w:t>
      </w:r>
    </w:p>
    <w:p>
      <w:pPr>
        <w:spacing w:before="60" w:after="80"/>
      </w:pPr>
      <w:r>
        <w:rPr>
          <w:rFonts w:ascii="Arial" w:cs="Arial" w:eastAsia="Arial" w:hAnsi="Arial"/>
          <w:sz w:val="20"/>
          <w:szCs w:val="20"/>
        </w:rPr>
        <w:t xml:space="preserve">All AEs will be graded per NCI Common Terminology Criteria for Adverse Events Version 5.0 (CTCAE v5.0). Severity (Grade 1-5), causality (definitely related, probably related, possibly related, unlikely related, not related), and seriousness will be assessed.</w:t>
      </w:r>
    </w:p>
    <w:p>
      <w:pPr>
        <w:spacing w:before="60" w:after="80"/>
      </w:pPr>
      <w:r>
        <w:rPr>
          <w:rFonts w:ascii="Arial" w:cs="Arial" w:eastAsia="Arial" w:hAnsi="Arial"/>
          <w:sz w:val="20"/>
          <w:szCs w:val="20"/>
        </w:rPr>
        <w:t xml:space="preserve">A Serious Adverse Event (SAE) is any adverse event that: results in death; is life-threatening; requires inpatient hospitalization or prolongation of existing hospitalization; results in persistent or significant disability/incapacity; is a congenital anomaly/birth defect; OR is a medically important event that may jeopardize the patient or may require intervention to prevent one of the outcomes listed above.</w:t>
      </w:r>
    </w:p>
    <w:p>
      <w:pPr>
        <w:pStyle w:val="Heading2"/>
        <w:spacing w:before="240" w:after="80"/>
      </w:pPr>
      <w:r>
        <w:rPr>
          <w:rFonts w:ascii="Arial" w:cs="Arial" w:eastAsia="Arial" w:hAnsi="Arial"/>
          <w:b/>
          <w:bCs/>
          <w:color w:val="1F4E79"/>
          <w:sz w:val="24"/>
          <w:szCs w:val="24"/>
        </w:rPr>
        <w:t xml:space="preserve">7.2 Reporting Timelines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7375E"/>
                <w:sz w:val="18"/>
                <w:szCs w:val="18"/>
              </w:rPr>
              <w:t xml:space="preserve">Event Type</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7375E"/>
                <w:sz w:val="18"/>
                <w:szCs w:val="18"/>
              </w:rPr>
              <w:t xml:space="preserve">Reporting Timeline</w:t>
            </w:r>
          </w:p>
        </w:tc>
        <w:tc>
          <w:tcPr>
            <w:tcW w:type="dxa" w:w="3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7375E"/>
                <w:sz w:val="18"/>
                <w:szCs w:val="18"/>
              </w:rPr>
              <w:t xml:space="preserve">Recipient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Unexpected Serious Adverse Reaction (SUSAR) — Fatal or Life-Threatening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Within 7 calendar days of awareness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FDA, IRB/IEC, All Investigators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SUSAR — Non-Fatal/Non-Life-Threatening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Within 15 calendar days of awareness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FDA, IRB/IEC, All Investigators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Non-Serious AE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At next scheduled visit or within 30 days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Investigator to enter in eCRF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Pregnancy (patient or partner)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Within 24 hours of awareness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Sponsor Medical Monitor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Protocol Deviation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Within 5 business days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Sponsor, IRB/IEC per site SOP</w:t>
            </w:r>
          </w:p>
        </w:tc>
      </w:tr>
    </w:tbl>
    <w:p>
      <w:r>
        <w:t xml:space="preserve"/>
      </w:r>
    </w:p>
    <w:p>
      <w:pPr>
        <w:pStyle w:val="Heading2"/>
        <w:spacing w:before="240" w:after="80"/>
      </w:pPr>
      <w:r>
        <w:rPr>
          <w:rFonts w:ascii="Arial" w:cs="Arial" w:eastAsia="Arial" w:hAnsi="Arial"/>
          <w:b/>
          <w:bCs/>
          <w:color w:val="1F4E79"/>
          <w:sz w:val="24"/>
          <w:szCs w:val="24"/>
        </w:rPr>
        <w:t xml:space="preserve">7.3 Data Safety Monitoring Board (DSMB)</w:t>
      </w:r>
    </w:p>
    <w:p>
      <w:pPr>
        <w:spacing w:before="60" w:after="80"/>
      </w:pPr>
      <w:r>
        <w:rPr>
          <w:rFonts w:ascii="Arial" w:cs="Arial" w:eastAsia="Arial" w:hAnsi="Arial"/>
          <w:sz w:val="20"/>
          <w:szCs w:val="20"/>
        </w:rPr>
        <w:t xml:space="preserve">An independent Data Safety Monitoring Board (DSMB) comprising 3 independent oncologists and 1 independent biostatistician will be established prior to study initiation. The DSMB will conduct pre-specified interim safety reviews after every 10 patients have completed at least 2 treatment cycles. The DSMB will have authority to recommend study pause, modification, or termination based on safety or futility findings.</w:t>
      </w:r>
    </w:p>
    <w:p>
      <w:pPr>
        <w:pStyle w:val="Heading2"/>
        <w:spacing w:before="240" w:after="80"/>
      </w:pPr>
      <w:r>
        <w:rPr>
          <w:rFonts w:ascii="Arial" w:cs="Arial" w:eastAsia="Arial" w:hAnsi="Arial"/>
          <w:b/>
          <w:bCs/>
          <w:color w:val="1F4E79"/>
          <w:sz w:val="24"/>
          <w:szCs w:val="24"/>
        </w:rPr>
        <w:t xml:space="preserve">7.4 Immune-Related Adverse Event (irAE) Management</w:t>
      </w:r>
    </w:p>
    <w:p>
      <w:pPr>
        <w:spacing w:before="60" w:after="80"/>
      </w:pPr>
      <w:r>
        <w:rPr>
          <w:rFonts w:ascii="Arial" w:cs="Arial" w:eastAsia="Arial" w:hAnsi="Arial"/>
          <w:sz w:val="20"/>
          <w:szCs w:val="20"/>
        </w:rPr>
        <w:t xml:space="preserve">Detailed irAE management guidelines are provided in Appendix B and are based on current American Society of Clinical Oncology (ASCO) and Society for Immunotherapy of Cancer (SITC) guidelines. General principles include: (1) early recognition and grading; (2) withholding cervimab for Grade &gt;= 2 irAEs; (3) initiation of systemic corticosteroids for Grade &gt;= 2 irAEs; (4) consideration of specialist consultation; (5) escalation to high-dose corticosteroids and/or additional immunosuppression for Grade &gt;= 3 irAEs.</w:t>
      </w:r>
    </w:p>
    <w:p>
      <w:pPr>
        <w:pageBreakBefore/>
      </w:pPr>
      <w:r>
        <w:t xml:space="preserve"/>
      </w:r>
    </w:p>
    <w:p>
      <w:pPr>
        <w:pStyle w:val="Heading1"/>
        <w:pBdr>
          <w:bottom w:val="single" w:color="1F4E79" w:sz="6" w:space="4"/>
        </w:pBdr>
        <w:spacing w:before="360" w:after="120"/>
      </w:pPr>
      <w:r>
        <w:rPr>
          <w:rFonts w:ascii="Arial" w:cs="Arial" w:eastAsia="Arial" w:hAnsi="Arial"/>
          <w:b/>
          <w:bCs/>
          <w:color w:val="17375E"/>
          <w:sz w:val="28"/>
          <w:szCs w:val="28"/>
        </w:rPr>
        <w:t xml:space="preserve">8. STATISTICAL METHODS</w:t>
      </w:r>
    </w:p>
    <w:p>
      <w:pPr>
        <w:pStyle w:val="Heading2"/>
        <w:spacing w:before="240" w:after="80"/>
      </w:pPr>
      <w:r>
        <w:rPr>
          <w:rFonts w:ascii="Arial" w:cs="Arial" w:eastAsia="Arial" w:hAnsi="Arial"/>
          <w:b/>
          <w:bCs/>
          <w:color w:val="1F4E79"/>
          <w:sz w:val="24"/>
          <w:szCs w:val="24"/>
        </w:rPr>
        <w:t xml:space="preserve">8.1 Sample Size Justification</w:t>
      </w:r>
    </w:p>
    <w:p>
      <w:pPr>
        <w:spacing w:before="60" w:after="80"/>
      </w:pPr>
      <w:r>
        <w:rPr>
          <w:rFonts w:ascii="Arial" w:cs="Arial" w:eastAsia="Arial" w:hAnsi="Arial"/>
          <w:sz w:val="20"/>
          <w:szCs w:val="20"/>
        </w:rPr>
        <w:t xml:space="preserve">As detailed in Section 3.2, the two-stage Simon Optimal design requires a total of 40 evaluable patients (19 in Stage 1, 21 in Stage 2) to achieve 80% power at a one-sided alpha of 0.05. The null hypothesis (p0 = 0.20) reflects the ORR benchmark for second-line chemotherapy in unselected mCRC patients; the alternative hypothesis (p1 = 0.40) is considered clinically meaningful based on observed ORRs with approved PD-1 inhibitors in dMMR/MSI-H CRC. To account for up to 10% non-evaluability due to withdrawal before first tumor assessment, up to 45 patients may be enrolled.</w:t>
      </w:r>
    </w:p>
    <w:p>
      <w:pPr>
        <w:pStyle w:val="Heading2"/>
        <w:spacing w:before="240" w:after="80"/>
      </w:pPr>
      <w:r>
        <w:rPr>
          <w:rFonts w:ascii="Arial" w:cs="Arial" w:eastAsia="Arial" w:hAnsi="Arial"/>
          <w:b/>
          <w:bCs/>
          <w:color w:val="1F4E79"/>
          <w:sz w:val="24"/>
          <w:szCs w:val="24"/>
        </w:rPr>
        <w:t xml:space="preserve">8.2 Analysis Populations</w:t>
      </w:r>
    </w:p>
    <w:p>
      <w:pPr>
        <w:pStyle w:val="ListParagraph"/>
        <w:numPr>
          <w:ilvl w:val="0"/>
          <w:numId w:val="2"/>
        </w:numPr>
        <w:spacing w:before="40" w:after="40"/>
      </w:pPr>
      <w:r>
        <w:rPr>
          <w:rFonts w:ascii="Arial" w:cs="Arial" w:eastAsia="Arial" w:hAnsi="Arial"/>
          <w:sz w:val="20"/>
          <w:szCs w:val="20"/>
        </w:rPr>
        <w:t xml:space="preserve">Intent-to-Treat (ITT) Population: All enrolled patients who received at least one dose of cervimab.</w:t>
      </w:r>
    </w:p>
    <w:p>
      <w:pPr>
        <w:pStyle w:val="ListParagraph"/>
        <w:numPr>
          <w:ilvl w:val="0"/>
          <w:numId w:val="2"/>
        </w:numPr>
        <w:spacing w:before="40" w:after="40"/>
      </w:pPr>
      <w:r>
        <w:rPr>
          <w:rFonts w:ascii="Arial" w:cs="Arial" w:eastAsia="Arial" w:hAnsi="Arial"/>
          <w:sz w:val="20"/>
          <w:szCs w:val="20"/>
        </w:rPr>
        <w:t xml:space="preserve">Efficacy-Evaluable (EE) Population: All ITT patients with at least one post-baseline tumor assessment OR who discontinued due to disease progression prior to first assessment. This is the primary efficacy analysis population.</w:t>
      </w:r>
    </w:p>
    <w:p>
      <w:pPr>
        <w:pStyle w:val="ListParagraph"/>
        <w:numPr>
          <w:ilvl w:val="0"/>
          <w:numId w:val="2"/>
        </w:numPr>
        <w:spacing w:before="40" w:after="40"/>
      </w:pPr>
      <w:r>
        <w:rPr>
          <w:rFonts w:ascii="Arial" w:cs="Arial" w:eastAsia="Arial" w:hAnsi="Arial"/>
          <w:sz w:val="20"/>
          <w:szCs w:val="20"/>
        </w:rPr>
        <w:t xml:space="preserve">Safety Population: All ITT patients who received at least one dose of cervimab (same as ITT).</w:t>
      </w:r>
    </w:p>
    <w:p>
      <w:pPr>
        <w:pStyle w:val="ListParagraph"/>
        <w:numPr>
          <w:ilvl w:val="0"/>
          <w:numId w:val="2"/>
        </w:numPr>
        <w:spacing w:before="40" w:after="40"/>
      </w:pPr>
      <w:r>
        <w:rPr>
          <w:rFonts w:ascii="Arial" w:cs="Arial" w:eastAsia="Arial" w:hAnsi="Arial"/>
          <w:sz w:val="20"/>
          <w:szCs w:val="20"/>
        </w:rPr>
        <w:t xml:space="preserve">PK Population: All Safety Population patients with at least one evaluable PK sample.</w:t>
      </w:r>
    </w:p>
    <w:p>
      <w:pPr>
        <w:pStyle w:val="ListParagraph"/>
        <w:numPr>
          <w:ilvl w:val="0"/>
          <w:numId w:val="2"/>
        </w:numPr>
        <w:spacing w:before="40" w:after="40"/>
      </w:pPr>
      <w:r>
        <w:rPr>
          <w:rFonts w:ascii="Arial" w:cs="Arial" w:eastAsia="Arial" w:hAnsi="Arial"/>
          <w:sz w:val="20"/>
          <w:szCs w:val="20"/>
        </w:rPr>
        <w:t xml:space="preserve">Biomarker Population: All patients with evaluable biomarker sample (PD-L1, TMB, ctDNA).</w:t>
      </w:r>
    </w:p>
    <w:p>
      <w:pPr>
        <w:pStyle w:val="Heading2"/>
        <w:spacing w:before="240" w:after="80"/>
      </w:pPr>
      <w:r>
        <w:rPr>
          <w:rFonts w:ascii="Arial" w:cs="Arial" w:eastAsia="Arial" w:hAnsi="Arial"/>
          <w:b/>
          <w:bCs/>
          <w:color w:val="1F4E79"/>
          <w:sz w:val="24"/>
          <w:szCs w:val="24"/>
        </w:rPr>
        <w:t xml:space="preserve">8.3 Primary Efficacy Analysis</w:t>
      </w:r>
    </w:p>
    <w:p>
      <w:pPr>
        <w:spacing w:before="60" w:after="80"/>
      </w:pPr>
      <w:r>
        <w:rPr>
          <w:rFonts w:ascii="Arial" w:cs="Arial" w:eastAsia="Arial" w:hAnsi="Arial"/>
          <w:sz w:val="20"/>
          <w:szCs w:val="20"/>
        </w:rPr>
        <w:t xml:space="preserve">The primary endpoint, ORR per BICR-assessed RECIST v1.1, will be analyzed in the EE population. ORR and its exact two-sided 95% Clopper-Pearson confidence interval will be calculated. The null hypothesis (H0: ORR &lt;= 20%) will be rejected if &gt;= 13 confirmed responses are observed among 40 evaluable patients (equivalent to an observed ORR &gt;= 32.5%), consistent with the Simon design stopping rule.</w:t>
      </w:r>
    </w:p>
    <w:p>
      <w:pPr>
        <w:pStyle w:val="Heading2"/>
        <w:spacing w:before="240" w:after="80"/>
      </w:pPr>
      <w:r>
        <w:rPr>
          <w:rFonts w:ascii="Arial" w:cs="Arial" w:eastAsia="Arial" w:hAnsi="Arial"/>
          <w:b/>
          <w:bCs/>
          <w:color w:val="1F4E79"/>
          <w:sz w:val="24"/>
          <w:szCs w:val="24"/>
        </w:rPr>
        <w:t xml:space="preserve">8.4 Secondary Efficacy Analyses</w:t>
      </w:r>
    </w:p>
    <w:p>
      <w:pPr>
        <w:spacing w:before="60" w:after="80"/>
      </w:pPr>
      <w:r>
        <w:rPr>
          <w:rFonts w:ascii="Arial" w:cs="Arial" w:eastAsia="Arial" w:hAnsi="Arial"/>
          <w:sz w:val="20"/>
          <w:szCs w:val="20"/>
        </w:rPr>
        <w:t xml:space="preserve">DoR and PFS will be estimated using the Kaplan-Meier method with 95% CIs using Greenwood's formula. OS will be analyzed similarly with longer follow-up. All time-to-event endpoints will be censored at the date of last known alive/progression-free status for patients who have not experienced the event at time of analysis. DCR will be summarized similarly to ORR with exact CIs.</w:t>
      </w:r>
    </w:p>
    <w:p>
      <w:pPr>
        <w:pStyle w:val="Heading2"/>
        <w:spacing w:before="240" w:after="80"/>
      </w:pPr>
      <w:r>
        <w:rPr>
          <w:rFonts w:ascii="Arial" w:cs="Arial" w:eastAsia="Arial" w:hAnsi="Arial"/>
          <w:b/>
          <w:bCs/>
          <w:color w:val="1F4E79"/>
          <w:sz w:val="24"/>
          <w:szCs w:val="24"/>
        </w:rPr>
        <w:t xml:space="preserve">8.5 Safety Analyses</w:t>
      </w:r>
    </w:p>
    <w:p>
      <w:pPr>
        <w:spacing w:before="60" w:after="80"/>
      </w:pPr>
      <w:r>
        <w:rPr>
          <w:rFonts w:ascii="Arial" w:cs="Arial" w:eastAsia="Arial" w:hAnsi="Arial"/>
          <w:sz w:val="20"/>
          <w:szCs w:val="20"/>
        </w:rPr>
        <w:t xml:space="preserve">AEs will be coded using MedDRA and summarized by system organ class (SOC) and preferred term (PT), grade, severity, and relationship to treatment. Treatment-related AEs (TRAEs), Grade &gt;= 3 AEs, SAEs, irAEs, AEs leading to dose delay, AEs leading to discontinuation, and deaths will be summarized. Laboratory values, vital signs, and ECOG PS changes will be tabulated over time.</w:t>
      </w:r>
    </w:p>
    <w:p>
      <w:pPr>
        <w:pageBreakBefore/>
      </w:pPr>
      <w:r>
        <w:t xml:space="preserve"/>
      </w:r>
    </w:p>
    <w:p>
      <w:pPr>
        <w:pStyle w:val="Heading1"/>
        <w:pBdr>
          <w:bottom w:val="single" w:color="1F4E79" w:sz="6" w:space="4"/>
        </w:pBdr>
        <w:spacing w:before="360" w:after="120"/>
      </w:pPr>
      <w:r>
        <w:rPr>
          <w:rFonts w:ascii="Arial" w:cs="Arial" w:eastAsia="Arial" w:hAnsi="Arial"/>
          <w:b/>
          <w:bCs/>
          <w:color w:val="17375E"/>
          <w:sz w:val="28"/>
          <w:szCs w:val="28"/>
        </w:rPr>
        <w:t xml:space="preserve">9. DATA MANAGEMENT</w:t>
      </w:r>
    </w:p>
    <w:p>
      <w:pPr>
        <w:spacing w:before="60" w:after="80"/>
      </w:pPr>
      <w:r>
        <w:rPr>
          <w:rFonts w:ascii="Arial" w:cs="Arial" w:eastAsia="Arial" w:hAnsi="Arial"/>
          <w:sz w:val="20"/>
          <w:szCs w:val="20"/>
        </w:rPr>
        <w:t xml:space="preserve">All study data will be collected in a validated electronic data capture (EDC) system. Source data verification (SDV) will be performed per a risk-based monitoring plan. Data will be subject to automated range checks, logical consistency edits, and query generation. Database lock will occur following resolution of all outstanding data queries and completion of all protocol-required data reviews.</w:t>
      </w:r>
    </w:p>
    <w:p>
      <w:pPr>
        <w:pStyle w:val="Heading1"/>
        <w:pBdr>
          <w:bottom w:val="single" w:color="1F4E79" w:sz="6" w:space="4"/>
        </w:pBdr>
        <w:spacing w:before="360" w:after="120"/>
      </w:pPr>
      <w:r>
        <w:rPr>
          <w:rFonts w:ascii="Arial" w:cs="Arial" w:eastAsia="Arial" w:hAnsi="Arial"/>
          <w:b/>
          <w:bCs/>
          <w:color w:val="17375E"/>
          <w:sz w:val="28"/>
          <w:szCs w:val="28"/>
        </w:rPr>
        <w:t xml:space="preserve">10. ETHICAL CONSIDERATIONS</w:t>
      </w:r>
    </w:p>
    <w:p>
      <w:pPr>
        <w:spacing w:before="60" w:after="80"/>
      </w:pPr>
      <w:r>
        <w:rPr>
          <w:rFonts w:ascii="Arial" w:cs="Arial" w:eastAsia="Arial" w:hAnsi="Arial"/>
          <w:sz w:val="20"/>
          <w:szCs w:val="20"/>
        </w:rPr>
        <w:t xml:space="preserve">This study will be conducted in accordance with: (1) the ethical principles that have their origin in the Declaration of Helsinki (most recent revision); (2) ICH E6(R2) Good Clinical Practice (GCP) guidelines; (3) applicable US federal regulations (21 CFR Parts 50, 54, 56, and 312); and (4) the policies and requirements of the local IRB/IEC at each participating institution.</w:t>
      </w:r>
    </w:p>
    <w:p>
      <w:pPr>
        <w:spacing w:before="60" w:after="80"/>
      </w:pPr>
      <w:r>
        <w:rPr>
          <w:rFonts w:ascii="Arial" w:cs="Arial" w:eastAsia="Arial" w:hAnsi="Arial"/>
          <w:sz w:val="20"/>
          <w:szCs w:val="20"/>
        </w:rPr>
        <w:t xml:space="preserve">Written informed consent will be obtained from each patient prior to any study-related procedures. The consent process will be conducted by a qualified member of the investigational team. Patients will be given adequate time to review the ICF and ask questions. Consent will be documented on a signed and dated ICF, which will be retained in the site's regulatory files.</w:t>
      </w:r>
    </w:p>
    <w:p>
      <w:pPr>
        <w:pStyle w:val="Heading1"/>
        <w:pBdr>
          <w:bottom w:val="single" w:color="1F4E79" w:sz="6" w:space="4"/>
        </w:pBdr>
        <w:spacing w:before="360" w:after="120"/>
      </w:pPr>
      <w:r>
        <w:rPr>
          <w:rFonts w:ascii="Arial" w:cs="Arial" w:eastAsia="Arial" w:hAnsi="Arial"/>
          <w:b/>
          <w:bCs/>
          <w:color w:val="17375E"/>
          <w:sz w:val="28"/>
          <w:szCs w:val="28"/>
        </w:rPr>
        <w:t xml:space="preserve">11. REGULATORY COMPLIANCE</w:t>
      </w:r>
    </w:p>
    <w:p>
      <w:pPr>
        <w:spacing w:before="60" w:after="80"/>
      </w:pPr>
      <w:r>
        <w:rPr>
          <w:rFonts w:ascii="Arial" w:cs="Arial" w:eastAsia="Arial" w:hAnsi="Arial"/>
          <w:sz w:val="20"/>
          <w:szCs w:val="20"/>
        </w:rPr>
        <w:t xml:space="preserve">This study is conducted under a US FDA Investigational New Drug (IND) application. Annual progress reports will be submitted per 21 CFR 312.33. Expedited IND safety reports will be filed per 21 CFR 312.32. All protocol amendments require FDA submission (if affecting patient safety or study design) and prior IRB/IEC approval before implementation.</w:t>
      </w:r>
    </w:p>
    <w:p>
      <w:pPr>
        <w:pStyle w:val="Heading1"/>
        <w:pBdr>
          <w:bottom w:val="single" w:color="1F4E79" w:sz="6" w:space="4"/>
        </w:pBdr>
        <w:spacing w:before="360" w:after="120"/>
      </w:pPr>
      <w:r>
        <w:rPr>
          <w:rFonts w:ascii="Arial" w:cs="Arial" w:eastAsia="Arial" w:hAnsi="Arial"/>
          <w:b/>
          <w:bCs/>
          <w:color w:val="17375E"/>
          <w:sz w:val="28"/>
          <w:szCs w:val="28"/>
        </w:rPr>
        <w:t xml:space="preserve">12. REFERENCES</w:t>
      </w:r>
    </w:p>
    <w:p>
      <w:pPr>
        <w:pStyle w:val="ListParagraph"/>
        <w:numPr>
          <w:ilvl w:val="0"/>
          <w:numId w:val="3"/>
        </w:numPr>
        <w:spacing w:before="40" w:after="40"/>
      </w:pPr>
      <w:r>
        <w:rPr>
          <w:rFonts w:ascii="Arial" w:cs="Arial" w:eastAsia="Arial" w:hAnsi="Arial"/>
          <w:sz w:val="20"/>
          <w:szCs w:val="20"/>
        </w:rPr>
        <w:t xml:space="preserve">Overman MJ, et al. Nivolumab in patients with metastatic DNA mismatch repair-deficient or microsatellite instability-high colorectal cancer (CheckMate 142): an open-label, multicentre, phase 2 study. Lancet Oncol. 2017;18(9):1182-1191.</w:t>
      </w:r>
    </w:p>
    <w:p>
      <w:pPr>
        <w:pStyle w:val="ListParagraph"/>
        <w:numPr>
          <w:ilvl w:val="0"/>
          <w:numId w:val="3"/>
        </w:numPr>
        <w:spacing w:before="40" w:after="40"/>
      </w:pPr>
      <w:r>
        <w:rPr>
          <w:rFonts w:ascii="Arial" w:cs="Arial" w:eastAsia="Arial" w:hAnsi="Arial"/>
          <w:sz w:val="20"/>
          <w:szCs w:val="20"/>
        </w:rPr>
        <w:t xml:space="preserve">Andre T, et al. Pembrolizumab in Microsatellite-Instability-High Advanced Colorectal Cancer. N Engl J Med. 2020;383(23):2207-2218.</w:t>
      </w:r>
    </w:p>
    <w:p>
      <w:pPr>
        <w:pStyle w:val="ListParagraph"/>
        <w:numPr>
          <w:ilvl w:val="0"/>
          <w:numId w:val="3"/>
        </w:numPr>
        <w:spacing w:before="40" w:after="40"/>
      </w:pPr>
      <w:r>
        <w:rPr>
          <w:rFonts w:ascii="Arial" w:cs="Arial" w:eastAsia="Arial" w:hAnsi="Arial"/>
          <w:sz w:val="20"/>
          <w:szCs w:val="20"/>
        </w:rPr>
        <w:t xml:space="preserve">Le DT, et al. Mismatch repair deficiency predicts response of solid tumors to PD-1 blockade. Science. 2017;357(6349):409-413.</w:t>
      </w:r>
    </w:p>
    <w:p>
      <w:pPr>
        <w:pStyle w:val="ListParagraph"/>
        <w:numPr>
          <w:ilvl w:val="0"/>
          <w:numId w:val="3"/>
        </w:numPr>
        <w:spacing w:before="40" w:after="40"/>
      </w:pPr>
      <w:r>
        <w:rPr>
          <w:rFonts w:ascii="Arial" w:cs="Arial" w:eastAsia="Arial" w:hAnsi="Arial"/>
          <w:sz w:val="20"/>
          <w:szCs w:val="20"/>
        </w:rPr>
        <w:t xml:space="preserve">Simon R. Optimal two-stage designs for phase II clinical trials. Control Clin Trials. 1989;10(1):1-10.</w:t>
      </w:r>
    </w:p>
    <w:p>
      <w:pPr>
        <w:pStyle w:val="ListParagraph"/>
        <w:numPr>
          <w:ilvl w:val="0"/>
          <w:numId w:val="3"/>
        </w:numPr>
        <w:spacing w:before="40" w:after="40"/>
      </w:pPr>
      <w:r>
        <w:rPr>
          <w:rFonts w:ascii="Arial" w:cs="Arial" w:eastAsia="Arial" w:hAnsi="Arial"/>
          <w:sz w:val="20"/>
          <w:szCs w:val="20"/>
        </w:rPr>
        <w:t xml:space="preserve">Eisenhauer EA, et al. New response evaluation criteria in solid tumours: Revised RECIST guideline (version 1.1). Eur J Cancer. 2009;45(2):228-247.</w:t>
      </w:r>
    </w:p>
    <w:p>
      <w:pPr>
        <w:pStyle w:val="ListParagraph"/>
        <w:numPr>
          <w:ilvl w:val="0"/>
          <w:numId w:val="3"/>
        </w:numPr>
        <w:spacing w:before="40" w:after="40"/>
      </w:pPr>
      <w:r>
        <w:rPr>
          <w:rFonts w:ascii="Arial" w:cs="Arial" w:eastAsia="Arial" w:hAnsi="Arial"/>
          <w:sz w:val="20"/>
          <w:szCs w:val="20"/>
        </w:rPr>
        <w:t xml:space="preserve">FDA Guidance for Industry. Clinical Trial Endpoints for the Approval of Cancer Drugs and Biologics. 2007.</w:t>
      </w:r>
    </w:p>
    <w:p>
      <w:pPr>
        <w:pStyle w:val="ListParagraph"/>
        <w:numPr>
          <w:ilvl w:val="0"/>
          <w:numId w:val="3"/>
        </w:numPr>
        <w:spacing w:before="40" w:after="40"/>
      </w:pPr>
      <w:r>
        <w:rPr>
          <w:rFonts w:ascii="Arial" w:cs="Arial" w:eastAsia="Arial" w:hAnsi="Arial"/>
          <w:sz w:val="20"/>
          <w:szCs w:val="20"/>
        </w:rPr>
        <w:t xml:space="preserve">ICH Harmonised Guideline E6(R2) Good Clinical Practice. 2016.</w:t>
      </w:r>
    </w:p>
    <w:p>
      <w:r>
        <w:t xml:space="preserve"/>
      </w:r>
    </w:p>
    <w:p>
      <w:pPr>
        <w:pStyle w:val="Heading1"/>
        <w:pBdr>
          <w:bottom w:val="single" w:color="1F4E79" w:sz="6" w:space="4"/>
        </w:pBdr>
        <w:spacing w:before="360" w:after="120"/>
      </w:pPr>
      <w:r>
        <w:rPr>
          <w:rFonts w:ascii="Arial" w:cs="Arial" w:eastAsia="Arial" w:hAnsi="Arial"/>
          <w:b/>
          <w:bCs/>
          <w:color w:val="17375E"/>
          <w:sz w:val="28"/>
          <w:szCs w:val="28"/>
        </w:rPr>
        <w:t xml:space="preserve">APPENDICES</w:t>
      </w:r>
    </w:p>
    <w:p>
      <w:pPr>
        <w:spacing w:before="60" w:after="80"/>
      </w:pPr>
      <w:r>
        <w:rPr>
          <w:rFonts w:ascii="Arial" w:cs="Arial" w:eastAsia="Arial" w:hAnsi="Arial"/>
          <w:sz w:val="20"/>
          <w:szCs w:val="20"/>
        </w:rPr>
        <w:t xml:space="preserve">Appendix A: Schedule of Assessments (Detailed)</w:t>
      </w:r>
    </w:p>
    <w:p>
      <w:pPr>
        <w:spacing w:before="60" w:after="80"/>
      </w:pPr>
      <w:r>
        <w:rPr>
          <w:rFonts w:ascii="Arial" w:cs="Arial" w:eastAsia="Arial" w:hAnsi="Arial"/>
          <w:sz w:val="20"/>
          <w:szCs w:val="20"/>
        </w:rPr>
        <w:t xml:space="preserve">Appendix B: Immune-Related Adverse Event (irAE) Management Guidelines</w:t>
      </w:r>
    </w:p>
    <w:p>
      <w:pPr>
        <w:spacing w:before="60" w:after="80"/>
      </w:pPr>
      <w:r>
        <w:rPr>
          <w:rFonts w:ascii="Arial" w:cs="Arial" w:eastAsia="Arial" w:hAnsi="Arial"/>
          <w:sz w:val="20"/>
          <w:szCs w:val="20"/>
        </w:rPr>
        <w:t xml:space="preserve">Appendix C: Simon Two-Stage Design Calculations</w:t>
      </w:r>
    </w:p>
    <w:p>
      <w:pPr>
        <w:spacing w:before="60" w:after="80"/>
      </w:pPr>
      <w:r>
        <w:rPr>
          <w:rFonts w:ascii="Arial" w:cs="Arial" w:eastAsia="Arial" w:hAnsi="Arial"/>
          <w:sz w:val="20"/>
          <w:szCs w:val="20"/>
        </w:rPr>
        <w:t xml:space="preserve">Appendix D: RECIST v1.1 Assessment Guidance</w:t>
      </w:r>
    </w:p>
    <w:p>
      <w:pPr>
        <w:spacing w:before="60" w:after="80"/>
      </w:pPr>
      <w:r>
        <w:rPr>
          <w:rFonts w:ascii="Arial" w:cs="Arial" w:eastAsia="Arial" w:hAnsi="Arial"/>
          <w:sz w:val="20"/>
          <w:szCs w:val="20"/>
        </w:rPr>
        <w:t xml:space="preserve">Appendix E: Protocol Deviation Classification</w:t>
      </w:r>
    </w:p>
    <w:p>
      <w:pPr>
        <w:spacing w:before="60" w:after="80"/>
      </w:pPr>
      <w:r>
        <w:rPr>
          <w:rFonts w:ascii="Arial" w:cs="Arial" w:eastAsia="Arial" w:hAnsi="Arial"/>
          <w:sz w:val="20"/>
          <w:szCs w:val="20"/>
        </w:rPr>
        <w:t xml:space="preserve">Appendix F: List of Participating Sites and Principal Investigators</w:t>
      </w:r>
    </w:p>
    <w:p>
      <w:pPr>
        <w:spacing w:before="60" w:after="80"/>
      </w:pPr>
      <w:r>
        <w:rPr>
          <w:rFonts w:ascii="Arial" w:cs="Arial" w:eastAsia="Arial" w:hAnsi="Arial"/>
          <w:sz w:val="20"/>
          <w:szCs w:val="20"/>
        </w:rPr>
        <w:t xml:space="preserve">Appendix G: Protocol Amendment History</w:t>
      </w: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tabs>
        <w:tab w:val="right" w:pos="9026"/>
      </w:tabs>
    </w:pPr>
    <w:r>
      <w:rPr>
        <w:rFonts w:ascii="Arial" w:cs="Arial" w:eastAsia="Arial" w:hAnsi="Arial"/>
        <w:color w:val="888888"/>
        <w:sz w:val="16"/>
        <w:szCs w:val="16"/>
      </w:rPr>
      <w:t xml:space="preserve">Version 1.0 | 01 March 2025 | IND #XXXXX</w:t>
    </w:r>
    <w:r>
      <w:rPr>
        <w:rFonts w:ascii="Arial" w:cs="Arial" w:eastAsia="Arial" w:hAnsi="Arial"/>
        <w:color w:val="888888"/>
        <w:sz w:val="16"/>
        <w:szCs w:val="16"/>
      </w:rPr>
      <w:t xml:space="preserve">	Page </w:t>
    </w:r>
    <w:r>
      <w:rPr>
        <w:rFonts w:ascii="Arial" w:cs="Arial" w:eastAsia="Arial" w:hAnsi="Arial"/>
        <w:color w:val="888888"/>
        <w:sz w:val="16"/>
        <w:szCs w:val="16"/>
      </w:rPr>
      <typ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026"/>
      </w:tabs>
    </w:pPr>
    <w:r>
      <w:rPr>
        <w:rFonts w:ascii="Arial" w:cs="Arial" w:eastAsia="Arial" w:hAnsi="Arial"/>
        <w:b/>
        <w:bCs/>
        <w:color w:val="17375E"/>
        <w:sz w:val="18"/>
        <w:szCs w:val="18"/>
      </w:rPr>
      <w:t xml:space="preserve">CERVIMAB PHASE 2a CLINICAL PROTOCOL</w:t>
    </w:r>
    <w:r>
      <w:rPr>
        <w:sz w:val="18"/>
        <w:szCs w:val="18"/>
      </w:rPr>
      <w:t xml:space="preserve">	</w:t>
    </w:r>
    <w:r>
      <w:rPr>
        <w:rFonts w:ascii="Arial" w:cs="Arial" w:eastAsia="Arial" w:hAnsi="Arial"/>
        <w:color w:val="888888"/>
        <w:sz w:val="16"/>
        <w:szCs w:val="16"/>
      </w:rPr>
      <w:t xml:space="preserve">Protocol No: CVB-CRC-201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7375E"/>
      <w:sz w:val="28"/>
      <w:szCs w:val="28"/>
    </w:rPr>
  </w:style>
  <w:style w:type="paragraph" w:styleId="Heading2">
    <w:name w:val="Heading 2"/>
    <w:basedOn w:val="Normal"/>
    <w:next w:val="Normal"/>
    <w:qFormat/>
    <w:pPr>
      <w:spacing w:before="240" w:after="80"/>
      <w:outlineLvl w:val="1"/>
    </w:pPr>
    <w:rPr>
      <w:rFonts w:ascii="Arial" w:cs="Arial" w:eastAsia="Arial" w:hAnsi="Arial"/>
      <w:b/>
      <w:bCs/>
      <w:color w:val="1F4E79"/>
      <w:sz w:val="24"/>
      <w:szCs w:val="24"/>
    </w:rPr>
  </w:style>
  <w:style w:type="paragraph" w:styleId="Heading3">
    <w:name w:val="Heading 3"/>
    <w:basedOn w:val="Normal"/>
    <w:next w:val="Normal"/>
    <w:qFormat/>
    <w:pPr>
      <w:spacing w:before="180" w:after="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2026-03-16T13:43:22.414Z</dcterms:created>
  <dcterms:modified xsi:type="dcterms:W3CDTF">2026-03-16T13:43:22.415Z</dcterms:modified>
</cp:coreProperties>
</file>

<file path=docProps/custom.xml><?xml version="1.0" encoding="utf-8"?>
<Properties xmlns="http://schemas.openxmlformats.org/officeDocument/2006/custom-properties" xmlns:vt="http://schemas.openxmlformats.org/officeDocument/2006/docPropsVTypes"/>
</file>