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60"/>
        <w:jc w:val="center"/>
      </w:pPr>
      <w:r>
        <w:rPr>
          <w:rFonts w:ascii="Arial" w:cs="Arial" w:eastAsia="Arial" w:hAnsi="Arial"/>
          <w:b/>
          <w:bCs/>
          <w:caps/>
          <w:color w:val="4A7FBF"/>
          <w:sz w:val="28"/>
          <w:szCs w:val="28"/>
        </w:rPr>
        <w:t xml:space="preserve">AXIOM BIOSCIENCES, INC.</w:t>
      </w:r>
    </w:p>
    <w:p>
      <w:pPr>
        <w:spacing w:before="0" w:after="400"/>
        <w:jc w:val="center"/>
      </w:pPr>
      <w:r>
        <w:rPr>
          <w:rFonts w:ascii="Arial" w:cs="Arial" w:eastAsia="Arial" w:hAnsi="Arial"/>
          <w:color w:val="777777"/>
          <w:sz w:val="22"/>
          <w:szCs w:val="22"/>
        </w:rPr>
        <w:t xml:space="preserve">Oncology Clinical Development</w:t>
      </w:r>
    </w:p>
    <w:p>
      <w:pPr>
        <w:pBdr>
          <w:top w:val="single" w:color="1B3A6B" w:sz="12"/>
          <w:left w:val="single" w:color="1B3A6B" w:sz="12"/>
          <w:right w:val="single" w:color="1B3A6B" w:sz="12"/>
        </w:pBdr>
        <w:shd w:fill="1B3A6B" w:val="clear"/>
        <w:spacing w:before="200" w:after="40"/>
        <w:jc w:val="center"/>
      </w:pPr>
      <w:r>
        <w:rPr>
          <w:rFonts w:ascii="Arial" w:cs="Arial" w:eastAsia="Arial" w:hAnsi="Arial"/>
          <w:sz w:val="10"/>
          <w:szCs w:val="1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360"/>
              <w:left w:type="dxa" w:w="360"/>
              <w:bottom w:type="dxa" w:w="360"/>
              <w:right w:type="dxa" w:w="360"/>
            </w:tcMar>
          </w:tcPr>
          <w:p>
            <w:pPr>
              <w:spacing w:before="0" w:after="160"/>
              <w:jc w:val="center"/>
            </w:pPr>
            <w:r>
              <w:rPr>
                <w:rFonts w:ascii="Arial" w:cs="Arial" w:eastAsia="Arial" w:hAnsi="Arial"/>
                <w:b/>
                <w:bCs/>
                <w:caps/>
                <w:color w:val="AABFE0"/>
                <w:sz w:val="22"/>
                <w:szCs w:val="22"/>
              </w:rPr>
              <w:t xml:space="preserve">CLINICAL PROTOCOL</w:t>
            </w:r>
          </w:p>
          <w:p>
            <w:pPr>
              <w:spacing w:before="0" w:after="160"/>
              <w:jc w:val="center"/>
            </w:pPr>
            <w:r>
              <w:rPr>
                <w:rFonts w:ascii="Arial" w:cs="Arial" w:eastAsia="Arial" w:hAnsi="Arial"/>
                <w:b/>
                <w:bCs/>
                <w:color w:val="FFFFFF"/>
                <w:sz w:val="44"/>
                <w:szCs w:val="44"/>
              </w:rPr>
              <w:t xml:space="preserve">CERVIMAB (AXB-7219)</w:t>
            </w:r>
          </w:p>
          <w:p>
            <w:pPr>
              <w:spacing w:before="0" w:after="160"/>
              <w:jc w:val="center"/>
            </w:pPr>
            <w:r>
              <w:rPr>
                <w:rFonts w:ascii="Arial" w:cs="Arial" w:eastAsia="Arial" w:hAnsi="Arial"/>
                <w:color w:val="D6E4F7"/>
                <w:sz w:val="28"/>
                <w:szCs w:val="28"/>
              </w:rPr>
              <w:t xml:space="preserve">A Humanized Anti-PD-1 Monoclonal Antibody</w:t>
            </w:r>
          </w:p>
          <w:p>
            <w:pPr>
              <w:spacing w:before="0" w:after="0"/>
              <w:jc w:val="center"/>
            </w:pPr>
            <w:r>
              <w:rPr>
                <w:rFonts w:ascii="Arial" w:cs="Arial" w:eastAsia="Arial" w:hAnsi="Arial"/>
                <w:b/>
                <w:bCs/>
                <w:color w:val="FFFFFF"/>
                <w:sz w:val="26"/>
                <w:szCs w:val="26"/>
              </w:rPr>
              <w:t xml:space="preserve">Phase 2b Randomized, Open-Label, Dose-Ranging Study</w:t>
            </w:r>
          </w:p>
        </w:tc>
      </w:tr>
      <w:tr>
        <w:tc>
          <w:tcPr>
            <w:tcW w:type="dxa" w:w="9360"/>
            <w:tcBorders>
              <w:top w:val="nil"/>
              <w:left w:val="nil"/>
              <w:bottom w:val="nil"/>
              <w:right w:val="nil"/>
            </w:tcBorders>
            <w:shd w:fill="2E5FA3" w:val="clear"/>
            <w:tcMar>
              <w:top w:type="dxa" w:w="240"/>
              <w:left w:type="dxa" w:w="360"/>
              <w:bottom w:type="dxa" w:w="240"/>
              <w:right w:type="dxa" w:w="360"/>
            </w:tcMar>
          </w:tcPr>
          <w:p>
            <w:pPr>
              <w:jc w:val="center"/>
            </w:pPr>
            <w:r>
              <w:rPr>
                <w:rFonts w:ascii="Arial" w:cs="Arial" w:eastAsia="Arial" w:hAnsi="Arial"/>
                <w:b/>
                <w:bCs/>
                <w:color w:val="FFFFFF"/>
                <w:sz w:val="24"/>
                <w:szCs w:val="24"/>
              </w:rPr>
              <w:t xml:space="preserve">in Patients with Previously Untreated dMMR/MSI-H Metastatic Colorectal Cancer</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Protocol Number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AXB-CRC-201</w:t>
            </w:r>
          </w:p>
        </w:tc>
      </w:tr>
      <w:tr>
        <w:tc>
          <w:tcPr>
            <w:tcW w:type="dxa" w:w="32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tcPr>
          <w:p>
            <w:r>
              <w:rPr>
                <w:rFonts w:ascii="Arial" w:cs="Arial" w:eastAsia="Arial" w:hAnsi="Arial"/>
                <w:b/>
                <w:bCs/>
                <w:color w:val="1B3A6B"/>
                <w:sz w:val="20"/>
                <w:szCs w:val="20"/>
              </w:rPr>
              <w:t xml:space="preserve">IND Number</w:t>
            </w:r>
          </w:p>
        </w:tc>
        <w:tc>
          <w:tcPr>
            <w:tcW w:type="dxa" w:w="6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3C3C3C"/>
                <w:sz w:val="20"/>
                <w:szCs w:val="20"/>
              </w:rPr>
              <w:t xml:space="preserve">IND [XXXXX]</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Phase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2b (Dose-Ranging)</w:t>
            </w:r>
          </w:p>
        </w:tc>
      </w:tr>
      <w:tr>
        <w:tc>
          <w:tcPr>
            <w:tcW w:type="dxa" w:w="32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tcPr>
          <w:p>
            <w:r>
              <w:rPr>
                <w:rFonts w:ascii="Arial" w:cs="Arial" w:eastAsia="Arial" w:hAnsi="Arial"/>
                <w:b/>
                <w:bCs/>
                <w:color w:val="1B3A6B"/>
                <w:sz w:val="20"/>
                <w:szCs w:val="20"/>
              </w:rPr>
              <w:t xml:space="preserve">EudraCT Number</w:t>
            </w:r>
          </w:p>
        </w:tc>
        <w:tc>
          <w:tcPr>
            <w:tcW w:type="dxa" w:w="6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3C3C3C"/>
                <w:sz w:val="20"/>
                <w:szCs w:val="20"/>
              </w:rPr>
              <w:t xml:space="preserve">[To Be Assigned]</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Version /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Version 1.0 | [DD Month YYYY]</w:t>
            </w:r>
          </w:p>
        </w:tc>
      </w:tr>
      <w:tr>
        <w:tc>
          <w:tcPr>
            <w:tcW w:type="dxa" w:w="32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tcPr>
          <w:p>
            <w:r>
              <w:rPr>
                <w:rFonts w:ascii="Arial" w:cs="Arial" w:eastAsia="Arial" w:hAnsi="Arial"/>
                <w:b/>
                <w:bCs/>
                <w:color w:val="1B3A6B"/>
                <w:sz w:val="20"/>
                <w:szCs w:val="20"/>
              </w:rPr>
              <w:t xml:space="preserve">Sponsor</w:t>
            </w:r>
          </w:p>
        </w:tc>
        <w:tc>
          <w:tcPr>
            <w:tcW w:type="dxa" w:w="6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3C3C3C"/>
                <w:sz w:val="20"/>
                <w:szCs w:val="20"/>
              </w:rPr>
              <w:t xml:space="preserve">Axiom Biosciences, Inc.</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Sponsor Address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500 Innovation Parkway, Suite 800, Cambridge, MA 02139</w:t>
            </w:r>
          </w:p>
        </w:tc>
      </w:tr>
      <w:tr>
        <w:tc>
          <w:tcPr>
            <w:tcW w:type="dxa" w:w="32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tcPr>
          <w:p>
            <w:r>
              <w:rPr>
                <w:rFonts w:ascii="Arial" w:cs="Arial" w:eastAsia="Arial" w:hAnsi="Arial"/>
                <w:b/>
                <w:bCs/>
                <w:color w:val="1B3A6B"/>
                <w:sz w:val="20"/>
                <w:szCs w:val="20"/>
              </w:rPr>
              <w:t xml:space="preserve">Medical Monitor</w:t>
            </w:r>
          </w:p>
        </w:tc>
        <w:tc>
          <w:tcPr>
            <w:tcW w:type="dxa" w:w="6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3C3C3C"/>
                <w:sz w:val="20"/>
                <w:szCs w:val="20"/>
              </w:rPr>
              <w:t xml:space="preserve">[Name, MD, PhD] | [email@axiombio.com] | +1-617-555-0100</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Regulatory Contact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C3C3C"/>
                <w:sz w:val="20"/>
                <w:szCs w:val="20"/>
              </w:rPr>
              <w:t xml:space="preserve">Regulatory Affairs, regulatory@axiombio.com</w:t>
            </w:r>
          </w:p>
        </w:tc>
      </w:tr>
    </w:tbl>
    <w:p>
      <w:pPr>
        <w:spacing w:before="0" w:after="240"/>
      </w:pPr>
      <w:r>
        <w:t xml:space="preserve"/>
      </w:r>
    </w:p>
    <w:p>
      <w:pPr>
        <w:spacing w:before="120" w:after="60"/>
        <w:jc w:val="center"/>
      </w:pPr>
      <w:r>
        <w:rPr>
          <w:rFonts w:ascii="Arial" w:cs="Arial" w:eastAsia="Arial" w:hAnsi="Arial"/>
          <w:b/>
          <w:bCs/>
          <w:caps/>
          <w:color w:val="C55A11"/>
          <w:sz w:val="22"/>
          <w:szCs w:val="22"/>
        </w:rPr>
        <w:t xml:space="preserve">CONFIDENTIAL</w:t>
      </w:r>
    </w:p>
    <w:p>
      <w:pPr>
        <w:spacing w:before="0" w:after="0"/>
        <w:jc w:val="center"/>
      </w:pPr>
      <w:r>
        <w:rPr>
          <w:rFonts w:ascii="Arial" w:cs="Arial" w:eastAsia="Arial" w:hAnsi="Arial"/>
          <w:i/>
          <w:iCs/>
          <w:color w:val="888888"/>
          <w:sz w:val="18"/>
          <w:szCs w:val="18"/>
        </w:rPr>
        <w:t xml:space="preserve">This document is the confidential property of Axiom Biosciences, Inc. and is intended solely for the use of the named recipient(s). Disclosure, reproduction, or distribution without written authorization is strictly prohibited.</w:t>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1. PROTOCOL AMENDMENT HISTORY</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41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Summary of Changes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[DD Mon YYYY]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Clinical Development Team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Original protocol</w:t>
            </w:r>
          </w:p>
        </w:tc>
      </w:tr>
    </w:tbl>
    <w:p>
      <w:pPr>
        <w:spacing w:before="0" w:after="10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2. PROTOCOL SYNOPSIS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Title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A Phase 2b, Randomized, Open-Label, Multicenter, Dose-Ranging Study to Evaluate the Efficacy, Safety, and Pharmacokinetics of Cervimab (AXB-7219) in Three Dose Cohorts as First-Line Therapy in Patients with dMMR/MSI-H Metastatic Colorectal Cancer</w:t>
            </w:r>
          </w:p>
        </w:tc>
      </w:tr>
      <w:tr>
        <w:tc>
          <w:tcPr>
            <w:tcW w:type="dxa" w:w="2800"/>
            <w:tcBorders>
              <w:top w:val="single" w:color="CCCCCC" w:sz="1"/>
              <w:left w:val="single" w:color="CCCCCC" w:sz="1"/>
              <w:bottom w:val="single" w:color="CCCCCC" w:sz="1"/>
              <w:right w:val="single" w:color="CCCCCC" w:sz="1"/>
            </w:tcBorders>
            <w:shd w:fill="E0E4EC" w:val="clear"/>
            <w:tcMar>
              <w:top w:type="dxa" w:w="100"/>
              <w:left w:type="dxa" w:w="140"/>
              <w:bottom w:type="dxa" w:w="100"/>
              <w:right w:type="dxa" w:w="120"/>
            </w:tcMar>
          </w:tcPr>
          <w:p>
            <w:r>
              <w:rPr>
                <w:rFonts w:ascii="Arial" w:cs="Arial" w:eastAsia="Arial" w:hAnsi="Arial"/>
                <w:b/>
                <w:bCs/>
                <w:color w:val="1B3A6B"/>
                <w:sz w:val="20"/>
                <w:szCs w:val="20"/>
              </w:rPr>
              <w:t xml:space="preserve">Protocol Number</w:t>
            </w:r>
          </w:p>
        </w:tc>
        <w:tc>
          <w:tcPr>
            <w:tcW w:type="dxa" w:w="6560"/>
            <w:tcBorders>
              <w:top w:val="single" w:color="CCCCCC" w:sz="1"/>
              <w:left w:val="single" w:color="CCCCCC" w:sz="1"/>
              <w:bottom w:val="single" w:color="CCCCCC" w:sz="1"/>
              <w:right w:val="single" w:color="CCCCCC" w:sz="1"/>
            </w:tcBorders>
            <w:shd w:fill="F2F4F8"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AXB-CRC-201</w:t>
            </w:r>
          </w:p>
        </w:tc>
      </w:tr>
      <w:tr>
        <w:tc>
          <w:tcPr>
            <w:tcW w:type="dxa" w:w="2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Phase / Design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Phase 2b | Randomized, Open-Label, Three-Arm, Parallel-Group, Dose-Ranging</w:t>
            </w:r>
          </w:p>
        </w:tc>
      </w:tr>
      <w:tr>
        <w:tc>
          <w:tcPr>
            <w:tcW w:type="dxa" w:w="2800"/>
            <w:tcBorders>
              <w:top w:val="single" w:color="CCCCCC" w:sz="1"/>
              <w:left w:val="single" w:color="CCCCCC" w:sz="1"/>
              <w:bottom w:val="single" w:color="CCCCCC" w:sz="1"/>
              <w:right w:val="single" w:color="CCCCCC" w:sz="1"/>
            </w:tcBorders>
            <w:shd w:fill="E0E4EC" w:val="clear"/>
            <w:tcMar>
              <w:top w:type="dxa" w:w="100"/>
              <w:left w:type="dxa" w:w="140"/>
              <w:bottom w:type="dxa" w:w="100"/>
              <w:right w:type="dxa" w:w="120"/>
            </w:tcMar>
          </w:tcPr>
          <w:p>
            <w:r>
              <w:rPr>
                <w:rFonts w:ascii="Arial" w:cs="Arial" w:eastAsia="Arial" w:hAnsi="Arial"/>
                <w:b/>
                <w:bCs/>
                <w:color w:val="1B3A6B"/>
                <w:sz w:val="20"/>
                <w:szCs w:val="20"/>
              </w:rPr>
              <w:t xml:space="preserve">Sponsor</w:t>
            </w:r>
          </w:p>
        </w:tc>
        <w:tc>
          <w:tcPr>
            <w:tcW w:type="dxa" w:w="6560"/>
            <w:tcBorders>
              <w:top w:val="single" w:color="CCCCCC" w:sz="1"/>
              <w:left w:val="single" w:color="CCCCCC" w:sz="1"/>
              <w:bottom w:val="single" w:color="CCCCCC" w:sz="1"/>
              <w:right w:val="single" w:color="CCCCCC" w:sz="1"/>
            </w:tcBorders>
            <w:shd w:fill="F2F4F8"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Axiom Biosciences, Inc.</w:t>
            </w:r>
          </w:p>
        </w:tc>
      </w:tr>
      <w:tr>
        <w:tc>
          <w:tcPr>
            <w:tcW w:type="dxa" w:w="2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IND Number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IND [XXXXX]</w:t>
            </w:r>
          </w:p>
        </w:tc>
      </w:tr>
      <w:tr>
        <w:tc>
          <w:tcPr>
            <w:tcW w:type="dxa" w:w="2800"/>
            <w:tcBorders>
              <w:top w:val="single" w:color="CCCCCC" w:sz="1"/>
              <w:left w:val="single" w:color="CCCCCC" w:sz="1"/>
              <w:bottom w:val="single" w:color="CCCCCC" w:sz="1"/>
              <w:right w:val="single" w:color="CCCCCC" w:sz="1"/>
            </w:tcBorders>
            <w:shd w:fill="E0E4EC" w:val="clear"/>
            <w:tcMar>
              <w:top w:type="dxa" w:w="100"/>
              <w:left w:type="dxa" w:w="140"/>
              <w:bottom w:type="dxa" w:w="100"/>
              <w:right w:type="dxa" w:w="120"/>
            </w:tcMar>
          </w:tcPr>
          <w:p>
            <w:r>
              <w:rPr>
                <w:rFonts w:ascii="Arial" w:cs="Arial" w:eastAsia="Arial" w:hAnsi="Arial"/>
                <w:b/>
                <w:bCs/>
                <w:color w:val="1B3A6B"/>
                <w:sz w:val="20"/>
                <w:szCs w:val="20"/>
              </w:rPr>
              <w:t xml:space="preserve">Investigational Product</w:t>
            </w:r>
          </w:p>
        </w:tc>
        <w:tc>
          <w:tcPr>
            <w:tcW w:type="dxa" w:w="6560"/>
            <w:tcBorders>
              <w:top w:val="single" w:color="CCCCCC" w:sz="1"/>
              <w:left w:val="single" w:color="CCCCCC" w:sz="1"/>
              <w:bottom w:val="single" w:color="CCCCCC" w:sz="1"/>
              <w:right w:val="single" w:color="CCCCCC" w:sz="1"/>
            </w:tcBorders>
            <w:shd w:fill="F2F4F8"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Cervimab (AXB-7219): Humanized IgG4 anti-PD-1 monoclonal antibody</w:t>
            </w:r>
          </w:p>
        </w:tc>
      </w:tr>
      <w:tr>
        <w:tc>
          <w:tcPr>
            <w:tcW w:type="dxa" w:w="2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Indication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Previously untreated (first-line) dMMR/MSI-H metastatic colorectal cancer (mCRC)</w:t>
            </w:r>
          </w:p>
        </w:tc>
      </w:tr>
      <w:tr>
        <w:tc>
          <w:tcPr>
            <w:tcW w:type="dxa" w:w="2800"/>
            <w:tcBorders>
              <w:top w:val="single" w:color="CCCCCC" w:sz="1"/>
              <w:left w:val="single" w:color="CCCCCC" w:sz="1"/>
              <w:bottom w:val="single" w:color="CCCCCC" w:sz="1"/>
              <w:right w:val="single" w:color="CCCCCC" w:sz="1"/>
            </w:tcBorders>
            <w:shd w:fill="E0E4EC" w:val="clear"/>
            <w:tcMar>
              <w:top w:type="dxa" w:w="100"/>
              <w:left w:type="dxa" w:w="140"/>
              <w:bottom w:type="dxa" w:w="100"/>
              <w:right w:type="dxa" w:w="120"/>
            </w:tcMar>
          </w:tcPr>
          <w:p>
            <w:r>
              <w:rPr>
                <w:rFonts w:ascii="Arial" w:cs="Arial" w:eastAsia="Arial" w:hAnsi="Arial"/>
                <w:b/>
                <w:bCs/>
                <w:color w:val="1B3A6B"/>
                <w:sz w:val="20"/>
                <w:szCs w:val="20"/>
              </w:rPr>
              <w:t xml:space="preserve">Objectives</w:t>
            </w:r>
          </w:p>
        </w:tc>
        <w:tc>
          <w:tcPr>
            <w:tcW w:type="dxa" w:w="6560"/>
            <w:tcBorders>
              <w:top w:val="single" w:color="CCCCCC" w:sz="1"/>
              <w:left w:val="single" w:color="CCCCCC" w:sz="1"/>
              <w:bottom w:val="single" w:color="CCCCCC" w:sz="1"/>
              <w:right w:val="single" w:color="CCCCCC" w:sz="1"/>
            </w:tcBorders>
            <w:shd w:fill="F2F4F8"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Primary: Determine the dose with the best benefit-risk profile (ORR per RECIST v1.1 at Week 24)</w:t>
            </w:r>
          </w:p>
          <w:p>
            <w:pPr>
              <w:spacing w:before="40" w:after="40"/>
            </w:pPr>
            <w:r>
              <w:rPr>
                <w:rFonts w:ascii="Arial" w:cs="Arial" w:eastAsia="Arial" w:hAnsi="Arial"/>
                <w:color w:val="3C3C3C"/>
                <w:sz w:val="20"/>
                <w:szCs w:val="20"/>
              </w:rPr>
              <w:t xml:space="preserve">Key Secondary: PFS, OS, DOR, DCR, PK parameters, immunogenicity</w:t>
            </w:r>
          </w:p>
          <w:p>
            <w:pPr>
              <w:spacing w:before="40" w:after="40"/>
            </w:pPr>
            <w:r>
              <w:rPr>
                <w:rFonts w:ascii="Arial" w:cs="Arial" w:eastAsia="Arial" w:hAnsi="Arial"/>
                <w:color w:val="3C3C3C"/>
                <w:sz w:val="20"/>
                <w:szCs w:val="20"/>
              </w:rPr>
              <w:t xml:space="preserve">Exploratory: PD biomarkers (PD-L1, TMB, TIL density), ctDNA dynamics</w:t>
            </w:r>
          </w:p>
        </w:tc>
      </w:tr>
      <w:tr>
        <w:tc>
          <w:tcPr>
            <w:tcW w:type="dxa" w:w="2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Study Population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Adults ≥18 years; histologically confirmed dMMR/MSI-H mCRC; ECOG PS 0-1; no prior systemic therapy for metastatic disease; measurable disease per RECIST v1.1; adequate organ function</w:t>
            </w:r>
          </w:p>
        </w:tc>
      </w:tr>
      <w:tr>
        <w:tc>
          <w:tcPr>
            <w:tcW w:type="dxa" w:w="2800"/>
            <w:tcBorders>
              <w:top w:val="single" w:color="CCCCCC" w:sz="1"/>
              <w:left w:val="single" w:color="CCCCCC" w:sz="1"/>
              <w:bottom w:val="single" w:color="CCCCCC" w:sz="1"/>
              <w:right w:val="single" w:color="CCCCCC" w:sz="1"/>
            </w:tcBorders>
            <w:shd w:fill="E0E4EC" w:val="clear"/>
            <w:tcMar>
              <w:top w:type="dxa" w:w="100"/>
              <w:left w:type="dxa" w:w="140"/>
              <w:bottom w:type="dxa" w:w="100"/>
              <w:right w:type="dxa" w:w="120"/>
            </w:tcMar>
          </w:tcPr>
          <w:p>
            <w:r>
              <w:rPr>
                <w:rFonts w:ascii="Arial" w:cs="Arial" w:eastAsia="Arial" w:hAnsi="Arial"/>
                <w:b/>
                <w:bCs/>
                <w:color w:val="1B3A6B"/>
                <w:sz w:val="20"/>
                <w:szCs w:val="20"/>
              </w:rPr>
              <w:t xml:space="preserve">Number of Patients</w:t>
            </w:r>
          </w:p>
        </w:tc>
        <w:tc>
          <w:tcPr>
            <w:tcW w:type="dxa" w:w="6560"/>
            <w:tcBorders>
              <w:top w:val="single" w:color="CCCCCC" w:sz="1"/>
              <w:left w:val="single" w:color="CCCCCC" w:sz="1"/>
              <w:bottom w:val="single" w:color="CCCCCC" w:sz="1"/>
              <w:right w:val="single" w:color="CCCCCC" w:sz="1"/>
            </w:tcBorders>
            <w:shd w:fill="F2F4F8"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~150 (50 per arm); assumes 25% ORR in lowest-dose arm, 80% power, alpha 0.10 (dose-selection design)</w:t>
            </w:r>
          </w:p>
        </w:tc>
      </w:tr>
      <w:tr>
        <w:tc>
          <w:tcPr>
            <w:tcW w:type="dxa" w:w="2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Dose Arms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Arm A: Cervimab 200 mg Q3W IV</w:t>
            </w:r>
          </w:p>
          <w:p>
            <w:pPr>
              <w:spacing w:before="40" w:after="40"/>
            </w:pPr>
            <w:r>
              <w:rPr>
                <w:rFonts w:ascii="Arial" w:cs="Arial" w:eastAsia="Arial" w:hAnsi="Arial"/>
                <w:color w:val="3C3C3C"/>
                <w:sz w:val="20"/>
                <w:szCs w:val="20"/>
              </w:rPr>
              <w:t xml:space="preserve">Arm B: Cervimab 400 mg Q3W IV (reference dose)</w:t>
            </w:r>
          </w:p>
          <w:p>
            <w:pPr>
              <w:spacing w:before="40" w:after="40"/>
            </w:pPr>
            <w:r>
              <w:rPr>
                <w:rFonts w:ascii="Arial" w:cs="Arial" w:eastAsia="Arial" w:hAnsi="Arial"/>
                <w:color w:val="3C3C3C"/>
                <w:sz w:val="20"/>
                <w:szCs w:val="20"/>
              </w:rPr>
              <w:t xml:space="preserve">Arm C: Cervimab 400 mg Q2W IV</w:t>
            </w:r>
          </w:p>
          <w:p>
            <w:pPr>
              <w:spacing w:before="40" w:after="40"/>
            </w:pPr>
            <w:r>
              <w:rPr>
                <w:rFonts w:ascii="Arial" w:cs="Arial" w:eastAsia="Arial" w:hAnsi="Arial"/>
                <w:color w:val="3C3C3C"/>
                <w:sz w:val="20"/>
                <w:szCs w:val="20"/>
              </w:rPr>
              <w:t xml:space="preserve">All doses administered as 60-minute IV infusion</w:t>
            </w:r>
          </w:p>
        </w:tc>
      </w:tr>
      <w:tr>
        <w:tc>
          <w:tcPr>
            <w:tcW w:type="dxa" w:w="2800"/>
            <w:tcBorders>
              <w:top w:val="single" w:color="CCCCCC" w:sz="1"/>
              <w:left w:val="single" w:color="CCCCCC" w:sz="1"/>
              <w:bottom w:val="single" w:color="CCCCCC" w:sz="1"/>
              <w:right w:val="single" w:color="CCCCCC" w:sz="1"/>
            </w:tcBorders>
            <w:shd w:fill="E0E4EC" w:val="clear"/>
            <w:tcMar>
              <w:top w:type="dxa" w:w="100"/>
              <w:left w:type="dxa" w:w="140"/>
              <w:bottom w:type="dxa" w:w="100"/>
              <w:right w:type="dxa" w:w="120"/>
            </w:tcMar>
          </w:tcPr>
          <w:p>
            <w:r>
              <w:rPr>
                <w:rFonts w:ascii="Arial" w:cs="Arial" w:eastAsia="Arial" w:hAnsi="Arial"/>
                <w:b/>
                <w:bCs/>
                <w:color w:val="1B3A6B"/>
                <w:sz w:val="20"/>
                <w:szCs w:val="20"/>
              </w:rPr>
              <w:t xml:space="preserve">Treatment Duration</w:t>
            </w:r>
          </w:p>
        </w:tc>
        <w:tc>
          <w:tcPr>
            <w:tcW w:type="dxa" w:w="6560"/>
            <w:tcBorders>
              <w:top w:val="single" w:color="CCCCCC" w:sz="1"/>
              <w:left w:val="single" w:color="CCCCCC" w:sz="1"/>
              <w:bottom w:val="single" w:color="CCCCCC" w:sz="1"/>
              <w:right w:val="single" w:color="CCCCCC" w:sz="1"/>
            </w:tcBorders>
            <w:shd w:fill="F2F4F8"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Until disease progression, unacceptable toxicity, withdrawal of consent, or 24 months, whichever occurs first</w:t>
            </w:r>
          </w:p>
        </w:tc>
      </w:tr>
      <w:tr>
        <w:tc>
          <w:tcPr>
            <w:tcW w:type="dxa" w:w="2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Primary Endpoint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Objective Response Rate (ORR) at Week 24 per RECIST v1.1 (central review)</w:t>
            </w:r>
          </w:p>
        </w:tc>
      </w:tr>
      <w:tr>
        <w:tc>
          <w:tcPr>
            <w:tcW w:type="dxa" w:w="2800"/>
            <w:tcBorders>
              <w:top w:val="single" w:color="CCCCCC" w:sz="1"/>
              <w:left w:val="single" w:color="CCCCCC" w:sz="1"/>
              <w:bottom w:val="single" w:color="CCCCCC" w:sz="1"/>
              <w:right w:val="single" w:color="CCCCCC" w:sz="1"/>
            </w:tcBorders>
            <w:shd w:fill="E0E4EC" w:val="clear"/>
            <w:tcMar>
              <w:top w:type="dxa" w:w="100"/>
              <w:left w:type="dxa" w:w="140"/>
              <w:bottom w:type="dxa" w:w="100"/>
              <w:right w:type="dxa" w:w="120"/>
            </w:tcMar>
          </w:tcPr>
          <w:p>
            <w:r>
              <w:rPr>
                <w:rFonts w:ascii="Arial" w:cs="Arial" w:eastAsia="Arial" w:hAnsi="Arial"/>
                <w:b/>
                <w:bCs/>
                <w:color w:val="1B3A6B"/>
                <w:sz w:val="20"/>
                <w:szCs w:val="20"/>
              </w:rPr>
              <w:t xml:space="preserve">Key Secondary Endpoints</w:t>
            </w:r>
          </w:p>
        </w:tc>
        <w:tc>
          <w:tcPr>
            <w:tcW w:type="dxa" w:w="6560"/>
            <w:tcBorders>
              <w:top w:val="single" w:color="CCCCCC" w:sz="1"/>
              <w:left w:val="single" w:color="CCCCCC" w:sz="1"/>
              <w:bottom w:val="single" w:color="CCCCCC" w:sz="1"/>
              <w:right w:val="single" w:color="CCCCCC" w:sz="1"/>
            </w:tcBorders>
            <w:shd w:fill="F2F4F8"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Progression-Free Survival (PFS); Overall Survival (OS); Duration of Response (DOR); Disease Control Rate (DCR); Pharmacokinetics (Cmax, AUC, trough Ctrough); Immunogenicity (ADA)</w:t>
            </w:r>
          </w:p>
        </w:tc>
      </w:tr>
      <w:tr>
        <w:tc>
          <w:tcPr>
            <w:tcW w:type="dxa" w:w="2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Safety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Adverse events per CTCAE v5.0; irAE monitoring; DSMB oversight; 30-day safety follow-up post last dose</w:t>
            </w:r>
          </w:p>
        </w:tc>
      </w:tr>
      <w:tr>
        <w:tc>
          <w:tcPr>
            <w:tcW w:type="dxa" w:w="2800"/>
            <w:tcBorders>
              <w:top w:val="single" w:color="CCCCCC" w:sz="1"/>
              <w:left w:val="single" w:color="CCCCCC" w:sz="1"/>
              <w:bottom w:val="single" w:color="CCCCCC" w:sz="1"/>
              <w:right w:val="single" w:color="CCCCCC" w:sz="1"/>
            </w:tcBorders>
            <w:shd w:fill="E0E4EC" w:val="clear"/>
            <w:tcMar>
              <w:top w:type="dxa" w:w="100"/>
              <w:left w:type="dxa" w:w="140"/>
              <w:bottom w:type="dxa" w:w="100"/>
              <w:right w:type="dxa" w:w="120"/>
            </w:tcMar>
          </w:tcPr>
          <w:p>
            <w:r>
              <w:rPr>
                <w:rFonts w:ascii="Arial" w:cs="Arial" w:eastAsia="Arial" w:hAnsi="Arial"/>
                <w:b/>
                <w:bCs/>
                <w:color w:val="1B3A6B"/>
                <w:sz w:val="20"/>
                <w:szCs w:val="20"/>
              </w:rPr>
              <w:t xml:space="preserve">Study Duration</w:t>
            </w:r>
          </w:p>
        </w:tc>
        <w:tc>
          <w:tcPr>
            <w:tcW w:type="dxa" w:w="6560"/>
            <w:tcBorders>
              <w:top w:val="single" w:color="CCCCCC" w:sz="1"/>
              <w:left w:val="single" w:color="CCCCCC" w:sz="1"/>
              <w:bottom w:val="single" w:color="CCCCCC" w:sz="1"/>
              <w:right w:val="single" w:color="CCCCCC" w:sz="1"/>
            </w:tcBorders>
            <w:shd w:fill="F2F4F8"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Estimated enrollment: 12 months; Total study duration: ~36 months</w:t>
            </w:r>
          </w:p>
        </w:tc>
      </w:tr>
      <w:tr>
        <w:tc>
          <w:tcPr>
            <w:tcW w:type="dxa" w:w="2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Key Inclusion Criteria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Confirmed dMMR (IHC) or MSI-H (PCR/NGS); ECOG PS 0-1; No prior anti-PD-1/PD-L1 therapy; Adequate hematologic, hepatic, and renal function; No active autoimmune disease requiring systemic treatment</w:t>
            </w:r>
          </w:p>
        </w:tc>
      </w:tr>
      <w:tr>
        <w:tc>
          <w:tcPr>
            <w:tcW w:type="dxa" w:w="2800"/>
            <w:tcBorders>
              <w:top w:val="single" w:color="CCCCCC" w:sz="1"/>
              <w:left w:val="single" w:color="CCCCCC" w:sz="1"/>
              <w:bottom w:val="single" w:color="CCCCCC" w:sz="1"/>
              <w:right w:val="single" w:color="CCCCCC" w:sz="1"/>
            </w:tcBorders>
            <w:shd w:fill="E0E4EC" w:val="clear"/>
            <w:tcMar>
              <w:top w:type="dxa" w:w="100"/>
              <w:left w:type="dxa" w:w="140"/>
              <w:bottom w:type="dxa" w:w="100"/>
              <w:right w:type="dxa" w:w="120"/>
            </w:tcMar>
          </w:tcPr>
          <w:p>
            <w:r>
              <w:rPr>
                <w:rFonts w:ascii="Arial" w:cs="Arial" w:eastAsia="Arial" w:hAnsi="Arial"/>
                <w:b/>
                <w:bCs/>
                <w:color w:val="1B3A6B"/>
                <w:sz w:val="20"/>
                <w:szCs w:val="20"/>
              </w:rPr>
              <w:t xml:space="preserve">Key Exclusion Criteria</w:t>
            </w:r>
          </w:p>
        </w:tc>
        <w:tc>
          <w:tcPr>
            <w:tcW w:type="dxa" w:w="6560"/>
            <w:tcBorders>
              <w:top w:val="single" w:color="CCCCCC" w:sz="1"/>
              <w:left w:val="single" w:color="CCCCCC" w:sz="1"/>
              <w:bottom w:val="single" w:color="CCCCCC" w:sz="1"/>
              <w:right w:val="single" w:color="CCCCCC" w:sz="1"/>
            </w:tcBorders>
            <w:shd w:fill="F2F4F8"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Active brain metastases; Active autoimmune disease; Systemic corticosteroids (&gt;10 mg prednisone equivalent daily); Prior solid organ transplant; Active infection; Concurrent anti-cancer therapy</w:t>
            </w:r>
          </w:p>
        </w:tc>
      </w:tr>
      <w:tr>
        <w:tc>
          <w:tcPr>
            <w:tcW w:type="dxa" w:w="2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Statistics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Bayesian adaptive design with dose selection after 100 patients (interim). Final analysis: 90% CI for ORR per arm; pairwise comparison of arms vs. reference (Arm B) using exact binomial test.</w:t>
            </w:r>
          </w:p>
        </w:tc>
      </w:tr>
      <w:tr>
        <w:tc>
          <w:tcPr>
            <w:tcW w:type="dxa" w:w="2800"/>
            <w:tcBorders>
              <w:top w:val="single" w:color="CCCCCC" w:sz="1"/>
              <w:left w:val="single" w:color="CCCCCC" w:sz="1"/>
              <w:bottom w:val="single" w:color="CCCCCC" w:sz="1"/>
              <w:right w:val="single" w:color="CCCCCC" w:sz="1"/>
            </w:tcBorders>
            <w:shd w:fill="E0E4EC" w:val="clear"/>
            <w:tcMar>
              <w:top w:type="dxa" w:w="100"/>
              <w:left w:type="dxa" w:w="140"/>
              <w:bottom w:type="dxa" w:w="100"/>
              <w:right w:type="dxa" w:w="120"/>
            </w:tcMar>
          </w:tcPr>
          <w:p>
            <w:r>
              <w:rPr>
                <w:rFonts w:ascii="Arial" w:cs="Arial" w:eastAsia="Arial" w:hAnsi="Arial"/>
                <w:b/>
                <w:bCs/>
                <w:color w:val="1B3A6B"/>
                <w:sz w:val="20"/>
                <w:szCs w:val="20"/>
              </w:rPr>
              <w:t xml:space="preserve">Regulatory References</w:t>
            </w:r>
          </w:p>
        </w:tc>
        <w:tc>
          <w:tcPr>
            <w:tcW w:type="dxa" w:w="6560"/>
            <w:tcBorders>
              <w:top w:val="single" w:color="CCCCCC" w:sz="1"/>
              <w:left w:val="single" w:color="CCCCCC" w:sz="1"/>
              <w:bottom w:val="single" w:color="CCCCCC" w:sz="1"/>
              <w:right w:val="single" w:color="CCCCCC" w:sz="1"/>
            </w:tcBorders>
            <w:shd w:fill="F2F4F8" w:val="clear"/>
            <w:tcMar>
              <w:top w:type="dxa" w:w="100"/>
              <w:left w:type="dxa" w:w="140"/>
              <w:bottom w:type="dxa" w:w="100"/>
              <w:right w:type="dxa" w:w="120"/>
            </w:tcMar>
          </w:tcPr>
          <w:p>
            <w:pPr>
              <w:spacing w:before="40" w:after="40"/>
            </w:pPr>
            <w:r>
              <w:rPr>
                <w:rFonts w:ascii="Arial" w:cs="Arial" w:eastAsia="Arial" w:hAnsi="Arial"/>
                <w:color w:val="3C3C3C"/>
                <w:sz w:val="20"/>
                <w:szCs w:val="20"/>
              </w:rPr>
              <w:t xml:space="preserve">ICH E6(R2) GCP; ICH E8(R1); FDA Guidance: Cancer Clinical Trial Endpoints (2018); Oncology Drug Approval Standards; 21 CFR Part 312</w:t>
            </w:r>
          </w:p>
        </w:tc>
      </w:tr>
    </w:tbl>
    <w:p>
      <w:pPr>
        <w:spacing w:before="0" w:after="10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3. TABLE OF CONTENTS</w:t>
      </w:r>
    </w:p>
    <w:p>
      <w:pPr>
        <w:spacing w:before="60" w:after="60"/>
      </w:pPr>
      <w:r>
        <w:rPr>
          <w:rFonts w:ascii="Arial" w:cs="Arial" w:eastAsia="Arial" w:hAnsi="Arial"/>
          <w:b w:val="false"/>
          <w:bCs w:val="false"/>
          <w:color w:val="3C3C3C"/>
          <w:sz w:val="22"/>
          <w:szCs w:val="22"/>
        </w:rPr>
        <w:t xml:space="preserve">1.  Protocol Amendment History</w:t>
      </w:r>
    </w:p>
    <w:p>
      <w:pPr>
        <w:spacing w:before="60" w:after="60"/>
      </w:pPr>
      <w:r>
        <w:rPr>
          <w:rFonts w:ascii="Arial" w:cs="Arial" w:eastAsia="Arial" w:hAnsi="Arial"/>
          <w:b w:val="false"/>
          <w:bCs w:val="false"/>
          <w:color w:val="3C3C3C"/>
          <w:sz w:val="22"/>
          <w:szCs w:val="22"/>
        </w:rPr>
        <w:t xml:space="preserve">2.  Protocol Synopsis</w:t>
      </w:r>
    </w:p>
    <w:p>
      <w:pPr>
        <w:spacing w:before="60" w:after="60"/>
      </w:pPr>
      <w:r>
        <w:rPr>
          <w:rFonts w:ascii="Arial" w:cs="Arial" w:eastAsia="Arial" w:hAnsi="Arial"/>
          <w:b w:val="false"/>
          <w:bCs w:val="false"/>
          <w:color w:val="3C3C3C"/>
          <w:sz w:val="22"/>
          <w:szCs w:val="22"/>
        </w:rPr>
        <w:t xml:space="preserve">3.  Table of Contents</w:t>
      </w:r>
    </w:p>
    <w:p>
      <w:pPr>
        <w:spacing w:before="60" w:after="60"/>
      </w:pPr>
      <w:r>
        <w:rPr>
          <w:rFonts w:ascii="Arial" w:cs="Arial" w:eastAsia="Arial" w:hAnsi="Arial"/>
          <w:b w:val="false"/>
          <w:bCs w:val="false"/>
          <w:color w:val="3C3C3C"/>
          <w:sz w:val="22"/>
          <w:szCs w:val="22"/>
        </w:rPr>
        <w:t xml:space="preserve">4.  List of Abbreviations</w:t>
      </w:r>
    </w:p>
    <w:p>
      <w:pPr>
        <w:spacing w:before="60" w:after="60"/>
      </w:pPr>
      <w:r>
        <w:rPr>
          <w:rFonts w:ascii="Arial" w:cs="Arial" w:eastAsia="Arial" w:hAnsi="Arial"/>
          <w:b w:val="false"/>
          <w:bCs w:val="false"/>
          <w:color w:val="3C3C3C"/>
          <w:sz w:val="22"/>
          <w:szCs w:val="22"/>
        </w:rPr>
        <w:t xml:space="preserve">5.  Introduction and Rationale</w:t>
      </w:r>
    </w:p>
    <w:p>
      <w:pPr>
        <w:spacing w:before="60" w:after="60"/>
      </w:pPr>
      <w:r>
        <w:rPr>
          <w:rFonts w:ascii="Arial" w:cs="Arial" w:eastAsia="Arial" w:hAnsi="Arial"/>
          <w:b w:val="false"/>
          <w:bCs w:val="false"/>
          <w:color w:val="3C3C3C"/>
          <w:sz w:val="22"/>
          <w:szCs w:val="22"/>
        </w:rPr>
        <w:t xml:space="preserve">6.  Study Objectives and Endpoints</w:t>
      </w:r>
    </w:p>
    <w:p>
      <w:pPr>
        <w:spacing w:before="60" w:after="60"/>
      </w:pPr>
      <w:r>
        <w:rPr>
          <w:rFonts w:ascii="Arial" w:cs="Arial" w:eastAsia="Arial" w:hAnsi="Arial"/>
          <w:b w:val="false"/>
          <w:bCs w:val="false"/>
          <w:color w:val="3C3C3C"/>
          <w:sz w:val="22"/>
          <w:szCs w:val="22"/>
        </w:rPr>
        <w:t xml:space="preserve">7.  Study Design</w:t>
      </w:r>
    </w:p>
    <w:p>
      <w:pPr>
        <w:spacing w:before="60" w:after="60"/>
      </w:pPr>
      <w:r>
        <w:rPr>
          <w:rFonts w:ascii="Arial" w:cs="Arial" w:eastAsia="Arial" w:hAnsi="Arial"/>
          <w:b w:val="false"/>
          <w:bCs w:val="false"/>
          <w:color w:val="3C3C3C"/>
          <w:sz w:val="22"/>
          <w:szCs w:val="22"/>
        </w:rPr>
        <w:t xml:space="preserve">8.  Study Population — Inclusion and Exclusion Criteria</w:t>
      </w:r>
    </w:p>
    <w:p>
      <w:pPr>
        <w:spacing w:before="60" w:after="60"/>
      </w:pPr>
      <w:r>
        <w:rPr>
          <w:rFonts w:ascii="Arial" w:cs="Arial" w:eastAsia="Arial" w:hAnsi="Arial"/>
          <w:b w:val="false"/>
          <w:bCs w:val="false"/>
          <w:color w:val="3C3C3C"/>
          <w:sz w:val="22"/>
          <w:szCs w:val="22"/>
        </w:rPr>
        <w:t xml:space="preserve">9.  Investigational Product: Cervimab</w:t>
      </w:r>
    </w:p>
    <w:p>
      <w:pPr>
        <w:spacing w:before="60" w:after="60"/>
      </w:pPr>
      <w:r>
        <w:rPr>
          <w:rFonts w:ascii="Arial" w:cs="Arial" w:eastAsia="Arial" w:hAnsi="Arial"/>
          <w:b w:val="false"/>
          <w:bCs w:val="false"/>
          <w:color w:val="3C3C3C"/>
          <w:sz w:val="22"/>
          <w:szCs w:val="22"/>
        </w:rPr>
        <w:t xml:space="preserve">10. Dose Rationale and Dose-Ranging Schema</w:t>
      </w:r>
    </w:p>
    <w:p>
      <w:pPr>
        <w:spacing w:before="60" w:after="60"/>
      </w:pPr>
      <w:r>
        <w:rPr>
          <w:rFonts w:ascii="Arial" w:cs="Arial" w:eastAsia="Arial" w:hAnsi="Arial"/>
          <w:b w:val="false"/>
          <w:bCs w:val="false"/>
          <w:color w:val="3C3C3C"/>
          <w:sz w:val="22"/>
          <w:szCs w:val="22"/>
        </w:rPr>
        <w:t xml:space="preserve">11. Schedule of Assessments</w:t>
      </w:r>
    </w:p>
    <w:p>
      <w:pPr>
        <w:spacing w:before="60" w:after="60"/>
      </w:pPr>
      <w:r>
        <w:rPr>
          <w:rFonts w:ascii="Arial" w:cs="Arial" w:eastAsia="Arial" w:hAnsi="Arial"/>
          <w:b w:val="false"/>
          <w:bCs w:val="false"/>
          <w:color w:val="3C3C3C"/>
          <w:sz w:val="22"/>
          <w:szCs w:val="22"/>
        </w:rPr>
        <w:t xml:space="preserve">12. Efficacy Assessments</w:t>
      </w:r>
    </w:p>
    <w:p>
      <w:pPr>
        <w:spacing w:before="60" w:after="60"/>
      </w:pPr>
      <w:r>
        <w:rPr>
          <w:rFonts w:ascii="Arial" w:cs="Arial" w:eastAsia="Arial" w:hAnsi="Arial"/>
          <w:b w:val="false"/>
          <w:bCs w:val="false"/>
          <w:color w:val="3C3C3C"/>
          <w:sz w:val="22"/>
          <w:szCs w:val="22"/>
        </w:rPr>
        <w:t xml:space="preserve">13. Safety Assessments</w:t>
      </w:r>
    </w:p>
    <w:p>
      <w:pPr>
        <w:spacing w:before="60" w:after="60"/>
      </w:pPr>
      <w:r>
        <w:rPr>
          <w:rFonts w:ascii="Arial" w:cs="Arial" w:eastAsia="Arial" w:hAnsi="Arial"/>
          <w:b w:val="false"/>
          <w:bCs w:val="false"/>
          <w:color w:val="3C3C3C"/>
          <w:sz w:val="22"/>
          <w:szCs w:val="22"/>
        </w:rPr>
        <w:t xml:space="preserve">14. Pharmacokinetics and Immunogenicity</w:t>
      </w:r>
    </w:p>
    <w:p>
      <w:pPr>
        <w:spacing w:before="60" w:after="60"/>
      </w:pPr>
      <w:r>
        <w:rPr>
          <w:rFonts w:ascii="Arial" w:cs="Arial" w:eastAsia="Arial" w:hAnsi="Arial"/>
          <w:b w:val="false"/>
          <w:bCs w:val="false"/>
          <w:color w:val="3C3C3C"/>
          <w:sz w:val="22"/>
          <w:szCs w:val="22"/>
        </w:rPr>
        <w:t xml:space="preserve">15. Biomarker and Translational Research</w:t>
      </w:r>
    </w:p>
    <w:p>
      <w:pPr>
        <w:spacing w:before="60" w:after="60"/>
      </w:pPr>
      <w:r>
        <w:rPr>
          <w:rFonts w:ascii="Arial" w:cs="Arial" w:eastAsia="Arial" w:hAnsi="Arial"/>
          <w:b w:val="false"/>
          <w:bCs w:val="false"/>
          <w:color w:val="3C3C3C"/>
          <w:sz w:val="22"/>
          <w:szCs w:val="22"/>
        </w:rPr>
        <w:t xml:space="preserve">16. Statistical Analysis Plan Overview</w:t>
      </w:r>
    </w:p>
    <w:p>
      <w:pPr>
        <w:spacing w:before="60" w:after="60"/>
      </w:pPr>
      <w:r>
        <w:rPr>
          <w:rFonts w:ascii="Arial" w:cs="Arial" w:eastAsia="Arial" w:hAnsi="Arial"/>
          <w:b w:val="false"/>
          <w:bCs w:val="false"/>
          <w:color w:val="3C3C3C"/>
          <w:sz w:val="22"/>
          <w:szCs w:val="22"/>
        </w:rPr>
        <w:t xml:space="preserve">17. Data Management</w:t>
      </w:r>
    </w:p>
    <w:p>
      <w:pPr>
        <w:spacing w:before="60" w:after="60"/>
      </w:pPr>
      <w:r>
        <w:rPr>
          <w:rFonts w:ascii="Arial" w:cs="Arial" w:eastAsia="Arial" w:hAnsi="Arial"/>
          <w:b w:val="false"/>
          <w:bCs w:val="false"/>
          <w:color w:val="3C3C3C"/>
          <w:sz w:val="22"/>
          <w:szCs w:val="22"/>
        </w:rPr>
        <w:t xml:space="preserve">18. Ethical Considerations</w:t>
      </w:r>
    </w:p>
    <w:p>
      <w:pPr>
        <w:spacing w:before="60" w:after="60"/>
      </w:pPr>
      <w:r>
        <w:rPr>
          <w:rFonts w:ascii="Arial" w:cs="Arial" w:eastAsia="Arial" w:hAnsi="Arial"/>
          <w:b w:val="false"/>
          <w:bCs w:val="false"/>
          <w:color w:val="3C3C3C"/>
          <w:sz w:val="22"/>
          <w:szCs w:val="22"/>
        </w:rPr>
        <w:t xml:space="preserve">19. Regulatory Compliance</w:t>
      </w:r>
    </w:p>
    <w:p>
      <w:pPr>
        <w:spacing w:before="60" w:after="60"/>
      </w:pPr>
      <w:r>
        <w:rPr>
          <w:rFonts w:ascii="Arial" w:cs="Arial" w:eastAsia="Arial" w:hAnsi="Arial"/>
          <w:b w:val="false"/>
          <w:bCs w:val="false"/>
          <w:color w:val="3C3C3C"/>
          <w:sz w:val="22"/>
          <w:szCs w:val="22"/>
        </w:rPr>
        <w:t xml:space="preserve">20. References</w:t>
      </w:r>
    </w:p>
    <w:p>
      <w:pPr>
        <w:spacing w:before="60" w:after="60"/>
      </w:pPr>
      <w:r>
        <w:rPr>
          <w:rFonts w:ascii="Arial" w:cs="Arial" w:eastAsia="Arial" w:hAnsi="Arial"/>
          <w:b w:val="false"/>
          <w:bCs w:val="false"/>
          <w:color w:val="3C3C3C"/>
          <w:sz w:val="22"/>
          <w:szCs w:val="22"/>
        </w:rPr>
        <w:t xml:space="preserve">Appendix A: irAE Management Guidelines</w:t>
      </w:r>
    </w:p>
    <w:p>
      <w:pPr>
        <w:spacing w:before="60" w:after="60"/>
      </w:pPr>
      <w:r>
        <w:rPr>
          <w:rFonts w:ascii="Arial" w:cs="Arial" w:eastAsia="Arial" w:hAnsi="Arial"/>
          <w:b w:val="false"/>
          <w:bCs w:val="false"/>
          <w:color w:val="3C3C3C"/>
          <w:sz w:val="22"/>
          <w:szCs w:val="22"/>
        </w:rPr>
        <w:t xml:space="preserve">Appendix B: RECIST v1.1 Criteria</w:t>
      </w:r>
    </w:p>
    <w:p>
      <w:pPr>
        <w:spacing w:before="60" w:after="60"/>
      </w:pPr>
      <w:r>
        <w:rPr>
          <w:rFonts w:ascii="Arial" w:cs="Arial" w:eastAsia="Arial" w:hAnsi="Arial"/>
          <w:b w:val="false"/>
          <w:bCs w:val="false"/>
          <w:color w:val="3C3C3C"/>
          <w:sz w:val="22"/>
          <w:szCs w:val="22"/>
        </w:rPr>
        <w:t xml:space="preserve">Appendix C: CTCAE v5.0 Grading Reference</w:t>
      </w:r>
    </w:p>
    <w:p>
      <w:pPr>
        <w:spacing w:before="60" w:after="60"/>
      </w:pPr>
      <w:r>
        <w:rPr>
          <w:rFonts w:ascii="Arial" w:cs="Arial" w:eastAsia="Arial" w:hAnsi="Arial"/>
          <w:b w:val="false"/>
          <w:bCs w:val="false"/>
          <w:color w:val="3C3C3C"/>
          <w:sz w:val="22"/>
          <w:szCs w:val="22"/>
        </w:rPr>
        <w:t xml:space="preserve">Appendix D: Patient-Reported Outcome Instruments</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4. LIST OF ABBREVIATIONS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ADA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Anti-Drug Antibody</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AE</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Adverse Event</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AUC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Area Under the Concentration-Time Curve</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CI</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Confidence Interval</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CIOMS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Council for International Organizations of Medical Sciences</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Cmax</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Maximum Observed Serum Concentration</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Ctrough</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Trough Serum Concentration</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CR</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Complete Response</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CRC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Colorectal Cancer</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CSR</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Clinical Study Report</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CT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Computed Tomography</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CTCAE</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Common Terminology Criteria for Adverse Events</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DCR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Disease Control Rate</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DOR</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Duration of Response</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dMMR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Deficient Mismatch Repair</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DLT</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Dose-Limiting Toxicity</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DSMB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Data Safety Monitoring Board</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ECOG</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Eastern Cooperative Oncology Group</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EOT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End of Treatment</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FDA</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U.S. Food and Drug Administration</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GCP</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Good Clinical Practice</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ICH</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International Council for Harmonisation</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IHC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Immunohistochemistry</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IND</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Investigational New Drug</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irAE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Immune-Related Adverse Event</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IV</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Intravenous</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mAb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Monoclonal Antibody</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mCRC</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Metastatic Colorectal Cancer</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MRI</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Magnetic Resonance Imaging</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MSI-H</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Microsatellite Instability-High</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NGS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Next-Generation Sequencing</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ORR</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Objective Response Rate</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OS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Overall Survival</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PD</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Progressive Disease</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PD-1</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Programmed Death-1</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PD-L1</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Programmed Death Ligand-1</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PFS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Progression-Free Survival</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PK</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Pharmacokinetics</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PR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Partial Response</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PRO</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Patient-Reported Outcome</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Q2W</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Every 2 Weeks</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Q3W</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Every 3 Weeks</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RECIST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Response Evaluation Criteria in Solid Tumors</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SAE</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Serious Adverse Event</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SD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Stable Disease</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TIL</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Tumor-Infiltrating Lymphocyte</w:t>
            </w:r>
          </w:p>
        </w:tc>
      </w:tr>
      <w:tr>
        <w:tc>
          <w:tcPr>
            <w:tcW w:type="dxa" w:w="20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1B3A6B"/>
                <w:sz w:val="20"/>
                <w:szCs w:val="20"/>
              </w:rPr>
              <w:t xml:space="preserve">TMB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C3C3C"/>
                <w:sz w:val="20"/>
                <w:szCs w:val="20"/>
              </w:rPr>
              <w:t xml:space="preserve">Tumor Mutational Burden</w:t>
            </w:r>
          </w:p>
        </w:tc>
      </w:tr>
      <w:tr>
        <w:tc>
          <w:tcPr>
            <w:tcW w:type="dxa" w:w="2000"/>
            <w:tcBorders>
              <w:top w:val="single" w:color="CCCCCC" w:sz="1"/>
              <w:left w:val="single" w:color="CCCCCC" w:sz="1"/>
              <w:bottom w:val="single" w:color="CCCCCC" w:sz="1"/>
              <w:right w:val="single" w:color="CCCCCC" w:sz="1"/>
            </w:tcBorders>
            <w:shd w:fill="E0E4EC" w:val="clear"/>
            <w:tcMar>
              <w:top w:type="dxa" w:w="60"/>
              <w:left w:type="dxa" w:w="100"/>
              <w:bottom w:type="dxa" w:w="60"/>
              <w:right w:type="dxa" w:w="100"/>
            </w:tcMar>
          </w:tcPr>
          <w:p>
            <w:r>
              <w:rPr>
                <w:rFonts w:ascii="Arial" w:cs="Arial" w:eastAsia="Arial" w:hAnsi="Arial"/>
                <w:b/>
                <w:bCs/>
                <w:color w:val="1B3A6B"/>
                <w:sz w:val="20"/>
                <w:szCs w:val="20"/>
              </w:rPr>
              <w:t xml:space="preserve">ctDNA</w:t>
            </w:r>
          </w:p>
        </w:tc>
        <w:tc>
          <w:tcPr>
            <w:tcW w:type="dxa" w:w="736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color w:val="3C3C3C"/>
                <w:sz w:val="20"/>
                <w:szCs w:val="20"/>
              </w:rPr>
              <w:t xml:space="preserve">Circulating Tumor DNA</w:t>
            </w:r>
          </w:p>
        </w:tc>
      </w:tr>
    </w:tbl>
    <w:p>
      <w:pPr>
        <w:spacing w:before="0" w:after="10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5. INTRODUCTION AND RATIONALE</w:t>
      </w:r>
    </w:p>
    <w:p>
      <w:pPr>
        <w:pStyle w:val="Heading2"/>
        <w:spacing w:before="280" w:after="80"/>
      </w:pPr>
      <w:r>
        <w:rPr>
          <w:rFonts w:ascii="Arial" w:cs="Arial" w:eastAsia="Arial" w:hAnsi="Arial"/>
          <w:b/>
          <w:bCs/>
          <w:color w:val="2E5FA3"/>
          <w:sz w:val="28"/>
          <w:szCs w:val="28"/>
        </w:rPr>
        <w:t xml:space="preserve">5.1 Disease Background</w:t>
      </w:r>
    </w:p>
    <w:p>
      <w:pPr>
        <w:spacing w:before="60" w:after="60"/>
      </w:pPr>
      <w:r>
        <w:rPr>
          <w:rFonts w:ascii="Arial" w:cs="Arial" w:eastAsia="Arial" w:hAnsi="Arial"/>
          <w:b w:val="false"/>
          <w:bCs w:val="false"/>
          <w:color w:val="3C3C3C"/>
          <w:sz w:val="22"/>
          <w:szCs w:val="22"/>
        </w:rPr>
        <w:t xml:space="preserve">Colorectal cancer (CRC) is the third most commonly diagnosed cancer worldwide and the second leading cause of cancer-related mortality, accounting for approximately 1.9 million new cases and 935,000 deaths globally in 2020 (GLOBOCAN 2020). In the United States, approximately 153,000 new cases and 52,000 deaths are projected annually. At initial diagnosis, approximately 20-25% of patients present with metastatic disease (mCRC), and an additional 50% of patients with localized disease will develop metastases. The five-year survival rate for metastatic disease remains approximately 13-17%.</w:t>
      </w:r>
    </w:p>
    <w:p>
      <w:pPr>
        <w:spacing w:before="0" w:after="60"/>
      </w:pPr>
      <w:r>
        <w:t xml:space="preserve"/>
      </w:r>
    </w:p>
    <w:p>
      <w:pPr>
        <w:spacing w:before="60" w:after="60"/>
      </w:pPr>
      <w:r>
        <w:rPr>
          <w:rFonts w:ascii="Arial" w:cs="Arial" w:eastAsia="Arial" w:hAnsi="Arial"/>
          <w:b w:val="false"/>
          <w:bCs w:val="false"/>
          <w:color w:val="3C3C3C"/>
          <w:sz w:val="22"/>
          <w:szCs w:val="22"/>
        </w:rPr>
        <w:t xml:space="preserve">Deficient mismatch repair (dMMR) and its molecular correlate, microsatellite instability-high (MSI-H), represent a clinically critical biomarker subset occurring in approximately 3-5% of mCRC cases. Tumors with dMMR/MSI-H status are characterized by a hypermutated phenotype with high tumor mutational burden (TMB), abundant tumor-infiltrating lymphocytes (TILs), and high expression of immune checkpoint molecules including PD-1 and PD-L1. This immunogenic microenvironment renders dMMR/MSI-H tumors uniquely susceptible to PD-1/PD-L1 axis blockade.</w:t>
      </w:r>
    </w:p>
    <w:p>
      <w:pPr>
        <w:spacing w:before="0" w:after="60"/>
      </w:pPr>
      <w:r>
        <w:t xml:space="preserve"/>
      </w:r>
    </w:p>
    <w:p>
      <w:pPr>
        <w:spacing w:before="60" w:after="60"/>
      </w:pPr>
      <w:r>
        <w:rPr>
          <w:rFonts w:ascii="Arial" w:cs="Arial" w:eastAsia="Arial" w:hAnsi="Arial"/>
          <w:b w:val="false"/>
          <w:bCs w:val="false"/>
          <w:color w:val="3C3C3C"/>
          <w:sz w:val="22"/>
          <w:szCs w:val="22"/>
        </w:rPr>
        <w:t xml:space="preserve">The landmark KEYNOTE-177 trial established single-agent pembrolizumab as the standard of care for first-line treatment of dMMR/MSI-H mCRC, demonstrating a progression-free survival benefit versus standard chemotherapy (PFS HR 0.60; 95% CI 0.45-0.80; p=0.0002) and an ORR of 43.8%. Subsequent data from nivolumab (CheckMate 142) and the combination of nivolumab plus ipilimumab further validated this class of agents. Despite these advances, approximately 40-60% of patients with dMMR/MSI-H mCRC fail to respond to first-line anti-PD-1 monotherapy, highlighting the need for optimized dosing regimens and predictive biomarkers.</w:t>
      </w:r>
    </w:p>
    <w:p>
      <w:pPr>
        <w:spacing w:before="0" w:after="60"/>
      </w:pPr>
      <w:r>
        <w:t xml:space="preserve"/>
      </w:r>
    </w:p>
    <w:p>
      <w:pPr>
        <w:pStyle w:val="Heading2"/>
        <w:spacing w:before="280" w:after="80"/>
      </w:pPr>
      <w:r>
        <w:rPr>
          <w:rFonts w:ascii="Arial" w:cs="Arial" w:eastAsia="Arial" w:hAnsi="Arial"/>
          <w:b/>
          <w:bCs/>
          <w:color w:val="2E5FA3"/>
          <w:sz w:val="28"/>
          <w:szCs w:val="28"/>
        </w:rPr>
        <w:t xml:space="preserve">5.2 Investigational Product: Cervimab (AXB-7219)</w:t>
      </w:r>
    </w:p>
    <w:p>
      <w:pPr>
        <w:spacing w:before="60" w:after="60"/>
      </w:pPr>
      <w:r>
        <w:rPr>
          <w:rFonts w:ascii="Arial" w:cs="Arial" w:eastAsia="Arial" w:hAnsi="Arial"/>
          <w:b w:val="false"/>
          <w:bCs w:val="false"/>
          <w:color w:val="3C3C3C"/>
          <w:sz w:val="22"/>
          <w:szCs w:val="22"/>
        </w:rPr>
        <w:t xml:space="preserve">Cervimab (AXB-7219) is a humanized IgG4 kappa monoclonal antibody that binds to the extracellular domain of human Programmed Death-1 (PD-1) with high affinity (KD ~0.3 nM), blocking its interaction with PD-L1 and PD-L2 ligands. The IgG4 subclass was selected to minimize Fc-mediated effector functions (ADCC/CDC) while preserving hinge region stability through the S228P substitution (Eu numbering). Cervimab restores T-cell-mediated antitumor immunity by preventing PD-1-mediated T-cell exhaustion within the tumor microenvironment.</w:t>
      </w:r>
    </w:p>
    <w:p>
      <w:pPr>
        <w:spacing w:before="0" w:after="60"/>
      </w:pPr>
      <w:r>
        <w:t xml:space="preserve"/>
      </w:r>
    </w:p>
    <w:p>
      <w:pPr>
        <w:spacing w:before="60" w:after="60"/>
      </w:pPr>
      <w:r>
        <w:rPr>
          <w:rFonts w:ascii="Arial" w:cs="Arial" w:eastAsia="Arial" w:hAnsi="Arial"/>
          <w:b w:val="false"/>
          <w:bCs w:val="false"/>
          <w:color w:val="3C3C3C"/>
          <w:sz w:val="22"/>
          <w:szCs w:val="22"/>
        </w:rPr>
        <w:t xml:space="preserve">Non-clinical characterization has demonstrated: (i) picomolar binding affinity to human PD-1 with cross-reactivity to cynomolgus monkey PD-1; (ii) absence of binding to murine PD-1; (iii) potent restoration of T-cell proliferation and IFN-gamma production in co-culture and MLR assays; (iv) in vivo antitumor activity in humanized PD-1 knock-in syngeneic mouse models including MC38 (MSI-H) and CT26; (v) a favorable toxicological profile in cynomolgus monkeys at doses up to 100 mg/kg with no treatment-related mortalities; and (vi) a predicted human PK profile consistent with flat dosing at 200-400 mg Q2W-Q3W based on PK/PD modeling.</w:t>
      </w:r>
    </w:p>
    <w:p>
      <w:pPr>
        <w:spacing w:before="0" w:after="60"/>
      </w:pPr>
      <w:r>
        <w:t xml:space="preserve"/>
      </w:r>
    </w:p>
    <w:p>
      <w:pPr>
        <w:pStyle w:val="Heading2"/>
        <w:spacing w:before="280" w:after="80"/>
      </w:pPr>
      <w:r>
        <w:rPr>
          <w:rFonts w:ascii="Arial" w:cs="Arial" w:eastAsia="Arial" w:hAnsi="Arial"/>
          <w:b/>
          <w:bCs/>
          <w:color w:val="2E5FA3"/>
          <w:sz w:val="28"/>
          <w:szCs w:val="28"/>
        </w:rPr>
        <w:t xml:space="preserve">5.3 Clinical Experience to Date</w:t>
      </w:r>
    </w:p>
    <w:p>
      <w:pPr>
        <w:spacing w:before="60" w:after="60"/>
      </w:pPr>
      <w:r>
        <w:rPr>
          <w:rFonts w:ascii="Arial" w:cs="Arial" w:eastAsia="Arial" w:hAnsi="Arial"/>
          <w:b w:val="false"/>
          <w:bCs w:val="false"/>
          <w:color w:val="3C3C3C"/>
          <w:sz w:val="22"/>
          <w:szCs w:val="22"/>
        </w:rPr>
        <w:t xml:space="preserve">The Phase 1/1b first-in-human study (AXB-CRC-101; IND [XXXXX]) evaluated cervimab in 68 patients with advanced solid tumors across four dose cohorts (1, 3, 10, and 20 mg/kg IV Q3W), followed by two flat-dose expansion cohorts (200 mg and 400 mg Q3W) each enrolling 20 patients. Key findings include:</w:t>
      </w:r>
    </w:p>
    <w:p>
      <w:pPr>
        <w:pStyle w:val="ListParagraph"/>
        <w:numPr>
          <w:ilvl w:val="0"/>
          <w:numId w:val="2"/>
        </w:numPr>
        <w:spacing w:before="40" w:after="40"/>
      </w:pPr>
      <w:r>
        <w:rPr>
          <w:rFonts w:ascii="Arial" w:cs="Arial" w:eastAsia="Arial" w:hAnsi="Arial"/>
          <w:color w:val="3C3C3C"/>
          <w:sz w:val="22"/>
          <w:szCs w:val="22"/>
        </w:rPr>
        <w:t xml:space="preserve">The maximum tolerated dose (MTD) was not reached up to 20 mg/kg Q3W</w:t>
      </w:r>
    </w:p>
    <w:p>
      <w:pPr>
        <w:pStyle w:val="ListParagraph"/>
        <w:numPr>
          <w:ilvl w:val="0"/>
          <w:numId w:val="2"/>
        </w:numPr>
        <w:spacing w:before="40" w:after="40"/>
      </w:pPr>
      <w:r>
        <w:rPr>
          <w:rFonts w:ascii="Arial" w:cs="Arial" w:eastAsia="Arial" w:hAnsi="Arial"/>
          <w:color w:val="3C3C3C"/>
          <w:sz w:val="22"/>
          <w:szCs w:val="22"/>
        </w:rPr>
        <w:t xml:space="preserve">The recommended Phase 2 dose (RP2D) range was defined as 200-400 mg Q3W based on PK/PD modeling targeting receptor occupancy &gt;90% at trough</w:t>
      </w:r>
    </w:p>
    <w:p>
      <w:pPr>
        <w:pStyle w:val="ListParagraph"/>
        <w:numPr>
          <w:ilvl w:val="0"/>
          <w:numId w:val="2"/>
        </w:numPr>
        <w:spacing w:before="40" w:after="40"/>
      </w:pPr>
      <w:r>
        <w:rPr>
          <w:rFonts w:ascii="Arial" w:cs="Arial" w:eastAsia="Arial" w:hAnsi="Arial"/>
          <w:color w:val="3C3C3C"/>
          <w:sz w:val="22"/>
          <w:szCs w:val="22"/>
        </w:rPr>
        <w:t xml:space="preserve">Dose-proportional PK was observed across the dose range; half-life ~25 days; Ctrough at steady-state: 18.2 mcg/mL (200 mg Q3W) and 41.4 mcg/mL (400 mg Q3W)</w:t>
      </w:r>
    </w:p>
    <w:p>
      <w:pPr>
        <w:pStyle w:val="ListParagraph"/>
        <w:numPr>
          <w:ilvl w:val="0"/>
          <w:numId w:val="2"/>
        </w:numPr>
        <w:spacing w:before="40" w:after="40"/>
      </w:pPr>
      <w:r>
        <w:rPr>
          <w:rFonts w:ascii="Arial" w:cs="Arial" w:eastAsia="Arial" w:hAnsi="Arial"/>
          <w:color w:val="3C3C3C"/>
          <w:sz w:val="22"/>
          <w:szCs w:val="22"/>
        </w:rPr>
        <w:t xml:space="preserve">Grade 3-4 treatment-related adverse events (TRAEs) occurred in 17.6% of patients; most frequent were immune-related: pneumonitis (4.4%), colitis (2.9%), hepatitis (2.9%)</w:t>
      </w:r>
    </w:p>
    <w:p>
      <w:pPr>
        <w:pStyle w:val="ListParagraph"/>
        <w:numPr>
          <w:ilvl w:val="0"/>
          <w:numId w:val="2"/>
        </w:numPr>
        <w:spacing w:before="40" w:after="40"/>
      </w:pPr>
      <w:r>
        <w:rPr>
          <w:rFonts w:ascii="Arial" w:cs="Arial" w:eastAsia="Arial" w:hAnsi="Arial"/>
          <w:color w:val="3C3C3C"/>
          <w:sz w:val="22"/>
          <w:szCs w:val="22"/>
        </w:rPr>
        <w:t xml:space="preserve">No Grade 5 TRAEs were observed; no dose-limiting toxicities at doses ≤400 mg Q3W</w:t>
      </w:r>
    </w:p>
    <w:p>
      <w:pPr>
        <w:pStyle w:val="ListParagraph"/>
        <w:numPr>
          <w:ilvl w:val="0"/>
          <w:numId w:val="2"/>
        </w:numPr>
        <w:spacing w:before="40" w:after="40"/>
      </w:pPr>
      <w:r>
        <w:rPr>
          <w:rFonts w:ascii="Arial" w:cs="Arial" w:eastAsia="Arial" w:hAnsi="Arial"/>
          <w:color w:val="3C3C3C"/>
          <w:sz w:val="22"/>
          <w:szCs w:val="22"/>
        </w:rPr>
        <w:t xml:space="preserve">Anti-drug antibody (ADA) incidence: 8.8% (6/68 patients); no neutralizing antibodies detected; no apparent impact on PK or safety</w:t>
      </w:r>
    </w:p>
    <w:p>
      <w:pPr>
        <w:pStyle w:val="ListParagraph"/>
        <w:numPr>
          <w:ilvl w:val="0"/>
          <w:numId w:val="2"/>
        </w:numPr>
        <w:spacing w:before="40" w:after="40"/>
      </w:pPr>
      <w:r>
        <w:rPr>
          <w:rFonts w:ascii="Arial" w:cs="Arial" w:eastAsia="Arial" w:hAnsi="Arial"/>
          <w:color w:val="3C3C3C"/>
          <w:sz w:val="22"/>
          <w:szCs w:val="22"/>
        </w:rPr>
        <w:t xml:space="preserve">Confirmed ORR in the dMMR/MSI-H CRC subset (n=14): 50% (7/14 patients; 95% CI 23.0-77.0%), with 2 complete responses</w:t>
      </w:r>
    </w:p>
    <w:p>
      <w:pPr>
        <w:spacing w:before="0" w:after="60"/>
      </w:pPr>
      <w:r>
        <w:t xml:space="preserve"/>
      </w:r>
    </w:p>
    <w:p>
      <w:pPr>
        <w:pStyle w:val="Heading2"/>
        <w:spacing w:before="280" w:after="80"/>
      </w:pPr>
      <w:r>
        <w:rPr>
          <w:rFonts w:ascii="Arial" w:cs="Arial" w:eastAsia="Arial" w:hAnsi="Arial"/>
          <w:b/>
          <w:bCs/>
          <w:color w:val="2E5FA3"/>
          <w:sz w:val="28"/>
          <w:szCs w:val="28"/>
        </w:rPr>
        <w:t xml:space="preserve">5.4 Rationale for Phase 2b Dose-Ranging Study</w:t>
      </w:r>
    </w:p>
    <w:p>
      <w:pPr>
        <w:spacing w:before="60" w:after="60"/>
      </w:pPr>
      <w:r>
        <w:rPr>
          <w:rFonts w:ascii="Arial" w:cs="Arial" w:eastAsia="Arial" w:hAnsi="Arial"/>
          <w:b w:val="false"/>
          <w:bCs w:val="false"/>
          <w:color w:val="3C3C3C"/>
          <w:sz w:val="22"/>
          <w:szCs w:val="22"/>
        </w:rPr>
        <w:t xml:space="preserve">While preliminary anti-tumor activity has been observed across the RP2D range, the optimal dose and schedule for cervimab in dMMR/MSI-H mCRC has not been established in a randomized setting. Key scientific questions motivating this Phase 2b study include:</w:t>
      </w:r>
    </w:p>
    <w:p>
      <w:pPr>
        <w:pStyle w:val="ListParagraph"/>
        <w:numPr>
          <w:ilvl w:val="0"/>
          <w:numId w:val="2"/>
        </w:numPr>
        <w:spacing w:before="40" w:after="40"/>
      </w:pPr>
      <w:r>
        <w:rPr>
          <w:rFonts w:ascii="Arial" w:cs="Arial" w:eastAsia="Arial" w:hAnsi="Arial"/>
          <w:color w:val="3C3C3C"/>
          <w:sz w:val="22"/>
          <w:szCs w:val="22"/>
        </w:rPr>
        <w:t xml:space="preserve">Dose-response relationship: Whether 200 mg Q3W achieves similar efficacy to 400 mg Q3W (would reduce drug exposure and potentially improve tolerability)</w:t>
      </w:r>
    </w:p>
    <w:p>
      <w:pPr>
        <w:pStyle w:val="ListParagraph"/>
        <w:numPr>
          <w:ilvl w:val="0"/>
          <w:numId w:val="2"/>
        </w:numPr>
        <w:spacing w:before="40" w:after="40"/>
      </w:pPr>
      <w:r>
        <w:rPr>
          <w:rFonts w:ascii="Arial" w:cs="Arial" w:eastAsia="Arial" w:hAnsi="Arial"/>
          <w:color w:val="3C3C3C"/>
          <w:sz w:val="22"/>
          <w:szCs w:val="22"/>
        </w:rPr>
        <w:t xml:space="preserve">Schedule optimization: Whether more frequent dosing (400 mg Q2W) provides pharmacokinetic/pharmacodynamic advantages through higher Ctrough and more sustained PD-1 receptor occupancy that translates into clinical benefit</w:t>
      </w:r>
    </w:p>
    <w:p>
      <w:pPr>
        <w:pStyle w:val="ListParagraph"/>
        <w:numPr>
          <w:ilvl w:val="0"/>
          <w:numId w:val="2"/>
        </w:numPr>
        <w:spacing w:before="40" w:after="40"/>
      </w:pPr>
      <w:r>
        <w:rPr>
          <w:rFonts w:ascii="Arial" w:cs="Arial" w:eastAsia="Arial" w:hAnsi="Arial"/>
          <w:color w:val="3C3C3C"/>
          <w:sz w:val="22"/>
          <w:szCs w:val="22"/>
        </w:rPr>
        <w:t xml:space="preserve">Biomarker refinement: Identification of predictive biomarkers beyond MSI-H/dMMR status (e.g., TMB-H, PD-L1 CPS, TIL density, ctDNA dynamics) that may identify patients most likely to benefit from each dose level</w:t>
      </w:r>
    </w:p>
    <w:p>
      <w:pPr>
        <w:spacing w:before="0" w:after="60"/>
      </w:pPr>
      <w:r>
        <w:t xml:space="preserve"/>
      </w:r>
    </w:p>
    <w:p>
      <w:pPr>
        <w:spacing w:before="60" w:after="60"/>
      </w:pPr>
      <w:r>
        <w:rPr>
          <w:rFonts w:ascii="Arial" w:cs="Arial" w:eastAsia="Arial" w:hAnsi="Arial"/>
          <w:b w:val="false"/>
          <w:bCs w:val="false"/>
          <w:color w:val="3C3C3C"/>
          <w:sz w:val="22"/>
          <w:szCs w:val="22"/>
        </w:rPr>
        <w:t xml:space="preserve">The Phase 2b dose-ranging design employs a Bayesian adaptive framework with a pre-specified interim analysis after 100 patients to enable early dose selection while maintaining scientific rigor. This design is consistent with FDA Guidance for Industry: Adaptive Designs for Clinical Trials of Drugs and Biologics (2019) and provides flexibility to optimize the probability of success in a subsequent confirmatory Phase 3 trial.</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6. STUDY OBJECTIVES AND ENDPOINTS</w:t>
      </w:r>
    </w:p>
    <w:p>
      <w:pPr>
        <w:pStyle w:val="Heading2"/>
        <w:spacing w:before="280" w:after="80"/>
      </w:pPr>
      <w:r>
        <w:rPr>
          <w:rFonts w:ascii="Arial" w:cs="Arial" w:eastAsia="Arial" w:hAnsi="Arial"/>
          <w:b/>
          <w:bCs/>
          <w:color w:val="2E5FA3"/>
          <w:sz w:val="28"/>
          <w:szCs w:val="28"/>
        </w:rPr>
        <w:t xml:space="preserve">6.1 Primary Objective</w:t>
      </w:r>
    </w:p>
    <w:p>
      <w:pPr>
        <w:spacing w:before="60" w:after="60"/>
      </w:pPr>
      <w:r>
        <w:rPr>
          <w:rFonts w:ascii="Arial" w:cs="Arial" w:eastAsia="Arial" w:hAnsi="Arial"/>
          <w:b w:val="false"/>
          <w:bCs w:val="false"/>
          <w:color w:val="3C3C3C"/>
          <w:sz w:val="22"/>
          <w:szCs w:val="22"/>
        </w:rPr>
        <w:t xml:space="preserve">To evaluate the antitumor efficacy of three cervimab dose regimens (200 mg Q3W, 400 mg Q3W, and 400 mg Q2W) as measured by objective response rate (ORR) per RECIST v1.1 at Week 24 in patients with previously untreated dMMR/MSI-H mCRC, as assessed by blinded independent central review (BICR).</w:t>
      </w:r>
    </w:p>
    <w:p>
      <w:pPr>
        <w:spacing w:before="0" w:after="60"/>
      </w:pPr>
      <w:r>
        <w:t xml:space="preserve"/>
      </w:r>
    </w:p>
    <w:p>
      <w:pPr>
        <w:pStyle w:val="Heading2"/>
        <w:spacing w:before="280" w:after="80"/>
      </w:pPr>
      <w:r>
        <w:rPr>
          <w:rFonts w:ascii="Arial" w:cs="Arial" w:eastAsia="Arial" w:hAnsi="Arial"/>
          <w:b/>
          <w:bCs/>
          <w:color w:val="2E5FA3"/>
          <w:sz w:val="28"/>
          <w:szCs w:val="28"/>
        </w:rPr>
        <w:t xml:space="preserve">6.2 Key Secondary Objectives</w:t>
      </w:r>
    </w:p>
    <w:p>
      <w:pPr>
        <w:pStyle w:val="ListParagraph"/>
        <w:numPr>
          <w:ilvl w:val="0"/>
          <w:numId w:val="2"/>
        </w:numPr>
        <w:spacing w:before="40" w:after="40"/>
      </w:pPr>
      <w:r>
        <w:rPr>
          <w:rFonts w:ascii="Arial" w:cs="Arial" w:eastAsia="Arial" w:hAnsi="Arial"/>
          <w:color w:val="3C3C3C"/>
          <w:sz w:val="22"/>
          <w:szCs w:val="22"/>
        </w:rPr>
        <w:t xml:space="preserve">To compare progression-free survival (PFS) across dose arms</w:t>
      </w:r>
    </w:p>
    <w:p>
      <w:pPr>
        <w:pStyle w:val="ListParagraph"/>
        <w:numPr>
          <w:ilvl w:val="0"/>
          <w:numId w:val="2"/>
        </w:numPr>
        <w:spacing w:before="40" w:after="40"/>
      </w:pPr>
      <w:r>
        <w:rPr>
          <w:rFonts w:ascii="Arial" w:cs="Arial" w:eastAsia="Arial" w:hAnsi="Arial"/>
          <w:color w:val="3C3C3C"/>
          <w:sz w:val="22"/>
          <w:szCs w:val="22"/>
        </w:rPr>
        <w:t xml:space="preserve">To assess overall survival (OS) through 36 months</w:t>
      </w:r>
    </w:p>
    <w:p>
      <w:pPr>
        <w:pStyle w:val="ListParagraph"/>
        <w:numPr>
          <w:ilvl w:val="0"/>
          <w:numId w:val="2"/>
        </w:numPr>
        <w:spacing w:before="40" w:after="40"/>
      </w:pPr>
      <w:r>
        <w:rPr>
          <w:rFonts w:ascii="Arial" w:cs="Arial" w:eastAsia="Arial" w:hAnsi="Arial"/>
          <w:color w:val="3C3C3C"/>
          <w:sz w:val="22"/>
          <w:szCs w:val="22"/>
        </w:rPr>
        <w:t xml:space="preserve">To characterize duration of response (DOR) and disease control rate (DCR)</w:t>
      </w:r>
    </w:p>
    <w:p>
      <w:pPr>
        <w:pStyle w:val="ListParagraph"/>
        <w:numPr>
          <w:ilvl w:val="0"/>
          <w:numId w:val="2"/>
        </w:numPr>
        <w:spacing w:before="40" w:after="40"/>
      </w:pPr>
      <w:r>
        <w:rPr>
          <w:rFonts w:ascii="Arial" w:cs="Arial" w:eastAsia="Arial" w:hAnsi="Arial"/>
          <w:color w:val="3C3C3C"/>
          <w:sz w:val="22"/>
          <w:szCs w:val="22"/>
        </w:rPr>
        <w:t xml:space="preserve">To evaluate the pharmacokinetic (PK) profiles of each dosing regimen at steady state</w:t>
      </w:r>
    </w:p>
    <w:p>
      <w:pPr>
        <w:pStyle w:val="ListParagraph"/>
        <w:numPr>
          <w:ilvl w:val="0"/>
          <w:numId w:val="2"/>
        </w:numPr>
        <w:spacing w:before="40" w:after="40"/>
      </w:pPr>
      <w:r>
        <w:rPr>
          <w:rFonts w:ascii="Arial" w:cs="Arial" w:eastAsia="Arial" w:hAnsi="Arial"/>
          <w:color w:val="3C3C3C"/>
          <w:sz w:val="22"/>
          <w:szCs w:val="22"/>
        </w:rPr>
        <w:t xml:space="preserve">To assess immunogenicity (anti-drug antibody formation)</w:t>
      </w:r>
    </w:p>
    <w:p>
      <w:pPr>
        <w:pStyle w:val="ListParagraph"/>
        <w:numPr>
          <w:ilvl w:val="0"/>
          <w:numId w:val="2"/>
        </w:numPr>
        <w:spacing w:before="40" w:after="40"/>
      </w:pPr>
      <w:r>
        <w:rPr>
          <w:rFonts w:ascii="Arial" w:cs="Arial" w:eastAsia="Arial" w:hAnsi="Arial"/>
          <w:color w:val="3C3C3C"/>
          <w:sz w:val="22"/>
          <w:szCs w:val="22"/>
        </w:rPr>
        <w:t xml:space="preserve">To evaluate patient-reported outcomes (PROs) and health-related quality of life (HRQoL) using EORTC QLQ-C30</w:t>
      </w:r>
    </w:p>
    <w:p>
      <w:pPr>
        <w:spacing w:before="0" w:after="60"/>
      </w:pPr>
      <w:r>
        <w:t xml:space="preserve"/>
      </w:r>
    </w:p>
    <w:p>
      <w:pPr>
        <w:pStyle w:val="Heading2"/>
        <w:spacing w:before="280" w:after="80"/>
      </w:pPr>
      <w:r>
        <w:rPr>
          <w:rFonts w:ascii="Arial" w:cs="Arial" w:eastAsia="Arial" w:hAnsi="Arial"/>
          <w:b/>
          <w:bCs/>
          <w:color w:val="2E5FA3"/>
          <w:sz w:val="28"/>
          <w:szCs w:val="28"/>
        </w:rPr>
        <w:t xml:space="preserve">6.3 Exploratory Objectives</w:t>
      </w:r>
    </w:p>
    <w:p>
      <w:pPr>
        <w:pStyle w:val="ListParagraph"/>
        <w:numPr>
          <w:ilvl w:val="0"/>
          <w:numId w:val="2"/>
        </w:numPr>
        <w:spacing w:before="40" w:after="40"/>
      </w:pPr>
      <w:r>
        <w:rPr>
          <w:rFonts w:ascii="Arial" w:cs="Arial" w:eastAsia="Arial" w:hAnsi="Arial"/>
          <w:color w:val="3C3C3C"/>
          <w:sz w:val="22"/>
          <w:szCs w:val="22"/>
        </w:rPr>
        <w:t xml:space="preserve">To explore biomarker correlates of response: PD-L1 CPS, TMB-H, TIL density, MSI-H allele frequency, HLA diversity</w:t>
      </w:r>
    </w:p>
    <w:p>
      <w:pPr>
        <w:pStyle w:val="ListParagraph"/>
        <w:numPr>
          <w:ilvl w:val="0"/>
          <w:numId w:val="2"/>
        </w:numPr>
        <w:spacing w:before="40" w:after="40"/>
      </w:pPr>
      <w:r>
        <w:rPr>
          <w:rFonts w:ascii="Arial" w:cs="Arial" w:eastAsia="Arial" w:hAnsi="Arial"/>
          <w:color w:val="3C3C3C"/>
          <w:sz w:val="22"/>
          <w:szCs w:val="22"/>
        </w:rPr>
        <w:t xml:space="preserve">To evaluate ctDNA dynamics as an early predictor of response and resistance</w:t>
      </w:r>
    </w:p>
    <w:p>
      <w:pPr>
        <w:pStyle w:val="ListParagraph"/>
        <w:numPr>
          <w:ilvl w:val="0"/>
          <w:numId w:val="2"/>
        </w:numPr>
        <w:spacing w:before="40" w:after="40"/>
      </w:pPr>
      <w:r>
        <w:rPr>
          <w:rFonts w:ascii="Arial" w:cs="Arial" w:eastAsia="Arial" w:hAnsi="Arial"/>
          <w:color w:val="3C3C3C"/>
          <w:sz w:val="22"/>
          <w:szCs w:val="22"/>
        </w:rPr>
        <w:t xml:space="preserve">To characterize pharmacokinetic/pharmacodynamic (PK/PD) relationships including PD-1 receptor occupancy</w:t>
      </w:r>
    </w:p>
    <w:p>
      <w:pPr>
        <w:pStyle w:val="ListParagraph"/>
        <w:numPr>
          <w:ilvl w:val="0"/>
          <w:numId w:val="2"/>
        </w:numPr>
        <w:spacing w:before="40" w:after="40"/>
      </w:pPr>
      <w:r>
        <w:rPr>
          <w:rFonts w:ascii="Arial" w:cs="Arial" w:eastAsia="Arial" w:hAnsi="Arial"/>
          <w:color w:val="3C3C3C"/>
          <w:sz w:val="22"/>
          <w:szCs w:val="22"/>
        </w:rPr>
        <w:t xml:space="preserve">To assess correlation between tumor immune microenvironment (TIME) characteristics and clinical outcomes</w:t>
      </w:r>
    </w:p>
    <w:p>
      <w:pPr>
        <w:spacing w:before="0" w:after="60"/>
      </w:pPr>
      <w:r>
        <w:t xml:space="preserve"/>
      </w:r>
    </w:p>
    <w:p>
      <w:pPr>
        <w:pStyle w:val="Heading2"/>
        <w:spacing w:before="280" w:after="80"/>
      </w:pPr>
      <w:r>
        <w:rPr>
          <w:rFonts w:ascii="Arial" w:cs="Arial" w:eastAsia="Arial" w:hAnsi="Arial"/>
          <w:b/>
          <w:bCs/>
          <w:color w:val="2E5FA3"/>
          <w:sz w:val="28"/>
          <w:szCs w:val="28"/>
        </w:rPr>
        <w:t xml:space="preserve">6.4 Endpoint Summary Table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 Method</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Timepoint</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Primary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Objective Response Rate (ORR) at Week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RECIST v1.1, BICR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Week 24</w:t>
            </w:r>
          </w:p>
        </w:tc>
      </w:tr>
      <w:tr>
        <w:tc>
          <w:tcPr>
            <w:tcW w:type="dxa" w:w="18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Key Secondary</w:t>
            </w:r>
          </w:p>
        </w:tc>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Progression-Free Survival (PFS)</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RECIST v1.1, BICR</w:t>
            </w:r>
          </w:p>
        </w:tc>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From C1D1 to PD/death</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Key Secondary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Overall Survival (OS)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Vital 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From C1D1 to death</w:t>
            </w:r>
          </w:p>
        </w:tc>
      </w:tr>
      <w:tr>
        <w:tc>
          <w:tcPr>
            <w:tcW w:type="dxa" w:w="18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Key Secondary</w:t>
            </w:r>
          </w:p>
        </w:tc>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Duration of Response (DOR)</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RECIST v1.1, BICR</w:t>
            </w:r>
          </w:p>
        </w:tc>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CR/PR to PD/death</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Key Secondary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Disease Control Rate (DCR)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RECIST v1.1, BICR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Week 24</w:t>
            </w:r>
          </w:p>
        </w:tc>
      </w:tr>
      <w:tr>
        <w:tc>
          <w:tcPr>
            <w:tcW w:type="dxa" w:w="18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Key Secondary</w:t>
            </w:r>
          </w:p>
        </w:tc>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PK: Cmax, AUCtau, Ctrough</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Serum PK assay</w:t>
            </w:r>
          </w:p>
        </w:tc>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Cycles 1-5 + q12w</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Key Secondary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Immunogenicity (ADA)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Validated ECL assay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Pre-dose, cycles 3,5,q12w</w:t>
            </w:r>
          </w:p>
        </w:tc>
      </w:tr>
      <w:tr>
        <w:tc>
          <w:tcPr>
            <w:tcW w:type="dxa" w:w="18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Key Secondary</w:t>
            </w:r>
          </w:p>
        </w:tc>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PRO: EORTC QLQ-C30</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Patient questionnaire</w:t>
            </w:r>
          </w:p>
        </w:tc>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Baseline, cycles 3,5,q12w</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Exploratory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PD-L1 CPS, TMB, TIL density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IHC, NGS, pathology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Baseline</w:t>
            </w:r>
          </w:p>
        </w:tc>
      </w:tr>
      <w:tr>
        <w:tc>
          <w:tcPr>
            <w:tcW w:type="dxa" w:w="18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Exploratory</w:t>
            </w:r>
          </w:p>
        </w:tc>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ctDNA dynamics</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cfDNA NGS panel</w:t>
            </w:r>
          </w:p>
        </w:tc>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Baseline, cycles 2,4,q12w</w:t>
            </w:r>
          </w:p>
        </w:tc>
      </w:tr>
    </w:tbl>
    <w:p>
      <w:pPr>
        <w:spacing w:before="0" w:after="10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7. STUDY DESIGN</w:t>
      </w:r>
    </w:p>
    <w:p>
      <w:pPr>
        <w:pStyle w:val="Heading2"/>
        <w:spacing w:before="280" w:after="80"/>
      </w:pPr>
      <w:r>
        <w:rPr>
          <w:rFonts w:ascii="Arial" w:cs="Arial" w:eastAsia="Arial" w:hAnsi="Arial"/>
          <w:b/>
          <w:bCs/>
          <w:color w:val="2E5FA3"/>
          <w:sz w:val="28"/>
          <w:szCs w:val="28"/>
        </w:rPr>
        <w:t xml:space="preserve">7.1 Overview</w:t>
      </w:r>
    </w:p>
    <w:p>
      <w:pPr>
        <w:spacing w:before="60" w:after="60"/>
      </w:pPr>
      <w:r>
        <w:rPr>
          <w:rFonts w:ascii="Arial" w:cs="Arial" w:eastAsia="Arial" w:hAnsi="Arial"/>
          <w:b w:val="false"/>
          <w:bCs w:val="false"/>
          <w:color w:val="3C3C3C"/>
          <w:sz w:val="22"/>
          <w:szCs w:val="22"/>
        </w:rPr>
        <w:t xml:space="preserve">This is a Phase 2b, randomized, open-label, multicenter, three-arm, parallel-group, dose-ranging study of cervimab in patients with previously untreated dMMR/MSI-H mCRC. Approximately 150 eligible patients will be randomized 1:1:1 to one of three dose arms using a central interactive web response system (IWRS) with stratified randomization.</w:t>
      </w:r>
    </w:p>
    <w:p>
      <w:pPr>
        <w:spacing w:before="0" w:after="60"/>
      </w:pPr>
      <w:r>
        <w:t xml:space="preserve"/>
      </w:r>
    </w:p>
    <w:p>
      <w:pPr>
        <w:pStyle w:val="Heading2"/>
        <w:spacing w:before="280" w:after="80"/>
      </w:pPr>
      <w:r>
        <w:rPr>
          <w:rFonts w:ascii="Arial" w:cs="Arial" w:eastAsia="Arial" w:hAnsi="Arial"/>
          <w:b/>
          <w:bCs/>
          <w:color w:val="2E5FA3"/>
          <w:sz w:val="28"/>
          <w:szCs w:val="28"/>
        </w:rPr>
        <w:t xml:space="preserve">7.2 Stratification Factors</w:t>
      </w:r>
    </w:p>
    <w:p>
      <w:pPr>
        <w:spacing w:before="60" w:after="60"/>
      </w:pPr>
      <w:r>
        <w:rPr>
          <w:rFonts w:ascii="Arial" w:cs="Arial" w:eastAsia="Arial" w:hAnsi="Arial"/>
          <w:b w:val="false"/>
          <w:bCs w:val="false"/>
          <w:color w:val="3C3C3C"/>
          <w:sz w:val="22"/>
          <w:szCs w:val="22"/>
        </w:rPr>
        <w:t xml:space="preserve">Randomization will be stratified by the following pre-specified factors:</w:t>
      </w:r>
    </w:p>
    <w:p>
      <w:pPr>
        <w:pStyle w:val="ListParagraph"/>
        <w:numPr>
          <w:ilvl w:val="0"/>
          <w:numId w:val="2"/>
        </w:numPr>
        <w:spacing w:before="40" w:after="40"/>
      </w:pPr>
      <w:r>
        <w:rPr>
          <w:rFonts w:ascii="Arial" w:cs="Arial" w:eastAsia="Arial" w:hAnsi="Arial"/>
          <w:color w:val="3C3C3C"/>
          <w:sz w:val="22"/>
          <w:szCs w:val="22"/>
        </w:rPr>
        <w:t xml:space="preserve">ECOG performance status: 0 vs. 1</w:t>
      </w:r>
    </w:p>
    <w:p>
      <w:pPr>
        <w:pStyle w:val="ListParagraph"/>
        <w:numPr>
          <w:ilvl w:val="0"/>
          <w:numId w:val="2"/>
        </w:numPr>
        <w:spacing w:before="40" w:after="40"/>
      </w:pPr>
      <w:r>
        <w:rPr>
          <w:rFonts w:ascii="Arial" w:cs="Arial" w:eastAsia="Arial" w:hAnsi="Arial"/>
          <w:color w:val="3C3C3C"/>
          <w:sz w:val="22"/>
          <w:szCs w:val="22"/>
        </w:rPr>
        <w:t xml:space="preserve">Geographic region: North America/Europe vs. Rest of World</w:t>
      </w:r>
    </w:p>
    <w:p>
      <w:pPr>
        <w:pStyle w:val="ListParagraph"/>
        <w:numPr>
          <w:ilvl w:val="0"/>
          <w:numId w:val="2"/>
        </w:numPr>
        <w:spacing w:before="40" w:after="40"/>
      </w:pPr>
      <w:r>
        <w:rPr>
          <w:rFonts w:ascii="Arial" w:cs="Arial" w:eastAsia="Arial" w:hAnsi="Arial"/>
          <w:color w:val="3C3C3C"/>
          <w:sz w:val="22"/>
          <w:szCs w:val="22"/>
        </w:rPr>
        <w:t xml:space="preserve">Prior adjuvant chemotherapy: Yes vs. No</w:t>
      </w:r>
    </w:p>
    <w:p>
      <w:pPr>
        <w:pStyle w:val="ListParagraph"/>
        <w:numPr>
          <w:ilvl w:val="0"/>
          <w:numId w:val="2"/>
        </w:numPr>
        <w:spacing w:before="40" w:after="40"/>
      </w:pPr>
      <w:r>
        <w:rPr>
          <w:rFonts w:ascii="Arial" w:cs="Arial" w:eastAsia="Arial" w:hAnsi="Arial"/>
          <w:color w:val="3C3C3C"/>
          <w:sz w:val="22"/>
          <w:szCs w:val="22"/>
        </w:rPr>
        <w:t xml:space="preserve">Number of metastatic sites: 1 vs. ≥2</w:t>
      </w:r>
    </w:p>
    <w:p>
      <w:pPr>
        <w:spacing w:before="0" w:after="60"/>
      </w:pPr>
      <w:r>
        <w:t xml:space="preserve"/>
      </w:r>
    </w:p>
    <w:p>
      <w:pPr>
        <w:pStyle w:val="Heading2"/>
        <w:spacing w:before="280" w:after="80"/>
      </w:pPr>
      <w:r>
        <w:rPr>
          <w:rFonts w:ascii="Arial" w:cs="Arial" w:eastAsia="Arial" w:hAnsi="Arial"/>
          <w:b/>
          <w:bCs/>
          <w:color w:val="2E5FA3"/>
          <w:sz w:val="28"/>
          <w:szCs w:val="28"/>
        </w:rPr>
        <w:t xml:space="preserve">7.3 Dose Regimens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Arm A (Low)</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Arm B (Reference)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Arm C (Alternate)</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Dose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200 mg</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400 mg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400 mg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Flat dosing; no weight adjustment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Schedule</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Q3W (Day 1 of 21-day cycle)</w:t>
            </w:r>
          </w:p>
        </w:tc>
        <w:tc>
          <w:tcPr>
            <w:tcW w:type="dxa" w:w="20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Q3W (Day 1 of 21-day cycle)</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Q2W (Day 1 of 14-day cycle)</w:t>
            </w:r>
          </w:p>
        </w:tc>
        <w:tc>
          <w:tcPr>
            <w:tcW w:type="dxa" w:w="1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Arm C: 14-day cycle length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Route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IV Infusion</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IV Infusion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IV Infusion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Infusion Duration</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60 min (±10 min)</w:t>
            </w:r>
          </w:p>
        </w:tc>
        <w:tc>
          <w:tcPr>
            <w:tcW w:type="dxa" w:w="20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60 min (±10 min)</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60 min (±10 min)</w:t>
            </w:r>
          </w:p>
        </w:tc>
        <w:tc>
          <w:tcPr>
            <w:tcW w:type="dxa" w:w="1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Can reduce to 30 min if C1 tolerated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N (target)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50</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50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Total: 150 patients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Max Duration</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24 months</w:t>
            </w:r>
          </w:p>
        </w:tc>
        <w:tc>
          <w:tcPr>
            <w:tcW w:type="dxa" w:w="20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24 months</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24 months</w:t>
            </w:r>
          </w:p>
        </w:tc>
        <w:tc>
          <w:tcPr>
            <w:tcW w:type="dxa" w:w="1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Or until PD/toxicity</w:t>
            </w:r>
          </w:p>
        </w:tc>
      </w:tr>
    </w:tbl>
    <w:p>
      <w:pPr>
        <w:spacing w:before="0" w:after="100"/>
      </w:pPr>
      <w:r>
        <w:t xml:space="preserve"/>
      </w:r>
    </w:p>
    <w:p>
      <w:pPr>
        <w:pStyle w:val="Heading2"/>
        <w:spacing w:before="280" w:after="80"/>
      </w:pPr>
      <w:r>
        <w:rPr>
          <w:rFonts w:ascii="Arial" w:cs="Arial" w:eastAsia="Arial" w:hAnsi="Arial"/>
          <w:b/>
          <w:bCs/>
          <w:color w:val="2E5FA3"/>
          <w:sz w:val="28"/>
          <w:szCs w:val="28"/>
        </w:rPr>
        <w:t xml:space="preserve">7.4 Adaptive Design and Interim Analysis</w:t>
      </w:r>
    </w:p>
    <w:p>
      <w:pPr>
        <w:spacing w:before="60" w:after="60"/>
      </w:pPr>
      <w:r>
        <w:rPr>
          <w:rFonts w:ascii="Arial" w:cs="Arial" w:eastAsia="Arial" w:hAnsi="Arial"/>
          <w:b w:val="false"/>
          <w:bCs w:val="false"/>
          <w:color w:val="3C3C3C"/>
          <w:sz w:val="22"/>
          <w:szCs w:val="22"/>
        </w:rPr>
        <w:t xml:space="preserve">This study employs a Bayesian adaptive design with a pre-specified dose-selection interim analysis. After approximately 100 patients have completed the Week 24 tumor assessment (or have discontinued earlier), the DSMB will review unblinded ORR data by dose arm and provide a dose-selection recommendation per the pre-specified Bayesian decision rules. The sponsor may eliminate a clearly inferior arm or select a preferred arm for Phase 3 planning. The study will continue per protocol until the full 150-patient cohort completes Week 24 assessment. Full details are provided in the separate Statistical Analysis Plan (SAP).</w:t>
      </w:r>
    </w:p>
    <w:p>
      <w:pPr>
        <w:spacing w:before="0" w:after="60"/>
      </w:pPr>
      <w:r>
        <w:t xml:space="preserve"/>
      </w:r>
    </w:p>
    <w:p>
      <w:pPr>
        <w:pStyle w:val="Heading2"/>
        <w:spacing w:before="280" w:after="80"/>
      </w:pPr>
      <w:r>
        <w:rPr>
          <w:rFonts w:ascii="Arial" w:cs="Arial" w:eastAsia="Arial" w:hAnsi="Arial"/>
          <w:b/>
          <w:bCs/>
          <w:color w:val="2E5FA3"/>
          <w:sz w:val="28"/>
          <w:szCs w:val="28"/>
        </w:rPr>
        <w:t xml:space="preserve">7.5 Study Duration</w:t>
      </w:r>
    </w:p>
    <w:p>
      <w:pPr>
        <w:pStyle w:val="ListParagraph"/>
        <w:numPr>
          <w:ilvl w:val="0"/>
          <w:numId w:val="2"/>
        </w:numPr>
        <w:spacing w:before="40" w:after="40"/>
      </w:pPr>
      <w:r>
        <w:rPr>
          <w:rFonts w:ascii="Arial" w:cs="Arial" w:eastAsia="Arial" w:hAnsi="Arial"/>
          <w:color w:val="3C3C3C"/>
          <w:sz w:val="22"/>
          <w:szCs w:val="22"/>
        </w:rPr>
        <w:t xml:space="preserve">Screening Period: Up to 28 days prior to Cycle 1 Day 1</w:t>
      </w:r>
    </w:p>
    <w:p>
      <w:pPr>
        <w:pStyle w:val="ListParagraph"/>
        <w:numPr>
          <w:ilvl w:val="0"/>
          <w:numId w:val="2"/>
        </w:numPr>
        <w:spacing w:before="40" w:after="40"/>
      </w:pPr>
      <w:r>
        <w:rPr>
          <w:rFonts w:ascii="Arial" w:cs="Arial" w:eastAsia="Arial" w:hAnsi="Arial"/>
          <w:color w:val="3C3C3C"/>
          <w:sz w:val="22"/>
          <w:szCs w:val="22"/>
        </w:rPr>
        <w:t xml:space="preserve">Treatment Period: Up to 24 months (or until disease progression, unacceptable toxicity, or withdrawal)</w:t>
      </w:r>
    </w:p>
    <w:p>
      <w:pPr>
        <w:pStyle w:val="ListParagraph"/>
        <w:numPr>
          <w:ilvl w:val="0"/>
          <w:numId w:val="2"/>
        </w:numPr>
        <w:spacing w:before="40" w:after="40"/>
      </w:pPr>
      <w:r>
        <w:rPr>
          <w:rFonts w:ascii="Arial" w:cs="Arial" w:eastAsia="Arial" w:hAnsi="Arial"/>
          <w:color w:val="3C3C3C"/>
          <w:sz w:val="22"/>
          <w:szCs w:val="22"/>
        </w:rPr>
        <w:t xml:space="preserve">End-of-Treatment Visit: Within 30 days of last dose</w:t>
      </w:r>
    </w:p>
    <w:p>
      <w:pPr>
        <w:pStyle w:val="ListParagraph"/>
        <w:numPr>
          <w:ilvl w:val="0"/>
          <w:numId w:val="2"/>
        </w:numPr>
        <w:spacing w:before="40" w:after="40"/>
      </w:pPr>
      <w:r>
        <w:rPr>
          <w:rFonts w:ascii="Arial" w:cs="Arial" w:eastAsia="Arial" w:hAnsi="Arial"/>
          <w:color w:val="3C3C3C"/>
          <w:sz w:val="22"/>
          <w:szCs w:val="22"/>
        </w:rPr>
        <w:t xml:space="preserve">Safety Follow-up: 30 days post-EOT visit</w:t>
      </w:r>
    </w:p>
    <w:p>
      <w:pPr>
        <w:pStyle w:val="ListParagraph"/>
        <w:numPr>
          <w:ilvl w:val="0"/>
          <w:numId w:val="2"/>
        </w:numPr>
        <w:spacing w:before="40" w:after="40"/>
      </w:pPr>
      <w:r>
        <w:rPr>
          <w:rFonts w:ascii="Arial" w:cs="Arial" w:eastAsia="Arial" w:hAnsi="Arial"/>
          <w:color w:val="3C3C3C"/>
          <w:sz w:val="22"/>
          <w:szCs w:val="22"/>
        </w:rPr>
        <w:t xml:space="preserve">Survival Follow-up: Quarterly for up to 36 months from first patient enrolled</w:t>
      </w:r>
    </w:p>
    <w:p>
      <w:pPr>
        <w:pStyle w:val="ListParagraph"/>
        <w:numPr>
          <w:ilvl w:val="0"/>
          <w:numId w:val="2"/>
        </w:numPr>
        <w:spacing w:before="40" w:after="40"/>
      </w:pPr>
      <w:r>
        <w:rPr>
          <w:rFonts w:ascii="Arial" w:cs="Arial" w:eastAsia="Arial" w:hAnsi="Arial"/>
          <w:color w:val="3C3C3C"/>
          <w:sz w:val="22"/>
          <w:szCs w:val="22"/>
        </w:rPr>
        <w:t xml:space="preserve">Estimated total study duration: Approximately 36 months (12 months enrollment + 24 months follow-up)</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8. STUDY POPULATION — INCLUSION AND EXCLUSION CRITERIA</w:t>
      </w:r>
    </w:p>
    <w:p>
      <w:pPr>
        <w:spacing w:before="60" w:after="60"/>
      </w:pPr>
      <w:r>
        <w:rPr>
          <w:rFonts w:ascii="Arial" w:cs="Arial" w:eastAsia="Arial" w:hAnsi="Arial"/>
          <w:b w:val="false"/>
          <w:bCs w:val="false"/>
          <w:color w:val="3C3C3C"/>
          <w:sz w:val="22"/>
          <w:szCs w:val="22"/>
        </w:rPr>
        <w:t xml:space="preserve">All eligibility criteria must be confirmed prior to randomization. A patient must meet ALL inclusion criteria and NONE of the exclusion criteria to be eligible for enrollment.</w:t>
      </w:r>
    </w:p>
    <w:p>
      <w:pPr>
        <w:spacing w:before="0" w:after="60"/>
      </w:pPr>
      <w:r>
        <w:t xml:space="preserve"/>
      </w:r>
    </w:p>
    <w:p>
      <w:pPr>
        <w:pStyle w:val="Heading2"/>
        <w:spacing w:before="280" w:after="80"/>
      </w:pPr>
      <w:r>
        <w:rPr>
          <w:rFonts w:ascii="Arial" w:cs="Arial" w:eastAsia="Arial" w:hAnsi="Arial"/>
          <w:b/>
          <w:bCs/>
          <w:color w:val="2E5FA3"/>
          <w:sz w:val="28"/>
          <w:szCs w:val="28"/>
        </w:rPr>
        <w:t xml:space="preserve">8.1 Inclusion Criteria</w:t>
      </w:r>
    </w:p>
    <w:p>
      <w:pPr>
        <w:pStyle w:val="ListParagraph"/>
        <w:numPr>
          <w:ilvl w:val="0"/>
          <w:numId w:val="3"/>
        </w:numPr>
        <w:spacing w:before="40" w:after="40"/>
      </w:pPr>
      <w:r>
        <w:rPr>
          <w:rFonts w:ascii="Arial" w:cs="Arial" w:eastAsia="Arial" w:hAnsi="Arial"/>
          <w:color w:val="3C3C3C"/>
          <w:sz w:val="22"/>
          <w:szCs w:val="22"/>
        </w:rPr>
        <w:t xml:space="preserve">Age ≥18 years at time of informed consent</w:t>
      </w:r>
    </w:p>
    <w:p>
      <w:pPr>
        <w:pStyle w:val="ListParagraph"/>
        <w:numPr>
          <w:ilvl w:val="0"/>
          <w:numId w:val="3"/>
        </w:numPr>
        <w:spacing w:before="40" w:after="40"/>
      </w:pPr>
      <w:r>
        <w:rPr>
          <w:rFonts w:ascii="Arial" w:cs="Arial" w:eastAsia="Arial" w:hAnsi="Arial"/>
          <w:color w:val="3C3C3C"/>
          <w:sz w:val="22"/>
          <w:szCs w:val="22"/>
        </w:rPr>
        <w:t xml:space="preserve">Histologically or cytologically confirmed adenocarcinoma of the colon or rectum with documented metastatic disease (Stage IV per AJCC 8th edition)</w:t>
      </w:r>
    </w:p>
    <w:p>
      <w:pPr>
        <w:pStyle w:val="ListParagraph"/>
        <w:numPr>
          <w:ilvl w:val="0"/>
          <w:numId w:val="3"/>
        </w:numPr>
        <w:spacing w:before="40" w:after="40"/>
      </w:pPr>
      <w:r>
        <w:rPr>
          <w:rFonts w:ascii="Arial" w:cs="Arial" w:eastAsia="Arial" w:hAnsi="Arial"/>
          <w:color w:val="3C3C3C"/>
          <w:sz w:val="22"/>
          <w:szCs w:val="22"/>
        </w:rPr>
        <w:t xml:space="preserve">Confirmed dMMR status by local immunohistochemistry (IHC) testing (absence of MLH1, MSH2, MSH6, or PMS2 protein expression) AND/OR confirmed MSI-H by local PCR or NGS panel. Central laboratory confirmation required but need not be available prior to randomization; however, patients with centrally confirmed pMMR/MSS will be withdrawn.</w:t>
      </w:r>
    </w:p>
    <w:p>
      <w:pPr>
        <w:pStyle w:val="ListParagraph"/>
        <w:numPr>
          <w:ilvl w:val="0"/>
          <w:numId w:val="3"/>
        </w:numPr>
        <w:spacing w:before="40" w:after="40"/>
      </w:pPr>
      <w:r>
        <w:rPr>
          <w:rFonts w:ascii="Arial" w:cs="Arial" w:eastAsia="Arial" w:hAnsi="Arial"/>
          <w:color w:val="3C3C3C"/>
          <w:sz w:val="22"/>
          <w:szCs w:val="22"/>
        </w:rPr>
        <w:t xml:space="preserve">Measurable disease as defined by RECIST v1.1 (at least one target lesion not previously irradiated)</w:t>
      </w:r>
    </w:p>
    <w:p>
      <w:pPr>
        <w:pStyle w:val="ListParagraph"/>
        <w:numPr>
          <w:ilvl w:val="0"/>
          <w:numId w:val="3"/>
        </w:numPr>
        <w:spacing w:before="40" w:after="40"/>
      </w:pPr>
      <w:r>
        <w:rPr>
          <w:rFonts w:ascii="Arial" w:cs="Arial" w:eastAsia="Arial" w:hAnsi="Arial"/>
          <w:color w:val="3C3C3C"/>
          <w:sz w:val="22"/>
          <w:szCs w:val="22"/>
        </w:rPr>
        <w:t xml:space="preserve">No prior systemic therapy for metastatic disease. Patients who received prior adjuvant chemotherapy are eligible if the last dose was &gt;6 months prior to development of metastatic disease.</w:t>
      </w:r>
    </w:p>
    <w:p>
      <w:pPr>
        <w:pStyle w:val="ListParagraph"/>
        <w:numPr>
          <w:ilvl w:val="0"/>
          <w:numId w:val="3"/>
        </w:numPr>
        <w:spacing w:before="40" w:after="40"/>
      </w:pPr>
      <w:r>
        <w:rPr>
          <w:rFonts w:ascii="Arial" w:cs="Arial" w:eastAsia="Arial" w:hAnsi="Arial"/>
          <w:color w:val="3C3C3C"/>
          <w:sz w:val="22"/>
          <w:szCs w:val="22"/>
        </w:rPr>
        <w:t xml:space="preserve">No prior therapy with anti-PD-1, anti-PD-L1, anti-PD-L2, anti-CTLA-4, or any other immune checkpoint inhibitor</w:t>
      </w:r>
    </w:p>
    <w:p>
      <w:pPr>
        <w:pStyle w:val="ListParagraph"/>
        <w:numPr>
          <w:ilvl w:val="0"/>
          <w:numId w:val="3"/>
        </w:numPr>
        <w:spacing w:before="40" w:after="40"/>
      </w:pPr>
      <w:r>
        <w:rPr>
          <w:rFonts w:ascii="Arial" w:cs="Arial" w:eastAsia="Arial" w:hAnsi="Arial"/>
          <w:color w:val="3C3C3C"/>
          <w:sz w:val="22"/>
          <w:szCs w:val="22"/>
        </w:rPr>
        <w:t xml:space="preserve">ECOG performance status of 0 or 1</w:t>
      </w:r>
    </w:p>
    <w:p>
      <w:pPr>
        <w:pStyle w:val="ListParagraph"/>
        <w:numPr>
          <w:ilvl w:val="0"/>
          <w:numId w:val="3"/>
        </w:numPr>
        <w:spacing w:before="40" w:after="40"/>
      </w:pPr>
      <w:r>
        <w:rPr>
          <w:rFonts w:ascii="Arial" w:cs="Arial" w:eastAsia="Arial" w:hAnsi="Arial"/>
          <w:color w:val="3C3C3C"/>
          <w:sz w:val="22"/>
          <w:szCs w:val="22"/>
        </w:rPr>
        <w:t xml:space="preserve">Life expectancy of at least 3 months, in the judgment of the investigator</w:t>
      </w:r>
    </w:p>
    <w:p>
      <w:pPr>
        <w:pStyle w:val="ListParagraph"/>
        <w:numPr>
          <w:ilvl w:val="0"/>
          <w:numId w:val="3"/>
        </w:numPr>
        <w:spacing w:before="40" w:after="40"/>
      </w:pPr>
      <w:r>
        <w:rPr>
          <w:rFonts w:ascii="Arial" w:cs="Arial" w:eastAsia="Arial" w:hAnsi="Arial"/>
          <w:color w:val="3C3C3C"/>
          <w:sz w:val="22"/>
          <w:szCs w:val="22"/>
        </w:rPr>
        <w:t xml:space="preserve">Adequate bone marrow, hepatic, and renal function within 14 days prior to randomization:</w:t>
      </w:r>
    </w:p>
    <w:p>
      <w:pPr>
        <w:pStyle w:val="ListParagraph"/>
        <w:numPr>
          <w:ilvl w:val="1"/>
          <w:numId w:val="2"/>
        </w:numPr>
        <w:spacing w:before="40" w:after="40"/>
      </w:pPr>
      <w:r>
        <w:rPr>
          <w:rFonts w:ascii="Arial" w:cs="Arial" w:eastAsia="Arial" w:hAnsi="Arial"/>
          <w:color w:val="3C3C3C"/>
          <w:sz w:val="22"/>
          <w:szCs w:val="22"/>
        </w:rPr>
        <w:t xml:space="preserve">Absolute neutrophil count (ANC) ≥1.5 × 10⁹/L</w:t>
      </w:r>
    </w:p>
    <w:p>
      <w:pPr>
        <w:pStyle w:val="ListParagraph"/>
        <w:numPr>
          <w:ilvl w:val="1"/>
          <w:numId w:val="2"/>
        </w:numPr>
        <w:spacing w:before="40" w:after="40"/>
      </w:pPr>
      <w:r>
        <w:rPr>
          <w:rFonts w:ascii="Arial" w:cs="Arial" w:eastAsia="Arial" w:hAnsi="Arial"/>
          <w:color w:val="3C3C3C"/>
          <w:sz w:val="22"/>
          <w:szCs w:val="22"/>
        </w:rPr>
        <w:t xml:space="preserve">Platelet count ≥100 × 10⁹/L</w:t>
      </w:r>
    </w:p>
    <w:p>
      <w:pPr>
        <w:pStyle w:val="ListParagraph"/>
        <w:numPr>
          <w:ilvl w:val="1"/>
          <w:numId w:val="2"/>
        </w:numPr>
        <w:spacing w:before="40" w:after="40"/>
      </w:pPr>
      <w:r>
        <w:rPr>
          <w:rFonts w:ascii="Arial" w:cs="Arial" w:eastAsia="Arial" w:hAnsi="Arial"/>
          <w:color w:val="3C3C3C"/>
          <w:sz w:val="22"/>
          <w:szCs w:val="22"/>
        </w:rPr>
        <w:t xml:space="preserve">Hemoglobin ≥9.0 g/dL (transfusion permitted if stable for ≥2 weeks)</w:t>
      </w:r>
    </w:p>
    <w:p>
      <w:pPr>
        <w:pStyle w:val="ListParagraph"/>
        <w:numPr>
          <w:ilvl w:val="1"/>
          <w:numId w:val="2"/>
        </w:numPr>
        <w:spacing w:before="40" w:after="40"/>
      </w:pPr>
      <w:r>
        <w:rPr>
          <w:rFonts w:ascii="Arial" w:cs="Arial" w:eastAsia="Arial" w:hAnsi="Arial"/>
          <w:color w:val="3C3C3C"/>
          <w:sz w:val="22"/>
          <w:szCs w:val="22"/>
        </w:rPr>
        <w:t xml:space="preserve">Total bilirubin ≤1.5 × ULN (≤3 × ULN for patients with Gilbert syndrome or liver metastases)</w:t>
      </w:r>
    </w:p>
    <w:p>
      <w:pPr>
        <w:pStyle w:val="ListParagraph"/>
        <w:numPr>
          <w:ilvl w:val="1"/>
          <w:numId w:val="2"/>
        </w:numPr>
        <w:spacing w:before="40" w:after="40"/>
      </w:pPr>
      <w:r>
        <w:rPr>
          <w:rFonts w:ascii="Arial" w:cs="Arial" w:eastAsia="Arial" w:hAnsi="Arial"/>
          <w:color w:val="3C3C3C"/>
          <w:sz w:val="22"/>
          <w:szCs w:val="22"/>
        </w:rPr>
        <w:t xml:space="preserve">AST and ALT ≤2.5 × ULN (≤5 × ULN for patients with liver metastases)</w:t>
      </w:r>
    </w:p>
    <w:p>
      <w:pPr>
        <w:pStyle w:val="ListParagraph"/>
        <w:numPr>
          <w:ilvl w:val="1"/>
          <w:numId w:val="2"/>
        </w:numPr>
        <w:spacing w:before="40" w:after="40"/>
      </w:pPr>
      <w:r>
        <w:rPr>
          <w:rFonts w:ascii="Arial" w:cs="Arial" w:eastAsia="Arial" w:hAnsi="Arial"/>
          <w:color w:val="3C3C3C"/>
          <w:sz w:val="22"/>
          <w:szCs w:val="22"/>
        </w:rPr>
        <w:t xml:space="preserve">Serum creatinine ≤1.5 × ULN OR calculated creatinine clearance ≥40 mL/min (Cockcroft-Gault)</w:t>
      </w:r>
    </w:p>
    <w:p>
      <w:pPr>
        <w:pStyle w:val="ListParagraph"/>
        <w:numPr>
          <w:ilvl w:val="0"/>
          <w:numId w:val="3"/>
        </w:numPr>
        <w:spacing w:before="40" w:after="40"/>
      </w:pPr>
      <w:r>
        <w:rPr>
          <w:rFonts w:ascii="Arial" w:cs="Arial" w:eastAsia="Arial" w:hAnsi="Arial"/>
          <w:color w:val="3C3C3C"/>
          <w:sz w:val="22"/>
          <w:szCs w:val="22"/>
        </w:rPr>
        <w:t xml:space="preserve">Thyroid function: TSH within institutional normal range (patients on stable thyroid replacement therapy are eligible)</w:t>
      </w:r>
    </w:p>
    <w:p>
      <w:pPr>
        <w:pStyle w:val="ListParagraph"/>
        <w:numPr>
          <w:ilvl w:val="0"/>
          <w:numId w:val="3"/>
        </w:numPr>
        <w:spacing w:before="40" w:after="40"/>
      </w:pPr>
      <w:r>
        <w:rPr>
          <w:rFonts w:ascii="Arial" w:cs="Arial" w:eastAsia="Arial" w:hAnsi="Arial"/>
          <w:color w:val="3C3C3C"/>
          <w:sz w:val="22"/>
          <w:szCs w:val="22"/>
        </w:rPr>
        <w:t xml:space="preserve">Women of childbearing potential (WOCBP) must have a negative serum beta-hCG within 72 hours prior to Cycle 1 Day 1 and must agree to use highly effective contraception during study treatment and for 5 months after last dose of cervimab</w:t>
      </w:r>
    </w:p>
    <w:p>
      <w:pPr>
        <w:pStyle w:val="ListParagraph"/>
        <w:numPr>
          <w:ilvl w:val="0"/>
          <w:numId w:val="3"/>
        </w:numPr>
        <w:spacing w:before="40" w:after="40"/>
      </w:pPr>
      <w:r>
        <w:rPr>
          <w:rFonts w:ascii="Arial" w:cs="Arial" w:eastAsia="Arial" w:hAnsi="Arial"/>
          <w:color w:val="3C3C3C"/>
          <w:sz w:val="22"/>
          <w:szCs w:val="22"/>
        </w:rPr>
        <w:t xml:space="preserve">Male patients must agree to use effective contraception during study treatment and for 7 months after last dose</w:t>
      </w:r>
    </w:p>
    <w:p>
      <w:pPr>
        <w:pStyle w:val="ListParagraph"/>
        <w:numPr>
          <w:ilvl w:val="0"/>
          <w:numId w:val="3"/>
        </w:numPr>
        <w:spacing w:before="40" w:after="40"/>
      </w:pPr>
      <w:r>
        <w:rPr>
          <w:rFonts w:ascii="Arial" w:cs="Arial" w:eastAsia="Arial" w:hAnsi="Arial"/>
          <w:color w:val="3C3C3C"/>
          <w:sz w:val="22"/>
          <w:szCs w:val="22"/>
        </w:rPr>
        <w:t xml:space="preserve">Provide signed written informed consent prior to any study-related procedures</w:t>
      </w:r>
    </w:p>
    <w:p>
      <w:pPr>
        <w:pStyle w:val="ListParagraph"/>
        <w:numPr>
          <w:ilvl w:val="0"/>
          <w:numId w:val="3"/>
        </w:numPr>
        <w:spacing w:before="40" w:after="40"/>
      </w:pPr>
      <w:r>
        <w:rPr>
          <w:rFonts w:ascii="Arial" w:cs="Arial" w:eastAsia="Arial" w:hAnsi="Arial"/>
          <w:color w:val="3C3C3C"/>
          <w:sz w:val="22"/>
          <w:szCs w:val="22"/>
        </w:rPr>
        <w:t xml:space="preserve">Willing and able to comply with scheduled visits, treatment plan, and study procedures</w:t>
      </w:r>
    </w:p>
    <w:p>
      <w:pPr>
        <w:pStyle w:val="ListParagraph"/>
        <w:numPr>
          <w:ilvl w:val="0"/>
          <w:numId w:val="3"/>
        </w:numPr>
        <w:spacing w:before="40" w:after="40"/>
      </w:pPr>
      <w:r>
        <w:rPr>
          <w:rFonts w:ascii="Arial" w:cs="Arial" w:eastAsia="Arial" w:hAnsi="Arial"/>
          <w:color w:val="3C3C3C"/>
          <w:sz w:val="22"/>
          <w:szCs w:val="22"/>
        </w:rPr>
        <w:t xml:space="preserve">Availability of archival tumor tissue (FFPE block or minimum 10 unstained slides) for central biomarker testing; fresh biopsy is strongly encouraged</w:t>
      </w:r>
    </w:p>
    <w:p>
      <w:pPr>
        <w:spacing w:before="0" w:after="60"/>
      </w:pPr>
      <w:r>
        <w:t xml:space="preserve"/>
      </w:r>
    </w:p>
    <w:p>
      <w:pPr>
        <w:pStyle w:val="Heading2"/>
        <w:spacing w:before="280" w:after="80"/>
      </w:pPr>
      <w:r>
        <w:rPr>
          <w:rFonts w:ascii="Arial" w:cs="Arial" w:eastAsia="Arial" w:hAnsi="Arial"/>
          <w:b/>
          <w:bCs/>
          <w:color w:val="2E5FA3"/>
          <w:sz w:val="28"/>
          <w:szCs w:val="28"/>
        </w:rPr>
        <w:t xml:space="preserve">8.2 Exclusion Criteria</w:t>
      </w:r>
    </w:p>
    <w:p>
      <w:pPr>
        <w:pStyle w:val="ListParagraph"/>
        <w:numPr>
          <w:ilvl w:val="0"/>
          <w:numId w:val="3"/>
        </w:numPr>
        <w:spacing w:before="40" w:after="40"/>
      </w:pPr>
      <w:r>
        <w:rPr>
          <w:rFonts w:ascii="Arial" w:cs="Arial" w:eastAsia="Arial" w:hAnsi="Arial"/>
          <w:color w:val="3C3C3C"/>
          <w:sz w:val="22"/>
          <w:szCs w:val="22"/>
        </w:rPr>
        <w:t xml:space="preserve">Active or prior documented autoimmune disease within the past 2 years (exceptions: vitiligo, alopecia, controlled thyroid disease, type 1 diabetes on stable insulin, resolved childhood asthma/atopy not requiring systemic treatment)</w:t>
      </w:r>
    </w:p>
    <w:p>
      <w:pPr>
        <w:pStyle w:val="ListParagraph"/>
        <w:numPr>
          <w:ilvl w:val="0"/>
          <w:numId w:val="3"/>
        </w:numPr>
        <w:spacing w:before="40" w:after="40"/>
      </w:pPr>
      <w:r>
        <w:rPr>
          <w:rFonts w:ascii="Arial" w:cs="Arial" w:eastAsia="Arial" w:hAnsi="Arial"/>
          <w:color w:val="3C3C3C"/>
          <w:sz w:val="22"/>
          <w:szCs w:val="22"/>
        </w:rPr>
        <w:t xml:space="preserve">Use of systemic corticosteroids at &gt;10 mg/day prednisone equivalent or other immunosuppressive medications within 14 days prior to Cycle 1 Day 1. Inhaled or topical corticosteroids and physiologic replacement doses are permitted.</w:t>
      </w:r>
    </w:p>
    <w:p>
      <w:pPr>
        <w:pStyle w:val="ListParagraph"/>
        <w:numPr>
          <w:ilvl w:val="0"/>
          <w:numId w:val="3"/>
        </w:numPr>
        <w:spacing w:before="40" w:after="40"/>
      </w:pPr>
      <w:r>
        <w:rPr>
          <w:rFonts w:ascii="Arial" w:cs="Arial" w:eastAsia="Arial" w:hAnsi="Arial"/>
          <w:color w:val="3C3C3C"/>
          <w:sz w:val="22"/>
          <w:szCs w:val="22"/>
        </w:rPr>
        <w:t xml:space="preserve">Active brain metastases or leptomeningeal disease. Patients with previously treated brain metastases that are stable (no progression on imaging for ≥4 weeks), not requiring steroids, and without active neurologic symptoms are eligible.</w:t>
      </w:r>
    </w:p>
    <w:p>
      <w:pPr>
        <w:pStyle w:val="ListParagraph"/>
        <w:numPr>
          <w:ilvl w:val="0"/>
          <w:numId w:val="3"/>
        </w:numPr>
        <w:spacing w:before="40" w:after="40"/>
      </w:pPr>
      <w:r>
        <w:rPr>
          <w:rFonts w:ascii="Arial" w:cs="Arial" w:eastAsia="Arial" w:hAnsi="Arial"/>
          <w:color w:val="3C3C3C"/>
          <w:sz w:val="22"/>
          <w:szCs w:val="22"/>
        </w:rPr>
        <w:t xml:space="preserve">Prior solid organ or allogeneic hematopoietic stem cell transplantation</w:t>
      </w:r>
    </w:p>
    <w:p>
      <w:pPr>
        <w:pStyle w:val="ListParagraph"/>
        <w:numPr>
          <w:ilvl w:val="0"/>
          <w:numId w:val="3"/>
        </w:numPr>
        <w:spacing w:before="40" w:after="40"/>
      </w:pPr>
      <w:r>
        <w:rPr>
          <w:rFonts w:ascii="Arial" w:cs="Arial" w:eastAsia="Arial" w:hAnsi="Arial"/>
          <w:color w:val="3C3C3C"/>
          <w:sz w:val="22"/>
          <w:szCs w:val="22"/>
        </w:rPr>
        <w:t xml:space="preserve">Active infection requiring systemic antibiotics, antifungals, or antivirals at time of enrollment</w:t>
      </w:r>
    </w:p>
    <w:p>
      <w:pPr>
        <w:pStyle w:val="ListParagraph"/>
        <w:numPr>
          <w:ilvl w:val="0"/>
          <w:numId w:val="3"/>
        </w:numPr>
        <w:spacing w:before="40" w:after="40"/>
      </w:pPr>
      <w:r>
        <w:rPr>
          <w:rFonts w:ascii="Arial" w:cs="Arial" w:eastAsia="Arial" w:hAnsi="Arial"/>
          <w:color w:val="3C3C3C"/>
          <w:sz w:val="22"/>
          <w:szCs w:val="22"/>
        </w:rPr>
        <w:t xml:space="preserve">Known active HIV infection (HIV 1/2 antibody positive). Patients with controlled HIV (undetectable viral load on stable ART for ≥6 months, CD4 &gt;350 cells/mm³) may be considered for enrollment in consultation with the Medical Monitor.</w:t>
      </w:r>
    </w:p>
    <w:p>
      <w:pPr>
        <w:pStyle w:val="ListParagraph"/>
        <w:numPr>
          <w:ilvl w:val="0"/>
          <w:numId w:val="3"/>
        </w:numPr>
        <w:spacing w:before="40" w:after="40"/>
      </w:pPr>
      <w:r>
        <w:rPr>
          <w:rFonts w:ascii="Arial" w:cs="Arial" w:eastAsia="Arial" w:hAnsi="Arial"/>
          <w:color w:val="3C3C3C"/>
          <w:sz w:val="22"/>
          <w:szCs w:val="22"/>
        </w:rPr>
        <w:t xml:space="preserve">Active Hepatitis B (HBsAg positive) or active Hepatitis C (HCV RNA detectable). Patients with treated Hepatitis B with undetectable HBV DNA and patients who have cleared HCV (undetectable HCV RNA) are eligible.</w:t>
      </w:r>
    </w:p>
    <w:p>
      <w:pPr>
        <w:pStyle w:val="ListParagraph"/>
        <w:numPr>
          <w:ilvl w:val="0"/>
          <w:numId w:val="3"/>
        </w:numPr>
        <w:spacing w:before="40" w:after="40"/>
      </w:pPr>
      <w:r>
        <w:rPr>
          <w:rFonts w:ascii="Arial" w:cs="Arial" w:eastAsia="Arial" w:hAnsi="Arial"/>
          <w:color w:val="3C3C3C"/>
          <w:sz w:val="22"/>
          <w:szCs w:val="22"/>
        </w:rPr>
        <w:t xml:space="preserve">History of non-infectious pneumonitis requiring systemic corticosteroids, or any active pneumonitis</w:t>
      </w:r>
    </w:p>
    <w:p>
      <w:pPr>
        <w:pStyle w:val="ListParagraph"/>
        <w:numPr>
          <w:ilvl w:val="0"/>
          <w:numId w:val="3"/>
        </w:numPr>
        <w:spacing w:before="40" w:after="40"/>
      </w:pPr>
      <w:r>
        <w:rPr>
          <w:rFonts w:ascii="Arial" w:cs="Arial" w:eastAsia="Arial" w:hAnsi="Arial"/>
          <w:color w:val="3C3C3C"/>
          <w:sz w:val="22"/>
          <w:szCs w:val="22"/>
        </w:rPr>
        <w:t xml:space="preserve">Prior treatment with BRAF/MEK inhibitors or anti-EGFR antibodies for metastatic disease (adjuvant use &gt;6 months prior is permitted)</w:t>
      </w:r>
    </w:p>
    <w:p>
      <w:pPr>
        <w:pStyle w:val="ListParagraph"/>
        <w:numPr>
          <w:ilvl w:val="0"/>
          <w:numId w:val="3"/>
        </w:numPr>
        <w:spacing w:before="40" w:after="40"/>
      </w:pPr>
      <w:r>
        <w:rPr>
          <w:rFonts w:ascii="Arial" w:cs="Arial" w:eastAsia="Arial" w:hAnsi="Arial"/>
          <w:color w:val="3C3C3C"/>
          <w:sz w:val="22"/>
          <w:szCs w:val="22"/>
        </w:rPr>
        <w:t xml:space="preserve">Concurrent enrollment in another therapeutic clinical trial (observational studies and biomarker substudies are permitted with sponsor approval)</w:t>
      </w:r>
    </w:p>
    <w:p>
      <w:pPr>
        <w:pStyle w:val="ListParagraph"/>
        <w:numPr>
          <w:ilvl w:val="0"/>
          <w:numId w:val="3"/>
        </w:numPr>
        <w:spacing w:before="40" w:after="40"/>
      </w:pPr>
      <w:r>
        <w:rPr>
          <w:rFonts w:ascii="Arial" w:cs="Arial" w:eastAsia="Arial" w:hAnsi="Arial"/>
          <w:color w:val="3C3C3C"/>
          <w:sz w:val="22"/>
          <w:szCs w:val="22"/>
        </w:rPr>
        <w:t xml:space="preserve">Other invasive malignancy within 3 years prior to enrollment, except for adequately treated basal or squamous cell skin cancer, carcinoma in situ of the cervix, superficial bladder cancer, or other localized cancers that have been treated with curative intent</w:t>
      </w:r>
    </w:p>
    <w:p>
      <w:pPr>
        <w:pStyle w:val="ListParagraph"/>
        <w:numPr>
          <w:ilvl w:val="0"/>
          <w:numId w:val="3"/>
        </w:numPr>
        <w:spacing w:before="40" w:after="40"/>
      </w:pPr>
      <w:r>
        <w:rPr>
          <w:rFonts w:ascii="Arial" w:cs="Arial" w:eastAsia="Arial" w:hAnsi="Arial"/>
          <w:color w:val="3C3C3C"/>
          <w:sz w:val="22"/>
          <w:szCs w:val="22"/>
        </w:rPr>
        <w:t xml:space="preserve">Myocardial infarction, unstable angina, cardiac arrhythmia requiring treatment, or congestive heart failure (NYHA Class III-IV) within 6 months prior to enrollment</w:t>
      </w:r>
    </w:p>
    <w:p>
      <w:pPr>
        <w:pStyle w:val="ListParagraph"/>
        <w:numPr>
          <w:ilvl w:val="0"/>
          <w:numId w:val="3"/>
        </w:numPr>
        <w:spacing w:before="40" w:after="40"/>
      </w:pPr>
      <w:r>
        <w:rPr>
          <w:rFonts w:ascii="Arial" w:cs="Arial" w:eastAsia="Arial" w:hAnsi="Arial"/>
          <w:color w:val="3C3C3C"/>
          <w:sz w:val="22"/>
          <w:szCs w:val="22"/>
        </w:rPr>
        <w:t xml:space="preserve">History of interstitial lung disease</w:t>
      </w:r>
    </w:p>
    <w:p>
      <w:pPr>
        <w:pStyle w:val="ListParagraph"/>
        <w:numPr>
          <w:ilvl w:val="0"/>
          <w:numId w:val="3"/>
        </w:numPr>
        <w:spacing w:before="40" w:after="40"/>
      </w:pPr>
      <w:r>
        <w:rPr>
          <w:rFonts w:ascii="Arial" w:cs="Arial" w:eastAsia="Arial" w:hAnsi="Arial"/>
          <w:color w:val="3C3C3C"/>
          <w:sz w:val="22"/>
          <w:szCs w:val="22"/>
        </w:rPr>
        <w:t xml:space="preserve">Pregnancy or breastfeeding</w:t>
      </w:r>
    </w:p>
    <w:p>
      <w:pPr>
        <w:pStyle w:val="ListParagraph"/>
        <w:numPr>
          <w:ilvl w:val="0"/>
          <w:numId w:val="3"/>
        </w:numPr>
        <w:spacing w:before="40" w:after="40"/>
      </w:pPr>
      <w:r>
        <w:rPr>
          <w:rFonts w:ascii="Arial" w:cs="Arial" w:eastAsia="Arial" w:hAnsi="Arial"/>
          <w:color w:val="3C3C3C"/>
          <w:sz w:val="22"/>
          <w:szCs w:val="22"/>
        </w:rPr>
        <w:t xml:space="preserve">Known hypersensitivity to cervimab or any of its excipients, or to prior monoclonal antibody therapy (Grade ≥3 infusion reactions)</w:t>
      </w:r>
    </w:p>
    <w:p>
      <w:pPr>
        <w:pStyle w:val="ListParagraph"/>
        <w:numPr>
          <w:ilvl w:val="0"/>
          <w:numId w:val="3"/>
        </w:numPr>
        <w:spacing w:before="40" w:after="40"/>
      </w:pPr>
      <w:r>
        <w:rPr>
          <w:rFonts w:ascii="Arial" w:cs="Arial" w:eastAsia="Arial" w:hAnsi="Arial"/>
          <w:color w:val="3C3C3C"/>
          <w:sz w:val="22"/>
          <w:szCs w:val="22"/>
        </w:rPr>
        <w:t xml:space="preserve">Any condition, including psychiatric or substance abuse disorders, that in the investigator's judgment would interfere with study participation, compliance, or interpretation of results</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9. INVESTIGATIONAL PRODUCT: CERVIMAB</w:t>
      </w:r>
    </w:p>
    <w:p>
      <w:pPr>
        <w:pStyle w:val="Heading2"/>
        <w:spacing w:before="280" w:after="80"/>
      </w:pPr>
      <w:r>
        <w:rPr>
          <w:rFonts w:ascii="Arial" w:cs="Arial" w:eastAsia="Arial" w:hAnsi="Arial"/>
          <w:b/>
          <w:bCs/>
          <w:color w:val="2E5FA3"/>
          <w:sz w:val="28"/>
          <w:szCs w:val="28"/>
        </w:rPr>
        <w:t xml:space="preserve">9.1 Description</w:t>
      </w:r>
    </w:p>
    <w:p>
      <w:pPr>
        <w:spacing w:before="60" w:after="60"/>
      </w:pPr>
      <w:r>
        <w:rPr>
          <w:rFonts w:ascii="Arial" w:cs="Arial" w:eastAsia="Arial" w:hAnsi="Arial"/>
          <w:b w:val="false"/>
          <w:bCs w:val="false"/>
          <w:color w:val="3C3C3C"/>
          <w:sz w:val="22"/>
          <w:szCs w:val="22"/>
        </w:rPr>
        <w:t xml:space="preserve">Cervimab (AXB-7219) is a recombinant, humanized immunoglobulin G4 (IgG4) kappa monoclonal antibody directed against human PD-1. It is expressed in Chinese Hamster Ovary (CHO) cells via a recombinant DNA process. The molecule consists of two heavy chains (MW ~49 kDa each) and two light chains (MW ~23 kDa each) linked by disulfide bonds. Molecular weight: approximately 144 kDa.</w:t>
      </w:r>
    </w:p>
    <w:p>
      <w:pPr>
        <w:spacing w:before="0" w:after="60"/>
      </w:pPr>
      <w:r>
        <w:t xml:space="preserve"/>
      </w:r>
    </w:p>
    <w:p>
      <w:pPr>
        <w:pStyle w:val="Heading2"/>
        <w:spacing w:before="280" w:after="80"/>
      </w:pPr>
      <w:r>
        <w:rPr>
          <w:rFonts w:ascii="Arial" w:cs="Arial" w:eastAsia="Arial" w:hAnsi="Arial"/>
          <w:b/>
          <w:bCs/>
          <w:color w:val="2E5FA3"/>
          <w:sz w:val="28"/>
          <w:szCs w:val="28"/>
        </w:rPr>
        <w:t xml:space="preserve">9.2 Formulation and Supply</w:t>
      </w:r>
    </w:p>
    <w:p>
      <w:pPr>
        <w:spacing w:before="60" w:after="60"/>
      </w:pPr>
      <w:r>
        <w:rPr>
          <w:rFonts w:ascii="Arial" w:cs="Arial" w:eastAsia="Arial" w:hAnsi="Arial"/>
          <w:b w:val="false"/>
          <w:bCs w:val="false"/>
          <w:color w:val="3C3C3C"/>
          <w:sz w:val="22"/>
          <w:szCs w:val="22"/>
        </w:rPr>
        <w:t xml:space="preserve">Cervimab is supplied by Axiom Biosciences as a sterile, preservative-free concentrate for solution for infusion:</w:t>
      </w:r>
    </w:p>
    <w:p>
      <w:pPr>
        <w:pStyle w:val="ListParagraph"/>
        <w:numPr>
          <w:ilvl w:val="0"/>
          <w:numId w:val="2"/>
        </w:numPr>
        <w:spacing w:before="40" w:after="40"/>
      </w:pPr>
      <w:r>
        <w:rPr>
          <w:rFonts w:ascii="Arial" w:cs="Arial" w:eastAsia="Arial" w:hAnsi="Arial"/>
          <w:color w:val="3C3C3C"/>
          <w:sz w:val="22"/>
          <w:szCs w:val="22"/>
        </w:rPr>
        <w:t xml:space="preserve">Presentation: 10 mL single-use vials containing 250 mg/10 mL (25 mg/mL) solution</w:t>
      </w:r>
    </w:p>
    <w:p>
      <w:pPr>
        <w:pStyle w:val="ListParagraph"/>
        <w:numPr>
          <w:ilvl w:val="0"/>
          <w:numId w:val="2"/>
        </w:numPr>
        <w:spacing w:before="40" w:after="40"/>
      </w:pPr>
      <w:r>
        <w:rPr>
          <w:rFonts w:ascii="Arial" w:cs="Arial" w:eastAsia="Arial" w:hAnsi="Arial"/>
          <w:color w:val="3C3C3C"/>
          <w:sz w:val="22"/>
          <w:szCs w:val="22"/>
        </w:rPr>
        <w:t xml:space="preserve">Excipients: L-histidine, L-histidine monohydrochloride, polysorbate 80, sucrose, Water for Injection</w:t>
      </w:r>
    </w:p>
    <w:p>
      <w:pPr>
        <w:pStyle w:val="ListParagraph"/>
        <w:numPr>
          <w:ilvl w:val="0"/>
          <w:numId w:val="2"/>
        </w:numPr>
        <w:spacing w:before="40" w:after="40"/>
      </w:pPr>
      <w:r>
        <w:rPr>
          <w:rFonts w:ascii="Arial" w:cs="Arial" w:eastAsia="Arial" w:hAnsi="Arial"/>
          <w:color w:val="3C3C3C"/>
          <w:sz w:val="22"/>
          <w:szCs w:val="22"/>
        </w:rPr>
        <w:t xml:space="preserve">pH: 5.8; Osmolality: 280-320 mOsm/kg</w:t>
      </w:r>
    </w:p>
    <w:p>
      <w:pPr>
        <w:pStyle w:val="ListParagraph"/>
        <w:numPr>
          <w:ilvl w:val="0"/>
          <w:numId w:val="2"/>
        </w:numPr>
        <w:spacing w:before="40" w:after="40"/>
      </w:pPr>
      <w:r>
        <w:rPr>
          <w:rFonts w:ascii="Arial" w:cs="Arial" w:eastAsia="Arial" w:hAnsi="Arial"/>
          <w:color w:val="3C3C3C"/>
          <w:sz w:val="22"/>
          <w:szCs w:val="22"/>
        </w:rPr>
        <w:t xml:space="preserve">Storage: 2-8°C (refrigerated); protect from light; do not freeze</w:t>
      </w:r>
    </w:p>
    <w:p>
      <w:pPr>
        <w:pStyle w:val="ListParagraph"/>
        <w:numPr>
          <w:ilvl w:val="0"/>
          <w:numId w:val="2"/>
        </w:numPr>
        <w:spacing w:before="40" w:after="40"/>
      </w:pPr>
      <w:r>
        <w:rPr>
          <w:rFonts w:ascii="Arial" w:cs="Arial" w:eastAsia="Arial" w:hAnsi="Arial"/>
          <w:color w:val="3C3C3C"/>
          <w:sz w:val="22"/>
          <w:szCs w:val="22"/>
        </w:rPr>
        <w:t xml:space="preserve">Stability: 24 months from manufacture date under refrigerated conditions</w:t>
      </w:r>
    </w:p>
    <w:p>
      <w:pPr>
        <w:pStyle w:val="ListParagraph"/>
        <w:numPr>
          <w:ilvl w:val="0"/>
          <w:numId w:val="2"/>
        </w:numPr>
        <w:spacing w:before="40" w:after="40"/>
      </w:pPr>
      <w:r>
        <w:rPr>
          <w:rFonts w:ascii="Arial" w:cs="Arial" w:eastAsia="Arial" w:hAnsi="Arial"/>
          <w:color w:val="3C3C3C"/>
          <w:sz w:val="22"/>
          <w:szCs w:val="22"/>
        </w:rPr>
        <w:t xml:space="preserve">Prepared infusion bag stability: 24 hours at 2-8°C or 6 hours at room temperature (15-25°C) after dilution in 0.9% NaCl or 5% Dextrose</w:t>
      </w:r>
    </w:p>
    <w:p>
      <w:pPr>
        <w:spacing w:before="0" w:after="60"/>
      </w:pPr>
      <w:r>
        <w:t xml:space="preserve"/>
      </w:r>
    </w:p>
    <w:p>
      <w:pPr>
        <w:pStyle w:val="Heading2"/>
        <w:spacing w:before="280" w:after="80"/>
      </w:pPr>
      <w:r>
        <w:rPr>
          <w:rFonts w:ascii="Arial" w:cs="Arial" w:eastAsia="Arial" w:hAnsi="Arial"/>
          <w:b/>
          <w:bCs/>
          <w:color w:val="2E5FA3"/>
          <w:sz w:val="28"/>
          <w:szCs w:val="28"/>
        </w:rPr>
        <w:t xml:space="preserve">9.3 Preparation and Administration</w:t>
      </w:r>
    </w:p>
    <w:p>
      <w:pPr>
        <w:spacing w:before="60" w:after="60"/>
      </w:pPr>
      <w:r>
        <w:rPr>
          <w:rFonts w:ascii="Arial" w:cs="Arial" w:eastAsia="Arial" w:hAnsi="Arial"/>
          <w:b w:val="false"/>
          <w:bCs w:val="false"/>
          <w:color w:val="3C3C3C"/>
          <w:sz w:val="22"/>
          <w:szCs w:val="22"/>
        </w:rPr>
        <w:t xml:space="preserve">Cervimab must be prepared in a laminar airflow hood or equivalent aseptic environment by qualified pharmacy personnel. Detailed preparation instructions are provided in the Investigator's Brochure (IB) and Pharmacy Manual.</w:t>
      </w:r>
    </w:p>
    <w:p>
      <w:pPr>
        <w:spacing w:before="0" w:after="60"/>
      </w:pPr>
      <w:r>
        <w:t xml:space="preserve"/>
      </w:r>
    </w:p>
    <w:p>
      <w:pPr>
        <w:pStyle w:val="ListParagraph"/>
        <w:numPr>
          <w:ilvl w:val="0"/>
          <w:numId w:val="2"/>
        </w:numPr>
        <w:spacing w:before="40" w:after="40"/>
      </w:pPr>
      <w:r>
        <w:rPr>
          <w:rFonts w:ascii="Arial" w:cs="Arial" w:eastAsia="Arial" w:hAnsi="Arial"/>
          <w:color w:val="3C3C3C"/>
          <w:sz w:val="22"/>
          <w:szCs w:val="22"/>
        </w:rPr>
        <w:t xml:space="preserve">Dilute appropriate volume from vial(s) in 100 mL of 0.9% Sodium Chloride Injection, USP or 5% Dextrose Injection, USP</w:t>
      </w:r>
    </w:p>
    <w:p>
      <w:pPr>
        <w:pStyle w:val="ListParagraph"/>
        <w:numPr>
          <w:ilvl w:val="0"/>
          <w:numId w:val="2"/>
        </w:numPr>
        <w:spacing w:before="40" w:after="40"/>
      </w:pPr>
      <w:r>
        <w:rPr>
          <w:rFonts w:ascii="Arial" w:cs="Arial" w:eastAsia="Arial" w:hAnsi="Arial"/>
          <w:color w:val="3C3C3C"/>
          <w:sz w:val="22"/>
          <w:szCs w:val="22"/>
        </w:rPr>
        <w:t xml:space="preserve">Administer via IV infusion through a sterile, non-pyrogenic, low-protein binding 0.2 or 0.22 micron in-line or add-on filter</w:t>
      </w:r>
    </w:p>
    <w:p>
      <w:pPr>
        <w:pStyle w:val="ListParagraph"/>
        <w:numPr>
          <w:ilvl w:val="0"/>
          <w:numId w:val="2"/>
        </w:numPr>
        <w:spacing w:before="40" w:after="40"/>
      </w:pPr>
      <w:r>
        <w:rPr>
          <w:rFonts w:ascii="Arial" w:cs="Arial" w:eastAsia="Arial" w:hAnsi="Arial"/>
          <w:color w:val="3C3C3C"/>
          <w:sz w:val="22"/>
          <w:szCs w:val="22"/>
        </w:rPr>
        <w:t xml:space="preserve">Infusion duration: 60 minutes (±10 minutes) for Cycle 1; may reduce to 30 minutes for subsequent cycles if Cycle 1 is well tolerated</w:t>
      </w:r>
    </w:p>
    <w:p>
      <w:pPr>
        <w:pStyle w:val="ListParagraph"/>
        <w:numPr>
          <w:ilvl w:val="0"/>
          <w:numId w:val="2"/>
        </w:numPr>
        <w:spacing w:before="40" w:after="40"/>
      </w:pPr>
      <w:r>
        <w:rPr>
          <w:rFonts w:ascii="Arial" w:cs="Arial" w:eastAsia="Arial" w:hAnsi="Arial"/>
          <w:color w:val="3C3C3C"/>
          <w:sz w:val="22"/>
          <w:szCs w:val="22"/>
        </w:rPr>
        <w:t xml:space="preserve">No in-line filter is required if filter is incorporated into the administration set</w:t>
      </w:r>
    </w:p>
    <w:p>
      <w:pPr>
        <w:pStyle w:val="ListParagraph"/>
        <w:numPr>
          <w:ilvl w:val="0"/>
          <w:numId w:val="2"/>
        </w:numPr>
        <w:spacing w:before="40" w:after="40"/>
      </w:pPr>
      <w:r>
        <w:rPr>
          <w:rFonts w:ascii="Arial" w:cs="Arial" w:eastAsia="Arial" w:hAnsi="Arial"/>
          <w:color w:val="3C3C3C"/>
          <w:sz w:val="22"/>
          <w:szCs w:val="22"/>
        </w:rPr>
        <w:t xml:space="preserve">Cervimab should NOT be mixed with or administered concomitantly with other medicinal products through the same intravenous line</w:t>
      </w:r>
    </w:p>
    <w:p>
      <w:pPr>
        <w:spacing w:before="0" w:after="60"/>
      </w:pPr>
      <w:r>
        <w:t xml:space="preserve"/>
      </w:r>
    </w:p>
    <w:p>
      <w:pPr>
        <w:pStyle w:val="Heading2"/>
        <w:spacing w:before="280" w:after="80"/>
      </w:pPr>
      <w:r>
        <w:rPr>
          <w:rFonts w:ascii="Arial" w:cs="Arial" w:eastAsia="Arial" w:hAnsi="Arial"/>
          <w:b/>
          <w:bCs/>
          <w:color w:val="2E5FA3"/>
          <w:sz w:val="28"/>
          <w:szCs w:val="28"/>
        </w:rPr>
        <w:t xml:space="preserve">9.4 Pre-Medications</w:t>
      </w:r>
    </w:p>
    <w:p>
      <w:pPr>
        <w:spacing w:before="60" w:after="60"/>
      </w:pPr>
      <w:r>
        <w:rPr>
          <w:rFonts w:ascii="Arial" w:cs="Arial" w:eastAsia="Arial" w:hAnsi="Arial"/>
          <w:b w:val="false"/>
          <w:bCs w:val="false"/>
          <w:color w:val="3C3C3C"/>
          <w:sz w:val="22"/>
          <w:szCs w:val="22"/>
        </w:rPr>
        <w:t xml:space="preserve">Routine pre-medication is not required prior to cervimab infusion. Prophylactic antihistamines, antipyretics, or corticosteroids should NOT be administered unless required for management of prior infusion reactions. Management of infusion reactions should follow institutional guidelines and the irAE management algorithms in Appendix A.</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10. DOSE RATIONALE AND DOSE-RANGING SCHEMA</w:t>
      </w:r>
    </w:p>
    <w:p>
      <w:pPr>
        <w:pStyle w:val="Heading2"/>
        <w:spacing w:before="280" w:after="80"/>
      </w:pPr>
      <w:r>
        <w:rPr>
          <w:rFonts w:ascii="Arial" w:cs="Arial" w:eastAsia="Arial" w:hAnsi="Arial"/>
          <w:b/>
          <w:bCs/>
          <w:color w:val="2E5FA3"/>
          <w:sz w:val="28"/>
          <w:szCs w:val="28"/>
        </w:rPr>
        <w:t xml:space="preserve">10.1 Dose Selection Rationale</w:t>
      </w:r>
    </w:p>
    <w:p>
      <w:pPr>
        <w:spacing w:before="60" w:after="60"/>
      </w:pPr>
      <w:r>
        <w:rPr>
          <w:rFonts w:ascii="Arial" w:cs="Arial" w:eastAsia="Arial" w:hAnsi="Arial"/>
          <w:b w:val="false"/>
          <w:bCs w:val="false"/>
          <w:color w:val="3C3C3C"/>
          <w:sz w:val="22"/>
          <w:szCs w:val="22"/>
        </w:rPr>
        <w:t xml:space="preserve">Three dose regimens have been selected for evaluation based on a comprehensive review of Phase 1 PK/PD data, population PK modeling, and receptor occupancy simulations:</w:t>
      </w:r>
    </w:p>
    <w:p>
      <w:pPr>
        <w:spacing w:before="0" w:after="60"/>
      </w:pPr>
      <w:r>
        <w:t xml:space="preserve"/>
      </w:r>
    </w:p>
    <w:p>
      <w:pPr>
        <w:pStyle w:val="Heading3"/>
        <w:spacing w:before="200" w:after="60"/>
      </w:pPr>
      <w:r>
        <w:rPr>
          <w:rFonts w:ascii="Arial" w:cs="Arial" w:eastAsia="Arial" w:hAnsi="Arial"/>
          <w:b/>
          <w:bCs/>
          <w:color w:val="4A7FBF"/>
          <w:sz w:val="24"/>
          <w:szCs w:val="24"/>
        </w:rPr>
        <w:t xml:space="preserve">10.1.1 Arm A: Cervimab 200 mg Q3W</w:t>
      </w:r>
    </w:p>
    <w:p>
      <w:pPr>
        <w:spacing w:before="60" w:after="60"/>
      </w:pPr>
      <w:r>
        <w:rPr>
          <w:rFonts w:ascii="Arial" w:cs="Arial" w:eastAsia="Arial" w:hAnsi="Arial"/>
          <w:b w:val="false"/>
          <w:bCs w:val="false"/>
          <w:color w:val="3C3C3C"/>
          <w:sz w:val="22"/>
          <w:szCs w:val="22"/>
        </w:rPr>
        <w:t xml:space="preserve">Population PK modeling predicts Ctrough at steady-state of approximately 15-22 mcg/mL (90% CI), which corresponds to approximately 88-92% PD-1 receptor occupancy. This dose is predicted to provide clinically meaningful antitumor activity in immunogenic tumors while potentially reducing the cumulative drug exposure and associated toxicity profile compared to 400 mg Q3W. Importantly, Phase 1 dose-expansion data in the 200 mg cohort (n=20) showed an ORR of 40% across solid tumor histologies, with a Grade 3-4 TRAE rate of 10%, suggesting a favorable benefit-risk profile.</w:t>
      </w:r>
    </w:p>
    <w:p>
      <w:pPr>
        <w:spacing w:before="0" w:after="60"/>
      </w:pPr>
      <w:r>
        <w:t xml:space="preserve"/>
      </w:r>
    </w:p>
    <w:p>
      <w:pPr>
        <w:pStyle w:val="Heading3"/>
        <w:spacing w:before="200" w:after="60"/>
      </w:pPr>
      <w:r>
        <w:rPr>
          <w:rFonts w:ascii="Arial" w:cs="Arial" w:eastAsia="Arial" w:hAnsi="Arial"/>
          <w:b/>
          <w:bCs/>
          <w:color w:val="4A7FBF"/>
          <w:sz w:val="24"/>
          <w:szCs w:val="24"/>
        </w:rPr>
        <w:t xml:space="preserve">10.1.2 Arm B: Cervimab 400 mg Q3W (Reference Dose)</w:t>
      </w:r>
    </w:p>
    <w:p>
      <w:pPr>
        <w:spacing w:before="60" w:after="60"/>
      </w:pPr>
      <w:r>
        <w:rPr>
          <w:rFonts w:ascii="Arial" w:cs="Arial" w:eastAsia="Arial" w:hAnsi="Arial"/>
          <w:b w:val="false"/>
          <w:bCs w:val="false"/>
          <w:color w:val="3C3C3C"/>
          <w:sz w:val="22"/>
          <w:szCs w:val="22"/>
        </w:rPr>
        <w:t xml:space="preserve">The 400 mg Q3W dose is designated as the reference arm, consistent with the dose range explored in the Phase 1/1b study and aligned with the approved dosing of comparator PD-1 inhibitors. Predicted Ctrough at steady-state is approximately 38-47 mcg/mL (90% CI), achieving &gt;95% PD-1 receptor occupancy throughout the dosing interval. The Phase 1 ORR at this dose across solid tumors was 45%, with a Grade 3-4 TRAE rate of 15%.</w:t>
      </w:r>
    </w:p>
    <w:p>
      <w:pPr>
        <w:spacing w:before="0" w:after="60"/>
      </w:pPr>
      <w:r>
        <w:t xml:space="preserve"/>
      </w:r>
    </w:p>
    <w:p>
      <w:pPr>
        <w:pStyle w:val="Heading3"/>
        <w:spacing w:before="200" w:after="60"/>
      </w:pPr>
      <w:r>
        <w:rPr>
          <w:rFonts w:ascii="Arial" w:cs="Arial" w:eastAsia="Arial" w:hAnsi="Arial"/>
          <w:b/>
          <w:bCs/>
          <w:color w:val="4A7FBF"/>
          <w:sz w:val="24"/>
          <w:szCs w:val="24"/>
        </w:rPr>
        <w:t xml:space="preserve">10.1.3 Arm C: Cervimab 400 mg Q2W</w:t>
      </w:r>
    </w:p>
    <w:p>
      <w:pPr>
        <w:spacing w:before="60" w:after="60"/>
      </w:pPr>
      <w:r>
        <w:rPr>
          <w:rFonts w:ascii="Arial" w:cs="Arial" w:eastAsia="Arial" w:hAnsi="Arial"/>
          <w:b w:val="false"/>
          <w:bCs w:val="false"/>
          <w:color w:val="3C3C3C"/>
          <w:sz w:val="22"/>
          <w:szCs w:val="22"/>
        </w:rPr>
        <w:t xml:space="preserve">The Q2W schedule at 400 mg is designed to evaluate whether increased dosing frequency and higher Ctrough levels (predicted 65-80 mcg/mL at steady-state) confer additional efficacy benefit. Immunological modeling suggests that sustained near-complete PD-1 receptor occupancy throughout the dosing interval may improve depth of response in a subset of patients. The Phase 1 14-day dosing window data (n=8, dose escalation cohort) showed tolerability comparable to Q3W at equivalent dose levels.</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10.2 Dose Modifications for Toxicity</w:t>
      </w:r>
    </w:p>
    <w:p>
      <w:pPr>
        <w:spacing w:before="60" w:after="60"/>
      </w:pPr>
      <w:r>
        <w:rPr>
          <w:rFonts w:ascii="Arial" w:cs="Arial" w:eastAsia="Arial" w:hAnsi="Arial"/>
          <w:b w:val="false"/>
          <w:bCs w:val="false"/>
          <w:color w:val="3C3C3C"/>
          <w:sz w:val="22"/>
          <w:szCs w:val="22"/>
        </w:rPr>
        <w:t xml:space="preserve">Cervimab does not undergo dose reductions. Dose modifications for toxicity involve dose delays (treatment holds) and, if toxicity does not resolve, permanent discontinuation. Specific guidance for immune-related adverse events (irAEs) is detailed in Appendix A. General principles:</w:t>
      </w:r>
    </w:p>
    <w:p>
      <w:pPr>
        <w:pStyle w:val="ListParagraph"/>
        <w:numPr>
          <w:ilvl w:val="0"/>
          <w:numId w:val="2"/>
        </w:numPr>
        <w:spacing w:before="40" w:after="40"/>
      </w:pPr>
      <w:r>
        <w:rPr>
          <w:rFonts w:ascii="Arial" w:cs="Arial" w:eastAsia="Arial" w:hAnsi="Arial"/>
          <w:color w:val="3C3C3C"/>
          <w:sz w:val="22"/>
          <w:szCs w:val="22"/>
        </w:rPr>
        <w:t xml:space="preserve">Grade 1-2 AEs: Continue dosing with enhanced monitoring; initiate supportive care as clinically indicated</w:t>
      </w:r>
    </w:p>
    <w:p>
      <w:pPr>
        <w:pStyle w:val="ListParagraph"/>
        <w:numPr>
          <w:ilvl w:val="0"/>
          <w:numId w:val="2"/>
        </w:numPr>
        <w:spacing w:before="40" w:after="40"/>
      </w:pPr>
      <w:r>
        <w:rPr>
          <w:rFonts w:ascii="Arial" w:cs="Arial" w:eastAsia="Arial" w:hAnsi="Arial"/>
          <w:color w:val="3C3C3C"/>
          <w:sz w:val="22"/>
          <w:szCs w:val="22"/>
        </w:rPr>
        <w:t xml:space="preserve">Grade 3 AEs: Hold cervimab; initiate systemic corticosteroids (prednisone 1-2 mg/kg/day or equivalent) for irAEs; resume after recovery to ≤Grade 1 and corticosteroid taper to ≤10 mg/day prednisone equivalent</w:t>
      </w:r>
    </w:p>
    <w:p>
      <w:pPr>
        <w:pStyle w:val="ListParagraph"/>
        <w:numPr>
          <w:ilvl w:val="0"/>
          <w:numId w:val="2"/>
        </w:numPr>
        <w:spacing w:before="40" w:after="40"/>
      </w:pPr>
      <w:r>
        <w:rPr>
          <w:rFonts w:ascii="Arial" w:cs="Arial" w:eastAsia="Arial" w:hAnsi="Arial"/>
          <w:color w:val="3C3C3C"/>
          <w:sz w:val="22"/>
          <w:szCs w:val="22"/>
        </w:rPr>
        <w:t xml:space="preserve">Grade 4 AEs (most): Permanently discontinue cervimab; initiate high-dose corticosteroids ± additional immunosuppression per irAE guidelines</w:t>
      </w:r>
    </w:p>
    <w:p>
      <w:pPr>
        <w:pStyle w:val="ListParagraph"/>
        <w:numPr>
          <w:ilvl w:val="0"/>
          <w:numId w:val="2"/>
        </w:numPr>
        <w:spacing w:before="40" w:after="40"/>
      </w:pPr>
      <w:r>
        <w:rPr>
          <w:rFonts w:ascii="Arial" w:cs="Arial" w:eastAsia="Arial" w:hAnsi="Arial"/>
          <w:color w:val="3C3C3C"/>
          <w:sz w:val="22"/>
          <w:szCs w:val="22"/>
        </w:rPr>
        <w:t xml:space="preserve">Grade 3-4 infusion reactions: Permanently discontinue cervimab</w:t>
      </w:r>
    </w:p>
    <w:p>
      <w:pPr>
        <w:pStyle w:val="ListParagraph"/>
        <w:numPr>
          <w:ilvl w:val="0"/>
          <w:numId w:val="2"/>
        </w:numPr>
        <w:spacing w:before="40" w:after="40"/>
      </w:pPr>
      <w:r>
        <w:rPr>
          <w:rFonts w:ascii="Arial" w:cs="Arial" w:eastAsia="Arial" w:hAnsi="Arial"/>
          <w:color w:val="3C3C3C"/>
          <w:sz w:val="22"/>
          <w:szCs w:val="22"/>
        </w:rPr>
        <w:t xml:space="preserve">Maximum dose delay: 12 weeks. If unable to resume within 12 weeks due to toxicity, permanently discontinue.</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11. SCHEDULE OF ASSESSMENTS</w:t>
      </w:r>
    </w:p>
    <w:p>
      <w:pPr>
        <w:spacing w:before="60" w:after="60"/>
      </w:pPr>
      <w:r>
        <w:rPr>
          <w:rFonts w:ascii="Arial" w:cs="Arial" w:eastAsia="Arial" w:hAnsi="Arial"/>
          <w:b w:val="false"/>
          <w:bCs w:val="false"/>
          <w:color w:val="3C3C3C"/>
          <w:sz w:val="22"/>
          <w:szCs w:val="22"/>
        </w:rPr>
        <w:t xml:space="preserve">The table below provides the visit schedule and required assessments. All procedures should be conducted within the visit windows specified. C = Cycle; D = Day; EOT = End of Treatment; F/U = Follow-Up.</w:t>
      </w:r>
    </w:p>
    <w:p>
      <w:pPr>
        <w:spacing w:before="60" w:after="60"/>
      </w:pPr>
      <w:r>
        <w:rPr>
          <w:rFonts w:ascii="Arial" w:cs="Arial" w:eastAsia="Arial" w:hAnsi="Arial"/>
          <w:b w:val="false"/>
          <w:bCs w:val="false"/>
          <w:color w:val="3C3C3C"/>
          <w:sz w:val="22"/>
          <w:szCs w:val="22"/>
        </w:rPr>
        <w:t xml:space="preserve">Visit windows: Cycle visits ±3 days for Q3W arms; ±2 days for Q2W arm. EOT: within 30 days of last dose. Follow-up: 30 ± 3 days post-EOT.</w:t>
      </w:r>
    </w:p>
    <w:p>
      <w:pPr>
        <w:spacing w:before="0" w:after="10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700"/>
        <w:gridCol w:w="700"/>
        <w:gridCol w:w="700"/>
        <w:gridCol w:w="700"/>
        <w:gridCol w:w="700"/>
        <w:gridCol w:w="700"/>
        <w:gridCol w:w="700"/>
        <w:gridCol w:w="6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w:t>
            </w:r>
          </w:p>
        </w:tc>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Screening</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C1D1</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C2D1</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C3D1</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C4D1</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C5-8D1</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Q12W</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EOT</w:t>
            </w:r>
          </w:p>
        </w:tc>
        <w:tc>
          <w:tcPr>
            <w:tcW w:type="dxa" w:w="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 30d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Informed Consent</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Medical History / Tumor History</w:t>
            </w:r>
          </w:p>
        </w:tc>
        <w:tc>
          <w:tcPr>
            <w:tcW w:type="dxa" w:w="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66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Physical Examination (complete)</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r>
      <w:tr>
        <w:tc>
          <w:tcPr>
            <w:tcW w:type="dxa" w:w="2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Physical Examination (brief)</w:t>
            </w:r>
          </w:p>
        </w:tc>
        <w:tc>
          <w:tcPr>
            <w:tcW w:type="dxa" w:w="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66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Vital Signs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r>
      <w:tr>
        <w:tc>
          <w:tcPr>
            <w:tcW w:type="dxa" w:w="2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ECOG Performance Status</w:t>
            </w:r>
          </w:p>
        </w:tc>
        <w:tc>
          <w:tcPr>
            <w:tcW w:type="dxa" w:w="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Height / Weight</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CBC with Differential</w:t>
            </w:r>
          </w:p>
        </w:tc>
        <w:tc>
          <w:tcPr>
            <w:tcW w:type="dxa" w:w="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Comprehensive Metabolic Panel</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r>
      <w:tr>
        <w:tc>
          <w:tcPr>
            <w:tcW w:type="dxa" w:w="2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Thyroid Function (TSH, Free T4)</w:t>
            </w:r>
          </w:p>
        </w:tc>
        <w:tc>
          <w:tcPr>
            <w:tcW w:type="dxa" w:w="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Urinalysis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Coagulation (PT/INR, aPTT)</w:t>
            </w:r>
          </w:p>
        </w:tc>
        <w:tc>
          <w:tcPr>
            <w:tcW w:type="dxa" w:w="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Pregnancy Test (serum)</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dMMR/MSI-H Testing (local + central)</w:t>
            </w:r>
          </w:p>
        </w:tc>
        <w:tc>
          <w:tcPr>
            <w:tcW w:type="dxa" w:w="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66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PD-L1 Expression (CPS)</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TMB Assessment (tissue + blood)</w:t>
            </w:r>
          </w:p>
        </w:tc>
        <w:tc>
          <w:tcPr>
            <w:tcW w:type="dxa" w:w="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66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ctDNA (cfDNA/NGS panel)</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Tumor Imaging (CT/MRI)</w:t>
            </w:r>
          </w:p>
        </w:tc>
        <w:tc>
          <w:tcPr>
            <w:tcW w:type="dxa" w:w="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X (Q12W)</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Cervimab Administration</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PK Sampling (Cmax/Ctrough)</w:t>
            </w:r>
          </w:p>
        </w:tc>
        <w:tc>
          <w:tcPr>
            <w:tcW w:type="dxa" w:w="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66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ADA / Immunogenicity</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Adverse Event Assessment</w:t>
            </w:r>
          </w:p>
        </w:tc>
        <w:tc>
          <w:tcPr>
            <w:tcW w:type="dxa" w:w="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Concomitant Medication Review</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r>
      <w:tr>
        <w:tc>
          <w:tcPr>
            <w:tcW w:type="dxa" w:w="2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Patient-Reported Outcomes (EORTC QLQ-C30)</w:t>
            </w:r>
          </w:p>
        </w:tc>
        <w:tc>
          <w:tcPr>
            <w:tcW w:type="dxa" w:w="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66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Archival Tumor Biopsy</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6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r>
        <w:tc>
          <w:tcPr>
            <w:tcW w:type="dxa" w:w="2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left"/>
            </w:pPr>
            <w:r>
              <w:rPr>
                <w:rFonts w:ascii="Arial" w:cs="Arial" w:eastAsia="Arial" w:hAnsi="Arial"/>
                <w:b w:val="false"/>
                <w:bCs w:val="false"/>
                <w:color w:val="3C3C3C"/>
                <w:sz w:val="18"/>
                <w:szCs w:val="18"/>
              </w:rPr>
              <w:t xml:space="preserve">Optional Fresh Biopsy</w:t>
            </w:r>
          </w:p>
        </w:tc>
        <w:tc>
          <w:tcPr>
            <w:tcW w:type="dxa" w:w="6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bCs/>
                <w:color w:val="2E5FA3"/>
                <w:sz w:val="18"/>
                <w:szCs w:val="18"/>
              </w:rPr>
              <w:t xml:space="preserve">X</w:t>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70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c>
          <w:tcPr>
            <w:tcW w:type="dxa" w:w="660"/>
            <w:tcBorders>
              <w:top w:val="single" w:color="CCCCCC" w:sz="1"/>
              <w:left w:val="single" w:color="CCCCCC" w:sz="1"/>
              <w:bottom w:val="single" w:color="CCCCCC" w:sz="1"/>
              <w:right w:val="single" w:color="CCCCCC" w:sz="1"/>
            </w:tcBorders>
            <w:shd w:fill="F2F4F8" w:val="clear"/>
            <w:tcMar>
              <w:top w:type="dxa" w:w="60"/>
              <w:left w:type="dxa" w:w="80"/>
              <w:bottom w:type="dxa" w:w="60"/>
              <w:right w:type="dxa" w:w="80"/>
            </w:tcMar>
          </w:tcPr>
          <w:p>
            <w:pPr>
              <w:jc w:val="center"/>
            </w:pPr>
            <w:r>
              <w:rPr>
                <w:rFonts w:ascii="Arial" w:cs="Arial" w:eastAsia="Arial" w:hAnsi="Arial"/>
                <w:b w:val="false"/>
                <w:bCs w:val="false"/>
                <w:color w:val="2E5FA3"/>
                <w:sz w:val="18"/>
                <w:szCs w:val="18"/>
              </w:rPr>
              <w:t xml:space="preserve"/>
            </w:r>
          </w:p>
        </w:tc>
      </w:tr>
    </w:tbl>
    <w:p>
      <w:pPr>
        <w:spacing w:before="0" w:after="80"/>
      </w:pPr>
      <w:r>
        <w:t xml:space="preserve"/>
      </w:r>
    </w:p>
    <w:p>
      <w:pPr>
        <w:spacing w:before="60" w:after="60"/>
      </w:pPr>
      <w:r>
        <w:rPr>
          <w:rFonts w:ascii="Arial" w:cs="Arial" w:eastAsia="Arial" w:hAnsi="Arial"/>
          <w:b/>
          <w:bCs/>
          <w:color w:val="3C3C3C"/>
          <w:sz w:val="22"/>
          <w:szCs w:val="22"/>
        </w:rPr>
        <w:t xml:space="preserve">Notes:</w:t>
      </w:r>
    </w:p>
    <w:p>
      <w:pPr>
        <w:pStyle w:val="ListParagraph"/>
        <w:numPr>
          <w:ilvl w:val="0"/>
          <w:numId w:val="2"/>
        </w:numPr>
        <w:spacing w:before="40" w:after="40"/>
      </w:pPr>
      <w:r>
        <w:rPr>
          <w:rFonts w:ascii="Arial" w:cs="Arial" w:eastAsia="Arial" w:hAnsi="Arial"/>
          <w:color w:val="3C3C3C"/>
          <w:sz w:val="22"/>
          <w:szCs w:val="22"/>
        </w:rPr>
        <w:t xml:space="preserve">All safety assessments apply from C1D1 through 30-day safety follow-up</w:t>
      </w:r>
    </w:p>
    <w:p>
      <w:pPr>
        <w:pStyle w:val="ListParagraph"/>
        <w:numPr>
          <w:ilvl w:val="0"/>
          <w:numId w:val="2"/>
        </w:numPr>
        <w:spacing w:before="40" w:after="40"/>
      </w:pPr>
      <w:r>
        <w:rPr>
          <w:rFonts w:ascii="Arial" w:cs="Arial" w:eastAsia="Arial" w:hAnsi="Arial"/>
          <w:color w:val="3C3C3C"/>
          <w:sz w:val="22"/>
          <w:szCs w:val="22"/>
        </w:rPr>
        <w:t xml:space="preserve">Tumor imaging (CT chest/abdomen/pelvis ± MRI brain if indicated): Every 12 weeks (Q12W) from C1D1 regardless of dose arm, and at EOT</w:t>
      </w:r>
    </w:p>
    <w:p>
      <w:pPr>
        <w:pStyle w:val="ListParagraph"/>
        <w:numPr>
          <w:ilvl w:val="0"/>
          <w:numId w:val="2"/>
        </w:numPr>
        <w:spacing w:before="40" w:after="40"/>
      </w:pPr>
      <w:r>
        <w:rPr>
          <w:rFonts w:ascii="Arial" w:cs="Arial" w:eastAsia="Arial" w:hAnsi="Arial"/>
          <w:color w:val="3C3C3C"/>
          <w:sz w:val="22"/>
          <w:szCs w:val="22"/>
        </w:rPr>
        <w:t xml:space="preserve">PK samples: Pre-dose, 30 min into infusion, end of infusion, 1h, 2h, 4h, 8h, 24h post-start for Cycle 1 Day 1 (intensive PK); pre-dose and end of infusion for subsequent PK visits</w:t>
      </w:r>
    </w:p>
    <w:p>
      <w:pPr>
        <w:pStyle w:val="ListParagraph"/>
        <w:numPr>
          <w:ilvl w:val="0"/>
          <w:numId w:val="2"/>
        </w:numPr>
        <w:spacing w:before="40" w:after="40"/>
      </w:pPr>
      <w:r>
        <w:rPr>
          <w:rFonts w:ascii="Arial" w:cs="Arial" w:eastAsia="Arial" w:hAnsi="Arial"/>
          <w:color w:val="3C3C3C"/>
          <w:sz w:val="22"/>
          <w:szCs w:val="22"/>
        </w:rPr>
        <w:t xml:space="preserve">PRO instruments to be completed BEFORE clinical assessments and laboratory results are available to patients</w:t>
      </w:r>
    </w:p>
    <w:p>
      <w:pPr>
        <w:pStyle w:val="ListParagraph"/>
        <w:numPr>
          <w:ilvl w:val="0"/>
          <w:numId w:val="2"/>
        </w:numPr>
        <w:spacing w:before="40" w:after="40"/>
      </w:pPr>
      <w:r>
        <w:rPr>
          <w:rFonts w:ascii="Arial" w:cs="Arial" w:eastAsia="Arial" w:hAnsi="Arial"/>
          <w:color w:val="3C3C3C"/>
          <w:sz w:val="22"/>
          <w:szCs w:val="22"/>
        </w:rPr>
        <w:t xml:space="preserve">Optional fresh biopsy: paired baseline and on-treatment (Cycle 2 Day 1 ± 3 days) biopsies strongly encouraged; required for patients at sites designated as translational research sites</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12. EFFICACY ASSESSMENTS</w:t>
      </w:r>
    </w:p>
    <w:p>
      <w:pPr>
        <w:pStyle w:val="Heading2"/>
        <w:spacing w:before="280" w:after="80"/>
      </w:pPr>
      <w:r>
        <w:rPr>
          <w:rFonts w:ascii="Arial" w:cs="Arial" w:eastAsia="Arial" w:hAnsi="Arial"/>
          <w:b/>
          <w:bCs/>
          <w:color w:val="2E5FA3"/>
          <w:sz w:val="28"/>
          <w:szCs w:val="28"/>
        </w:rPr>
        <w:t xml:space="preserve">12.1 Tumor Response Assessment</w:t>
      </w:r>
    </w:p>
    <w:p>
      <w:pPr>
        <w:spacing w:before="60" w:after="60"/>
      </w:pPr>
      <w:r>
        <w:rPr>
          <w:rFonts w:ascii="Arial" w:cs="Arial" w:eastAsia="Arial" w:hAnsi="Arial"/>
          <w:b w:val="false"/>
          <w:bCs w:val="false"/>
          <w:color w:val="3C3C3C"/>
          <w:sz w:val="22"/>
          <w:szCs w:val="22"/>
        </w:rPr>
        <w:t xml:space="preserve">Tumor response will be assessed per RECIST v1.1 (Eisenhauer et al., 2009; see Appendix B). Tumor imaging by CT scan of the chest, abdomen, and pelvis with IV contrast will be performed at:</w:t>
      </w:r>
    </w:p>
    <w:p>
      <w:pPr>
        <w:pStyle w:val="ListParagraph"/>
        <w:numPr>
          <w:ilvl w:val="0"/>
          <w:numId w:val="2"/>
        </w:numPr>
        <w:spacing w:before="40" w:after="40"/>
      </w:pPr>
      <w:r>
        <w:rPr>
          <w:rFonts w:ascii="Arial" w:cs="Arial" w:eastAsia="Arial" w:hAnsi="Arial"/>
          <w:color w:val="3C3C3C"/>
          <w:sz w:val="22"/>
          <w:szCs w:val="22"/>
        </w:rPr>
        <w:t xml:space="preserve">Screening (within 28 days prior to C1D1): Baseline tumor assessment</w:t>
      </w:r>
    </w:p>
    <w:p>
      <w:pPr>
        <w:pStyle w:val="ListParagraph"/>
        <w:numPr>
          <w:ilvl w:val="0"/>
          <w:numId w:val="2"/>
        </w:numPr>
        <w:spacing w:before="40" w:after="40"/>
      </w:pPr>
      <w:r>
        <w:rPr>
          <w:rFonts w:ascii="Arial" w:cs="Arial" w:eastAsia="Arial" w:hAnsi="Arial"/>
          <w:color w:val="3C3C3C"/>
          <w:sz w:val="22"/>
          <w:szCs w:val="22"/>
        </w:rPr>
        <w:t xml:space="preserve">Every 12 weeks (±1 week) from C1D1 during the treatment period</w:t>
      </w:r>
    </w:p>
    <w:p>
      <w:pPr>
        <w:pStyle w:val="ListParagraph"/>
        <w:numPr>
          <w:ilvl w:val="0"/>
          <w:numId w:val="2"/>
        </w:numPr>
        <w:spacing w:before="40" w:after="40"/>
      </w:pPr>
      <w:r>
        <w:rPr>
          <w:rFonts w:ascii="Arial" w:cs="Arial" w:eastAsia="Arial" w:hAnsi="Arial"/>
          <w:color w:val="3C3C3C"/>
          <w:sz w:val="22"/>
          <w:szCs w:val="22"/>
        </w:rPr>
        <w:t xml:space="preserve">End of Treatment visit</w:t>
      </w:r>
    </w:p>
    <w:p>
      <w:pPr>
        <w:pStyle w:val="ListParagraph"/>
        <w:numPr>
          <w:ilvl w:val="0"/>
          <w:numId w:val="2"/>
        </w:numPr>
        <w:spacing w:before="40" w:after="40"/>
      </w:pPr>
      <w:r>
        <w:rPr>
          <w:rFonts w:ascii="Arial" w:cs="Arial" w:eastAsia="Arial" w:hAnsi="Arial"/>
          <w:color w:val="3C3C3C"/>
          <w:sz w:val="22"/>
          <w:szCs w:val="22"/>
        </w:rPr>
        <w:t xml:space="preserve">During safety follow-up if clinically indicated</w:t>
      </w:r>
    </w:p>
    <w:p>
      <w:pPr>
        <w:pStyle w:val="ListParagraph"/>
        <w:numPr>
          <w:ilvl w:val="0"/>
          <w:numId w:val="2"/>
        </w:numPr>
        <w:spacing w:before="40" w:after="40"/>
      </w:pPr>
      <w:r>
        <w:rPr>
          <w:rFonts w:ascii="Arial" w:cs="Arial" w:eastAsia="Arial" w:hAnsi="Arial"/>
          <w:color w:val="3C3C3C"/>
          <w:sz w:val="22"/>
          <w:szCs w:val="22"/>
        </w:rPr>
        <w:t xml:space="preserve">At the time of suspected disease progression</w:t>
      </w:r>
    </w:p>
    <w:p>
      <w:pPr>
        <w:spacing w:before="0" w:after="60"/>
      </w:pPr>
      <w:r>
        <w:t xml:space="preserve"/>
      </w:r>
    </w:p>
    <w:p>
      <w:pPr>
        <w:spacing w:before="60" w:after="60"/>
      </w:pPr>
      <w:r>
        <w:rPr>
          <w:rFonts w:ascii="Arial" w:cs="Arial" w:eastAsia="Arial" w:hAnsi="Arial"/>
          <w:b w:val="false"/>
          <w:bCs w:val="false"/>
          <w:color w:val="3C3C3C"/>
          <w:sz w:val="22"/>
          <w:szCs w:val="22"/>
        </w:rPr>
        <w:t xml:space="preserve">All imaging studies will be submitted to the independent central imaging laboratory (Sponsor-designated vendor) for blinded independent central review (BICR), which will serve as the primary basis for efficacy analyses. Local assessments by the investigator will also be collected for secondary analyses and clinical decision-making.</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12.2 Response Definitions (RECIST v1.1)</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c>
          <w:tcPr>
            <w:tcW w:type="dxa" w:w="7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Complete Response (CR)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Disappearance of all target and non-target lesions. All pathological lymph nodes must have reduction in short axis to &lt;10 mm.</w:t>
            </w:r>
          </w:p>
        </w:tc>
      </w:tr>
      <w:tr>
        <w:tc>
          <w:tcPr>
            <w:tcW w:type="dxa" w:w="16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Partial Response (PR)</w:t>
            </w:r>
          </w:p>
        </w:tc>
        <w:tc>
          <w:tcPr>
            <w:tcW w:type="dxa" w:w="7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At least 30% decrease in the sum of diameters of target lesions, taking as reference the baseline sum of diameters.</w:t>
            </w:r>
          </w:p>
        </w:tc>
      </w:tr>
      <w:tr>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Stable Disease (SD)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Neither sufficient shrinkage to qualify for PR nor sufficient increase to qualify for PD.</w:t>
            </w:r>
          </w:p>
        </w:tc>
      </w:tr>
      <w:tr>
        <w:tc>
          <w:tcPr>
            <w:tcW w:type="dxa" w:w="16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Progressive Disease (PD)</w:t>
            </w:r>
          </w:p>
        </w:tc>
        <w:tc>
          <w:tcPr>
            <w:tcW w:type="dxa" w:w="7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At least 20% increase in the sum of diameters of target lesions (minimum 5 mm absolute increase), OR unequivocal progression of non-target lesions, OR appearance of new lesions.</w:t>
            </w:r>
          </w:p>
        </w:tc>
      </w:tr>
      <w:tr>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Not Evaluable (NE)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Insufficient data to make a determination (e.g., missing assessment, inadequate imaging).</w:t>
            </w:r>
          </w:p>
        </w:tc>
      </w:tr>
    </w:tbl>
    <w:p>
      <w:pPr>
        <w:spacing w:before="0" w:after="80"/>
      </w:pPr>
      <w:r>
        <w:t xml:space="preserve"/>
      </w:r>
    </w:p>
    <w:p>
      <w:pPr>
        <w:pStyle w:val="Heading2"/>
        <w:spacing w:before="280" w:after="80"/>
      </w:pPr>
      <w:r>
        <w:rPr>
          <w:rFonts w:ascii="Arial" w:cs="Arial" w:eastAsia="Arial" w:hAnsi="Arial"/>
          <w:b/>
          <w:bCs/>
          <w:color w:val="2E5FA3"/>
          <w:sz w:val="28"/>
          <w:szCs w:val="28"/>
        </w:rPr>
        <w:t xml:space="preserve">12.3 Confirmation of Response</w:t>
      </w:r>
    </w:p>
    <w:p>
      <w:pPr>
        <w:spacing w:before="60" w:after="60"/>
      </w:pPr>
      <w:r>
        <w:rPr>
          <w:rFonts w:ascii="Arial" w:cs="Arial" w:eastAsia="Arial" w:hAnsi="Arial"/>
          <w:b w:val="false"/>
          <w:bCs w:val="false"/>
          <w:color w:val="3C3C3C"/>
          <w:sz w:val="22"/>
          <w:szCs w:val="22"/>
        </w:rPr>
        <w:t xml:space="preserve">Per RECIST v1.1, a confirmed objective response (CR or PR) requires documentation on two consecutive tumor assessments performed ≥4 weeks apart. Confirmation is required for the primary endpoint (ORR).</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12.4 Patient-Reported Outcomes</w:t>
      </w:r>
    </w:p>
    <w:p>
      <w:pPr>
        <w:spacing w:before="60" w:after="60"/>
      </w:pPr>
      <w:r>
        <w:rPr>
          <w:rFonts w:ascii="Arial" w:cs="Arial" w:eastAsia="Arial" w:hAnsi="Arial"/>
          <w:b w:val="false"/>
          <w:bCs w:val="false"/>
          <w:color w:val="3C3C3C"/>
          <w:sz w:val="22"/>
          <w:szCs w:val="22"/>
        </w:rPr>
        <w:t xml:space="preserve">Health-related quality of life (HRQoL) will be assessed using the European Organisation for Research and Treatment of Cancer Quality of Life Questionnaire Core 30 (EORTC QLQ-C30), version 3.0, and the colorectal cancer-specific module (QLQ-CR29). Questionnaires will be administered in the patient's native language at Baseline, Cycle 3 Day 1, Cycle 5 Day 1, and every 12 weeks thereafter. PROs must be completed BEFORE clinical assessments.</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13. SAFETY ASSESSMENTS</w:t>
      </w:r>
    </w:p>
    <w:p>
      <w:pPr>
        <w:pStyle w:val="Heading2"/>
        <w:spacing w:before="280" w:after="80"/>
      </w:pPr>
      <w:r>
        <w:rPr>
          <w:rFonts w:ascii="Arial" w:cs="Arial" w:eastAsia="Arial" w:hAnsi="Arial"/>
          <w:b/>
          <w:bCs/>
          <w:color w:val="2E5FA3"/>
          <w:sz w:val="28"/>
          <w:szCs w:val="28"/>
        </w:rPr>
        <w:t xml:space="preserve">13.1 Adverse Event Definitions and Classification</w:t>
      </w:r>
    </w:p>
    <w:p>
      <w:pPr>
        <w:spacing w:before="60" w:after="60"/>
      </w:pPr>
      <w:r>
        <w:rPr>
          <w:rFonts w:ascii="Arial" w:cs="Arial" w:eastAsia="Arial" w:hAnsi="Arial"/>
          <w:b w:val="false"/>
          <w:bCs w:val="false"/>
          <w:color w:val="3C3C3C"/>
          <w:sz w:val="22"/>
          <w:szCs w:val="22"/>
        </w:rPr>
        <w:t xml:space="preserve">All adverse events (AEs) will be recorded from the time of signed informed consent through 30 days after the last dose of cervimab. Adverse events will be graded according to the NCI Common Terminology Criteria for Adverse Events (CTCAE), Version 5.0. Causality assessment (related vs. not related to cervimab) will be made by the investigator.</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13.2 Serious Adverse Events</w:t>
      </w:r>
    </w:p>
    <w:p>
      <w:pPr>
        <w:spacing w:before="60" w:after="60"/>
      </w:pPr>
      <w:r>
        <w:rPr>
          <w:rFonts w:ascii="Arial" w:cs="Arial" w:eastAsia="Arial" w:hAnsi="Arial"/>
          <w:b w:val="false"/>
          <w:bCs w:val="false"/>
          <w:color w:val="3C3C3C"/>
          <w:sz w:val="22"/>
          <w:szCs w:val="22"/>
        </w:rPr>
        <w:t xml:space="preserve">A serious adverse event (SAE) is any AE that: results in death; is life-threatening; requires inpatient hospitalization or prolongation of existing hospitalization; results in persistent or significant incapacity or substantial disruption of the ability to conduct normal life functions; or is a congenital anomaly/birth defect. The investigator must report all SAEs to Axiom Biosciences within 24 hours of becoming aware of the event, using the SAE reporting form in the study eTMF.</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13.3 Immune-Related Adverse Events (irAEs)</w:t>
      </w:r>
    </w:p>
    <w:p>
      <w:pPr>
        <w:spacing w:before="60" w:after="60"/>
      </w:pPr>
      <w:r>
        <w:rPr>
          <w:rFonts w:ascii="Arial" w:cs="Arial" w:eastAsia="Arial" w:hAnsi="Arial"/>
          <w:b w:val="false"/>
          <w:bCs w:val="false"/>
          <w:color w:val="3C3C3C"/>
          <w:sz w:val="22"/>
          <w:szCs w:val="22"/>
        </w:rPr>
        <w:t xml:space="preserve">Given the mechanism of action of cervimab, immune-related adverse events (irAEs) are an anticipated class effect of PD-1 blockade. Common irAEs include, but are not limited to: immune-related pneumonitis, colitis, hepatitis, endocrinopathies (thyroiditis, hypophysitis, adrenal insufficiency, type 1 diabetes mellitus), nephritis, dermatitis, and neurologic events. A comprehensive irAE management algorithm, including corticosteroid dosing guidance and criteria for additional immunosuppressive therapy (e.g., infliximab for severe colitis, mycophenolate mofetil for hepatitis), is provided in Appendix A.</w:t>
      </w:r>
    </w:p>
    <w:p>
      <w:pPr>
        <w:spacing w:before="0" w:after="60"/>
      </w:pPr>
      <w:r>
        <w:t xml:space="preserve"/>
      </w:r>
    </w:p>
    <w:p>
      <w:pPr>
        <w:spacing w:before="60" w:after="60"/>
      </w:pPr>
      <w:r>
        <w:rPr>
          <w:rFonts w:ascii="Arial" w:cs="Arial" w:eastAsia="Arial" w:hAnsi="Arial"/>
          <w:b w:val="false"/>
          <w:bCs w:val="false"/>
          <w:color w:val="3C3C3C"/>
          <w:sz w:val="22"/>
          <w:szCs w:val="22"/>
        </w:rPr>
        <w:t xml:space="preserve">Investigators should maintain a high index of suspicion for irAEs. All patients should receive written education materials regarding the signs and symptoms of irAEs and carry an alert card at all times during study participation. Investigators should establish an escalation pathway for after-hours irAE management at each site.</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13.4 Data Safety Monitoring Board</w:t>
      </w:r>
    </w:p>
    <w:p>
      <w:pPr>
        <w:spacing w:before="60" w:after="60"/>
      </w:pPr>
      <w:r>
        <w:rPr>
          <w:rFonts w:ascii="Arial" w:cs="Arial" w:eastAsia="Arial" w:hAnsi="Arial"/>
          <w:b w:val="false"/>
          <w:bCs w:val="false"/>
          <w:color w:val="3C3C3C"/>
          <w:sz w:val="22"/>
          <w:szCs w:val="22"/>
        </w:rPr>
        <w:t xml:space="preserve">An independent Data Safety Monitoring Board (DSMB) will be established prior to study initiation. The DSMB will meet at minimum every 6 months and following the pre-specified interim analysis. The DSMB will review unblinded safety data and may recommend study pause, protocol modifications, or early termination based on pre-specified stopping rules. DSMB composition, charter, and stopping rules are defined in the separate DSMB Charter document.</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13.5 Laboratory Safety Monitoring</w:t>
      </w:r>
    </w:p>
    <w:p>
      <w:pPr>
        <w:spacing w:before="60" w:after="60"/>
      </w:pPr>
      <w:r>
        <w:rPr>
          <w:rFonts w:ascii="Arial" w:cs="Arial" w:eastAsia="Arial" w:hAnsi="Arial"/>
          <w:b w:val="false"/>
          <w:bCs w:val="false"/>
          <w:color w:val="3C3C3C"/>
          <w:sz w:val="22"/>
          <w:szCs w:val="22"/>
        </w:rPr>
        <w:t xml:space="preserve">Clinically significant laboratory abnormalities must be followed until resolution or documentation of a chronic baseline value. Any Grade ≥3 laboratory abnormality considered related to cervimab must be reported as an AE. Of particular importance are liver function tests (AST, ALT, bilirubin) for hepatitis monitoring, thyroid function tests, fasting glucose and HbA1c, and morning cortisol for endocrinopathy surveillance.</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14. PHARMACOKINETICS AND IMMUNOGENICITY</w:t>
      </w:r>
    </w:p>
    <w:p>
      <w:pPr>
        <w:pStyle w:val="Heading2"/>
        <w:spacing w:before="280" w:after="80"/>
      </w:pPr>
      <w:r>
        <w:rPr>
          <w:rFonts w:ascii="Arial" w:cs="Arial" w:eastAsia="Arial" w:hAnsi="Arial"/>
          <w:b/>
          <w:bCs/>
          <w:color w:val="2E5FA3"/>
          <w:sz w:val="28"/>
          <w:szCs w:val="28"/>
        </w:rPr>
        <w:t xml:space="preserve">14.1 Pharmacokinetic Sampling</w:t>
      </w:r>
    </w:p>
    <w:p>
      <w:pPr>
        <w:spacing w:before="60" w:after="60"/>
      </w:pPr>
      <w:r>
        <w:rPr>
          <w:rFonts w:ascii="Arial" w:cs="Arial" w:eastAsia="Arial" w:hAnsi="Arial"/>
          <w:b w:val="false"/>
          <w:bCs w:val="false"/>
          <w:color w:val="3C3C3C"/>
          <w:sz w:val="22"/>
          <w:szCs w:val="22"/>
        </w:rPr>
        <w:t xml:space="preserve">Serial blood samples for PK analysis will be collected per the Schedule of Assessments. Intensive PK sampling at Cycle 1 Day 1 will allow characterization of single-dose PK parameters. Trough and end-of-infusion samples at subsequent cycles will be used to characterize PK at steady state and evaluate dose-proportionality across arms.</w:t>
      </w:r>
    </w:p>
    <w:p>
      <w:pPr>
        <w:spacing w:before="0" w:after="60"/>
      </w:pPr>
      <w:r>
        <w:t xml:space="preserve"/>
      </w:r>
    </w:p>
    <w:p>
      <w:pPr>
        <w:spacing w:before="60" w:after="60"/>
      </w:pPr>
      <w:r>
        <w:rPr>
          <w:rFonts w:ascii="Arial" w:cs="Arial" w:eastAsia="Arial" w:hAnsi="Arial"/>
          <w:b w:val="false"/>
          <w:bCs w:val="false"/>
          <w:color w:val="3C3C3C"/>
          <w:sz w:val="22"/>
          <w:szCs w:val="22"/>
        </w:rPr>
        <w:t xml:space="preserve">Key PK parameters to be estimated: Cmax (maximum concentration), AUCtau (area under the concentration-time curve over the dosing interval), Ctrough (pre-dose trough concentration), t1/2 (terminal half-life), CL (systemic clearance), Vd (volume of distribution at steady state). Population PK modeling will be performed to characterize inter-individual variability and identify covariates.</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14.2 Immunogenicity Assessment</w:t>
      </w:r>
    </w:p>
    <w:p>
      <w:pPr>
        <w:spacing w:before="60" w:after="60"/>
      </w:pPr>
      <w:r>
        <w:rPr>
          <w:rFonts w:ascii="Arial" w:cs="Arial" w:eastAsia="Arial" w:hAnsi="Arial"/>
          <w:b w:val="false"/>
          <w:bCs w:val="false"/>
          <w:color w:val="3C3C3C"/>
          <w:sz w:val="22"/>
          <w:szCs w:val="22"/>
        </w:rPr>
        <w:t xml:space="preserve">Serum samples for anti-drug antibody (ADA) testing will be collected pre-dose at Baseline, Cycle 3 Day 1, Cycle 5 Day 1, and every 12 weeks thereafter, as well as at the EOT visit. ADA-positive samples will be further characterized by titer, isotype, and neutralizing antibody (NAb) testing. The impact of ADA on PK, efficacy, and safety will be assessed. All immunogenicity assays will be performed using a validated electrochemiluminescence (ECL) bridging assay at a Sponsor-designated central laboratory.</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15. BIOMARKER AND TRANSLATIONAL RESEARCH</w:t>
      </w:r>
    </w:p>
    <w:p>
      <w:pPr>
        <w:pStyle w:val="Heading2"/>
        <w:spacing w:before="280" w:after="80"/>
      </w:pPr>
      <w:r>
        <w:rPr>
          <w:rFonts w:ascii="Arial" w:cs="Arial" w:eastAsia="Arial" w:hAnsi="Arial"/>
          <w:b/>
          <w:bCs/>
          <w:color w:val="2E5FA3"/>
          <w:sz w:val="28"/>
          <w:szCs w:val="28"/>
        </w:rPr>
        <w:t xml:space="preserve">15.1 Mandatory Biomarker Assessments</w:t>
      </w:r>
    </w:p>
    <w:p>
      <w:pPr>
        <w:pStyle w:val="ListParagraph"/>
        <w:numPr>
          <w:ilvl w:val="0"/>
          <w:numId w:val="2"/>
        </w:numPr>
        <w:spacing w:before="40" w:after="40"/>
      </w:pPr>
      <w:r>
        <w:rPr>
          <w:rFonts w:ascii="Arial" w:cs="Arial" w:eastAsia="Arial" w:hAnsi="Arial"/>
          <w:color w:val="3C3C3C"/>
          <w:sz w:val="22"/>
          <w:szCs w:val="22"/>
        </w:rPr>
        <w:t xml:space="preserve">dMMR/MSI-H confirmation: Central laboratory IHC (MLH1, MSH2, MSH6, PMS2) and MSI PCR/NGS panel from archival FFPE tumor tissue</w:t>
      </w:r>
    </w:p>
    <w:p>
      <w:pPr>
        <w:pStyle w:val="ListParagraph"/>
        <w:numPr>
          <w:ilvl w:val="0"/>
          <w:numId w:val="2"/>
        </w:numPr>
        <w:spacing w:before="40" w:after="40"/>
      </w:pPr>
      <w:r>
        <w:rPr>
          <w:rFonts w:ascii="Arial" w:cs="Arial" w:eastAsia="Arial" w:hAnsi="Arial"/>
          <w:color w:val="3C3C3C"/>
          <w:sz w:val="22"/>
          <w:szCs w:val="22"/>
        </w:rPr>
        <w:t xml:space="preserve">PD-L1 expression: Combined Positive Score (CPS) by IHC (22C3 pharmDx assay, Dako)</w:t>
      </w:r>
    </w:p>
    <w:p>
      <w:pPr>
        <w:pStyle w:val="ListParagraph"/>
        <w:numPr>
          <w:ilvl w:val="0"/>
          <w:numId w:val="2"/>
        </w:numPr>
        <w:spacing w:before="40" w:after="40"/>
      </w:pPr>
      <w:r>
        <w:rPr>
          <w:rFonts w:ascii="Arial" w:cs="Arial" w:eastAsia="Arial" w:hAnsi="Arial"/>
          <w:color w:val="3C3C3C"/>
          <w:sz w:val="22"/>
          <w:szCs w:val="22"/>
        </w:rPr>
        <w:t xml:space="preserve">Tumor Mutational Burden (TMB): Targeted NGS panel (≥1.1 Mb coverage) from archival tissue; blood TMB from cfDNA</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15.2 Exploratory Biomarker Assessments</w:t>
      </w:r>
    </w:p>
    <w:p>
      <w:pPr>
        <w:pStyle w:val="ListParagraph"/>
        <w:numPr>
          <w:ilvl w:val="0"/>
          <w:numId w:val="2"/>
        </w:numPr>
        <w:spacing w:before="40" w:after="40"/>
      </w:pPr>
      <w:r>
        <w:rPr>
          <w:rFonts w:ascii="Arial" w:cs="Arial" w:eastAsia="Arial" w:hAnsi="Arial"/>
          <w:color w:val="3C3C3C"/>
          <w:sz w:val="22"/>
          <w:szCs w:val="22"/>
        </w:rPr>
        <w:t xml:space="preserve">ctDNA dynamics (cfDNA): Serial plasma samples (Baseline, Cycles 2, 4, then Q12W) analyzed by validated NGS panel targeting patient-specific somatic mutations; ctDNA clearance as putative early response biomarker</w:t>
      </w:r>
    </w:p>
    <w:p>
      <w:pPr>
        <w:pStyle w:val="ListParagraph"/>
        <w:numPr>
          <w:ilvl w:val="0"/>
          <w:numId w:val="2"/>
        </w:numPr>
        <w:spacing w:before="40" w:after="40"/>
      </w:pPr>
      <w:r>
        <w:rPr>
          <w:rFonts w:ascii="Arial" w:cs="Arial" w:eastAsia="Arial" w:hAnsi="Arial"/>
          <w:color w:val="3C3C3C"/>
          <w:sz w:val="22"/>
          <w:szCs w:val="22"/>
        </w:rPr>
        <w:t xml:space="preserve">TIL density and spatial distribution: Hematoxylin-eosin staining and digital pathology analysis from archival and optional fresh biopsy</w:t>
      </w:r>
    </w:p>
    <w:p>
      <w:pPr>
        <w:pStyle w:val="ListParagraph"/>
        <w:numPr>
          <w:ilvl w:val="0"/>
          <w:numId w:val="2"/>
        </w:numPr>
        <w:spacing w:before="40" w:after="40"/>
      </w:pPr>
      <w:r>
        <w:rPr>
          <w:rFonts w:ascii="Arial" w:cs="Arial" w:eastAsia="Arial" w:hAnsi="Arial"/>
          <w:color w:val="3C3C3C"/>
          <w:sz w:val="22"/>
          <w:szCs w:val="22"/>
        </w:rPr>
        <w:t xml:space="preserve">Tumor immune gene expression signature: NanoString IO360 or equivalent panel from archival tissue</w:t>
      </w:r>
    </w:p>
    <w:p>
      <w:pPr>
        <w:pStyle w:val="ListParagraph"/>
        <w:numPr>
          <w:ilvl w:val="0"/>
          <w:numId w:val="2"/>
        </w:numPr>
        <w:spacing w:before="40" w:after="40"/>
      </w:pPr>
      <w:r>
        <w:rPr>
          <w:rFonts w:ascii="Arial" w:cs="Arial" w:eastAsia="Arial" w:hAnsi="Arial"/>
          <w:color w:val="3C3C3C"/>
          <w:sz w:val="22"/>
          <w:szCs w:val="22"/>
        </w:rPr>
        <w:t xml:space="preserve">HLA diversity analysis: Whole exome sequencing or targeted HLA typing</w:t>
      </w:r>
    </w:p>
    <w:p>
      <w:pPr>
        <w:pStyle w:val="ListParagraph"/>
        <w:numPr>
          <w:ilvl w:val="0"/>
          <w:numId w:val="2"/>
        </w:numPr>
        <w:spacing w:before="40" w:after="40"/>
      </w:pPr>
      <w:r>
        <w:rPr>
          <w:rFonts w:ascii="Arial" w:cs="Arial" w:eastAsia="Arial" w:hAnsi="Arial"/>
          <w:color w:val="3C3C3C"/>
          <w:sz w:val="22"/>
          <w:szCs w:val="22"/>
        </w:rPr>
        <w:t xml:space="preserve">T-cell receptor (TCR) repertoire: From peripheral blood and optional tumor biopsy at baseline and on-treatment</w:t>
      </w:r>
    </w:p>
    <w:p>
      <w:pPr>
        <w:pStyle w:val="ListParagraph"/>
        <w:numPr>
          <w:ilvl w:val="0"/>
          <w:numId w:val="2"/>
        </w:numPr>
        <w:spacing w:before="40" w:after="40"/>
      </w:pPr>
      <w:r>
        <w:rPr>
          <w:rFonts w:ascii="Arial" w:cs="Arial" w:eastAsia="Arial" w:hAnsi="Arial"/>
          <w:color w:val="3C3C3C"/>
          <w:sz w:val="22"/>
          <w:szCs w:val="22"/>
        </w:rPr>
        <w:t xml:space="preserve">KRAS/BRAF/NRAS mutation status and microsatellite marker allele frequency: From NGS panel</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15.3 Tissue and Sample Repository</w:t>
      </w:r>
    </w:p>
    <w:p>
      <w:pPr>
        <w:spacing w:before="60" w:after="60"/>
      </w:pPr>
      <w:r>
        <w:rPr>
          <w:rFonts w:ascii="Arial" w:cs="Arial" w:eastAsia="Arial" w:hAnsi="Arial"/>
          <w:b w:val="false"/>
          <w:bCs w:val="false"/>
          <w:color w:val="3C3C3C"/>
          <w:sz w:val="22"/>
          <w:szCs w:val="22"/>
        </w:rPr>
        <w:t xml:space="preserve">Residual biological samples (plasma, serum, PBMCs, archival FFPE blocks, optional fresh biopsy material) will be stored at Axiom Biosciences' central biorepository for future biomarker research. Sample collection, processing, storage, and shipment procedures are detailed in the Laboratory Manual. All samples will be stored under appropriate conditions for a minimum of 15 years post-study completion, subject to applicable regulations and patient consent.</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16. STATISTICAL ANALYSIS PLAN OVERVIEW</w:t>
      </w:r>
    </w:p>
    <w:p>
      <w:pPr>
        <w:pStyle w:val="Heading2"/>
        <w:spacing w:before="280" w:after="80"/>
      </w:pPr>
      <w:r>
        <w:rPr>
          <w:rFonts w:ascii="Arial" w:cs="Arial" w:eastAsia="Arial" w:hAnsi="Arial"/>
          <w:b/>
          <w:bCs/>
          <w:color w:val="2E5FA3"/>
          <w:sz w:val="28"/>
          <w:szCs w:val="28"/>
        </w:rPr>
        <w:t xml:space="preserve">16.1 Sample Size</w:t>
      </w:r>
    </w:p>
    <w:p>
      <w:pPr>
        <w:spacing w:before="60" w:after="60"/>
      </w:pPr>
      <w:r>
        <w:rPr>
          <w:rFonts w:ascii="Arial" w:cs="Arial" w:eastAsia="Arial" w:hAnsi="Arial"/>
          <w:b w:val="false"/>
          <w:bCs w:val="false"/>
          <w:color w:val="3C3C3C"/>
          <w:sz w:val="22"/>
          <w:szCs w:val="22"/>
        </w:rPr>
        <w:t xml:space="preserve">The target enrollment of 150 patients (50 per arm) is based on the following assumptions for the primary endpoint (ORR at Week 24):</w:t>
      </w:r>
    </w:p>
    <w:p>
      <w:pPr>
        <w:pStyle w:val="ListParagraph"/>
        <w:numPr>
          <w:ilvl w:val="0"/>
          <w:numId w:val="2"/>
        </w:numPr>
        <w:spacing w:before="40" w:after="40"/>
      </w:pPr>
      <w:r>
        <w:rPr>
          <w:rFonts w:ascii="Arial" w:cs="Arial" w:eastAsia="Arial" w:hAnsi="Arial"/>
          <w:color w:val="3C3C3C"/>
          <w:sz w:val="22"/>
          <w:szCs w:val="22"/>
        </w:rPr>
        <w:t xml:space="preserve">Expected ORR in the reference arm (Arm B, 400 mg Q3W): 45% based on Phase 1 data and published pembrolizumab data in dMMR/MSI-H mCRC</w:t>
      </w:r>
    </w:p>
    <w:p>
      <w:pPr>
        <w:pStyle w:val="ListParagraph"/>
        <w:numPr>
          <w:ilvl w:val="0"/>
          <w:numId w:val="2"/>
        </w:numPr>
        <w:spacing w:before="40" w:after="40"/>
      </w:pPr>
      <w:r>
        <w:rPr>
          <w:rFonts w:ascii="Arial" w:cs="Arial" w:eastAsia="Arial" w:hAnsi="Arial"/>
          <w:color w:val="3C3C3C"/>
          <w:sz w:val="22"/>
          <w:szCs w:val="22"/>
        </w:rPr>
        <w:t xml:space="preserve">Minimum clinically meaningful difference detectable: 15% absolute difference between arms</w:t>
      </w:r>
    </w:p>
    <w:p>
      <w:pPr>
        <w:pStyle w:val="ListParagraph"/>
        <w:numPr>
          <w:ilvl w:val="0"/>
          <w:numId w:val="2"/>
        </w:numPr>
        <w:spacing w:before="40" w:after="40"/>
      </w:pPr>
      <w:r>
        <w:rPr>
          <w:rFonts w:ascii="Arial" w:cs="Arial" w:eastAsia="Arial" w:hAnsi="Arial"/>
          <w:color w:val="3C3C3C"/>
          <w:sz w:val="22"/>
          <w:szCs w:val="22"/>
        </w:rPr>
        <w:t xml:space="preserve">The dose-selection Bayesian adaptive design provides approximately 80% probability of correctly selecting the arm with the highest ORR when the true difference is ≥15%</w:t>
      </w:r>
    </w:p>
    <w:p>
      <w:pPr>
        <w:pStyle w:val="ListParagraph"/>
        <w:numPr>
          <w:ilvl w:val="0"/>
          <w:numId w:val="2"/>
        </w:numPr>
        <w:spacing w:before="40" w:after="40"/>
      </w:pPr>
      <w:r>
        <w:rPr>
          <w:rFonts w:ascii="Arial" w:cs="Arial" w:eastAsia="Arial" w:hAnsi="Arial"/>
          <w:color w:val="3C3C3C"/>
          <w:sz w:val="22"/>
          <w:szCs w:val="22"/>
        </w:rPr>
        <w:t xml:space="preserve">Assuming 10% non-evaluable rate, 50 randomized patients per arm provides 45 evaluable patients per arm</w:t>
      </w:r>
    </w:p>
    <w:p>
      <w:pPr>
        <w:pStyle w:val="ListParagraph"/>
        <w:numPr>
          <w:ilvl w:val="0"/>
          <w:numId w:val="2"/>
        </w:numPr>
        <w:spacing w:before="40" w:after="40"/>
      </w:pPr>
      <w:r>
        <w:rPr>
          <w:rFonts w:ascii="Arial" w:cs="Arial" w:eastAsia="Arial" w:hAnsi="Arial"/>
          <w:color w:val="3C3C3C"/>
          <w:sz w:val="22"/>
          <w:szCs w:val="22"/>
        </w:rPr>
        <w:t xml:space="preserve">This sample size also provides 80% power to detect a 20% absolute difference in ORR between the selected dose arm and the reference arm in the final confirmatory analysis (one-sided alpha = 0.10)</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16.2 Analysis Populations</w:t>
      </w:r>
    </w:p>
    <w:p>
      <w:pPr>
        <w:pStyle w:val="ListParagraph"/>
        <w:numPr>
          <w:ilvl w:val="0"/>
          <w:numId w:val="2"/>
        </w:numPr>
        <w:spacing w:before="40" w:after="40"/>
      </w:pPr>
      <w:r>
        <w:rPr>
          <w:rFonts w:ascii="Arial" w:cs="Arial" w:eastAsia="Arial" w:hAnsi="Arial"/>
          <w:color w:val="3C3C3C"/>
          <w:sz w:val="22"/>
          <w:szCs w:val="22"/>
        </w:rPr>
        <w:t xml:space="preserve">Intent-to-Treat (ITT) Population: All randomized patients, analyzed according to assigned dose arm; primary efficacy analysis population</w:t>
      </w:r>
    </w:p>
    <w:p>
      <w:pPr>
        <w:pStyle w:val="ListParagraph"/>
        <w:numPr>
          <w:ilvl w:val="0"/>
          <w:numId w:val="2"/>
        </w:numPr>
        <w:spacing w:before="40" w:after="40"/>
      </w:pPr>
      <w:r>
        <w:rPr>
          <w:rFonts w:ascii="Arial" w:cs="Arial" w:eastAsia="Arial" w:hAnsi="Arial"/>
          <w:color w:val="3C3C3C"/>
          <w:sz w:val="22"/>
          <w:szCs w:val="22"/>
        </w:rPr>
        <w:t xml:space="preserve">Per-Protocol (PP) Population: All ITT patients who received ≥2 doses of cervimab and had ≥1 post-baseline tumor assessment</w:t>
      </w:r>
    </w:p>
    <w:p>
      <w:pPr>
        <w:pStyle w:val="ListParagraph"/>
        <w:numPr>
          <w:ilvl w:val="0"/>
          <w:numId w:val="2"/>
        </w:numPr>
        <w:spacing w:before="40" w:after="40"/>
      </w:pPr>
      <w:r>
        <w:rPr>
          <w:rFonts w:ascii="Arial" w:cs="Arial" w:eastAsia="Arial" w:hAnsi="Arial"/>
          <w:color w:val="3C3C3C"/>
          <w:sz w:val="22"/>
          <w:szCs w:val="22"/>
        </w:rPr>
        <w:t xml:space="preserve">Safety Population: All patients who received ≥1 dose of cervimab, analyzed according to actual dose received</w:t>
      </w:r>
    </w:p>
    <w:p>
      <w:pPr>
        <w:pStyle w:val="ListParagraph"/>
        <w:numPr>
          <w:ilvl w:val="0"/>
          <w:numId w:val="2"/>
        </w:numPr>
        <w:spacing w:before="40" w:after="40"/>
      </w:pPr>
      <w:r>
        <w:rPr>
          <w:rFonts w:ascii="Arial" w:cs="Arial" w:eastAsia="Arial" w:hAnsi="Arial"/>
          <w:color w:val="3C3C3C"/>
          <w:sz w:val="22"/>
          <w:szCs w:val="22"/>
        </w:rPr>
        <w:t xml:space="preserve">PK Analysis Population: All patients in the Safety Population with ≥1 evaluable PK sample</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16.3 Primary Efficacy Analysis</w:t>
      </w:r>
    </w:p>
    <w:p>
      <w:pPr>
        <w:spacing w:before="60" w:after="60"/>
      </w:pPr>
      <w:r>
        <w:rPr>
          <w:rFonts w:ascii="Arial" w:cs="Arial" w:eastAsia="Arial" w:hAnsi="Arial"/>
          <w:b w:val="false"/>
          <w:bCs w:val="false"/>
          <w:color w:val="3C3C3C"/>
          <w:sz w:val="22"/>
          <w:szCs w:val="22"/>
        </w:rPr>
        <w:t xml:space="preserve">The primary endpoint (ORR at Week 24 per BICR) will be analyzed using an exact binomial test for each pairwise comparison versus the reference arm (Arm B). A 90% confidence interval (Wilson method) will be calculated for ORR in each arm. The Bayesian dose-selection analysis will use a beta-binomial model with non-informative priors. Multiplicity adjustment will be performed using the Bonferroni method for the two pairwise comparisons (alpha = 0.05 per comparison at one-sided alpha = 0.10).</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16.4 Secondary Efficacy Analyses</w:t>
      </w:r>
    </w:p>
    <w:p>
      <w:pPr>
        <w:pStyle w:val="ListParagraph"/>
        <w:numPr>
          <w:ilvl w:val="0"/>
          <w:numId w:val="2"/>
        </w:numPr>
        <w:spacing w:before="40" w:after="40"/>
      </w:pPr>
      <w:r>
        <w:rPr>
          <w:rFonts w:ascii="Arial" w:cs="Arial" w:eastAsia="Arial" w:hAnsi="Arial"/>
          <w:color w:val="3C3C3C"/>
          <w:sz w:val="22"/>
          <w:szCs w:val="22"/>
        </w:rPr>
        <w:t xml:space="preserve">PFS and OS: Kaplan-Meier method with log-rank test for pairwise comparisons; Cox proportional hazards model for hazard ratios with 95% CI; censoring rules per RECIST v1.1</w:t>
      </w:r>
    </w:p>
    <w:p>
      <w:pPr>
        <w:pStyle w:val="ListParagraph"/>
        <w:numPr>
          <w:ilvl w:val="0"/>
          <w:numId w:val="2"/>
        </w:numPr>
        <w:spacing w:before="40" w:after="40"/>
      </w:pPr>
      <w:r>
        <w:rPr>
          <w:rFonts w:ascii="Arial" w:cs="Arial" w:eastAsia="Arial" w:hAnsi="Arial"/>
          <w:color w:val="3C3C3C"/>
          <w:sz w:val="22"/>
          <w:szCs w:val="22"/>
        </w:rPr>
        <w:t xml:space="preserve">DOR: Kaplan-Meier analysis in responders</w:t>
      </w:r>
    </w:p>
    <w:p>
      <w:pPr>
        <w:pStyle w:val="ListParagraph"/>
        <w:numPr>
          <w:ilvl w:val="0"/>
          <w:numId w:val="2"/>
        </w:numPr>
        <w:spacing w:before="40" w:after="40"/>
      </w:pPr>
      <w:r>
        <w:rPr>
          <w:rFonts w:ascii="Arial" w:cs="Arial" w:eastAsia="Arial" w:hAnsi="Arial"/>
          <w:color w:val="3C3C3C"/>
          <w:sz w:val="22"/>
          <w:szCs w:val="22"/>
        </w:rPr>
        <w:t xml:space="preserve">DCR: Exact binomial proportions with 90% CI</w:t>
      </w:r>
    </w:p>
    <w:p>
      <w:pPr>
        <w:pStyle w:val="ListParagraph"/>
        <w:numPr>
          <w:ilvl w:val="0"/>
          <w:numId w:val="2"/>
        </w:numPr>
        <w:spacing w:before="40" w:after="40"/>
      </w:pPr>
      <w:r>
        <w:rPr>
          <w:rFonts w:ascii="Arial" w:cs="Arial" w:eastAsia="Arial" w:hAnsi="Arial"/>
          <w:color w:val="3C3C3C"/>
          <w:sz w:val="22"/>
          <w:szCs w:val="22"/>
        </w:rPr>
        <w:t xml:space="preserve">PRO analyses: Mixed-effects model for repeated measures (MMRM); analysis performed separately for EORTC QLQ-C30 global health score and individual domain scores</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16.5 Subgroup and Exploratory Analyses</w:t>
      </w:r>
    </w:p>
    <w:p>
      <w:pPr>
        <w:spacing w:before="60" w:after="60"/>
      </w:pPr>
      <w:r>
        <w:rPr>
          <w:rFonts w:ascii="Arial" w:cs="Arial" w:eastAsia="Arial" w:hAnsi="Arial"/>
          <w:b w:val="false"/>
          <w:bCs w:val="false"/>
          <w:color w:val="3C3C3C"/>
          <w:sz w:val="22"/>
          <w:szCs w:val="22"/>
        </w:rPr>
        <w:t xml:space="preserve">Pre-specified subgroup analyses will be performed for ORR and PFS by: PD-L1 CPS (&lt;1, 1-10, ≥10), TMB (&lt; vs. ≥10 mut/Mb), ECOG PS (0 vs. 1), KRAS mutation status, and number of metastatic sites. Biomarker analyses will explore associations between baseline and on-treatment biomarkers (ctDNA, PD-L1, TMB, TIL) and clinical outcomes using logistic regression, Cox regression, and landmark analyses as appropriate.</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17. DATA MANAGEMENT</w:t>
      </w:r>
    </w:p>
    <w:p>
      <w:pPr>
        <w:spacing w:before="60" w:after="60"/>
      </w:pPr>
      <w:r>
        <w:rPr>
          <w:rFonts w:ascii="Arial" w:cs="Arial" w:eastAsia="Arial" w:hAnsi="Arial"/>
          <w:b w:val="false"/>
          <w:bCs w:val="false"/>
          <w:color w:val="3C3C3C"/>
          <w:sz w:val="22"/>
          <w:szCs w:val="22"/>
        </w:rPr>
        <w:t xml:space="preserve">Clinical data will be captured in a validated electronic data capture (EDC) system (Medidata Rave CTMS). Sponsor data managers will perform ongoing data review, including automated edit checks and manual query generation. Source document verification will be conducted per the monitoring plan. All data management activities will comply with ICH E6(R2) GCP and 21 CFR Part 11 requirements for electronic records and electronic signatures.</w:t>
      </w:r>
    </w:p>
    <w:p>
      <w:pPr>
        <w:spacing w:before="0" w:after="60"/>
      </w:pPr>
      <w:r>
        <w:t xml:space="preserve"/>
      </w:r>
    </w:p>
    <w:p>
      <w:pPr>
        <w:spacing w:before="60" w:after="60"/>
      </w:pPr>
      <w:r>
        <w:rPr>
          <w:rFonts w:ascii="Arial" w:cs="Arial" w:eastAsia="Arial" w:hAnsi="Arial"/>
          <w:b w:val="false"/>
          <w:bCs w:val="false"/>
          <w:color w:val="3C3C3C"/>
          <w:sz w:val="22"/>
          <w:szCs w:val="22"/>
        </w:rPr>
        <w:t xml:space="preserve">The study will maintain a Trial Master File (TMF) per ICH E6(R2) requirements. Essential documents will be retained for a minimum of 15 years after study completion or as required by local regulatory requirements, whichever is longer. Radiological imaging data will be managed by an independent central imaging vendor per a separate imaging charter.</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18. ETHICAL CONSIDERATIONS</w:t>
      </w:r>
    </w:p>
    <w:p>
      <w:pPr>
        <w:pStyle w:val="Heading2"/>
        <w:spacing w:before="280" w:after="80"/>
      </w:pPr>
      <w:r>
        <w:rPr>
          <w:rFonts w:ascii="Arial" w:cs="Arial" w:eastAsia="Arial" w:hAnsi="Arial"/>
          <w:b/>
          <w:bCs/>
          <w:color w:val="2E5FA3"/>
          <w:sz w:val="28"/>
          <w:szCs w:val="28"/>
        </w:rPr>
        <w:t xml:space="preserve">18.1 Regulatory and Ethical Framework</w:t>
      </w:r>
    </w:p>
    <w:p>
      <w:pPr>
        <w:spacing w:before="60" w:after="60"/>
      </w:pPr>
      <w:r>
        <w:rPr>
          <w:rFonts w:ascii="Arial" w:cs="Arial" w:eastAsia="Arial" w:hAnsi="Arial"/>
          <w:b w:val="false"/>
          <w:bCs w:val="false"/>
          <w:color w:val="3C3C3C"/>
          <w:sz w:val="22"/>
          <w:szCs w:val="22"/>
        </w:rPr>
        <w:t xml:space="preserve">This study will be conducted in accordance with: the ethical principles originating in the Declaration of Helsinki (WMA, 2013 revision); ICH E6(R2) Guideline for Good Clinical Practice; applicable national and local regulatory requirements including 21 CFR Parts 50, 54, 56, and 312 (United States) and equivalent regulations in other participating countries; and the Sponsor's standard operating procedures.</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18.2 Institutional Review Board / Independent Ethics Committee</w:t>
      </w:r>
    </w:p>
    <w:p>
      <w:pPr>
        <w:spacing w:before="60" w:after="60"/>
      </w:pPr>
      <w:r>
        <w:rPr>
          <w:rFonts w:ascii="Arial" w:cs="Arial" w:eastAsia="Arial" w:hAnsi="Arial"/>
          <w:b w:val="false"/>
          <w:bCs w:val="false"/>
          <w:color w:val="3C3C3C"/>
          <w:sz w:val="22"/>
          <w:szCs w:val="22"/>
        </w:rPr>
        <w:t xml:space="preserve">The protocol, informed consent form, patient information sheets, DSMB charter, and all patient-facing materials must be reviewed and approved by the relevant Institutional Review Board (IRB) or Independent Ethics Committee (IEC) at each participating site prior to initiation of any study activities. Any subsequent protocol amendments must also receive IRB/IEC approval before implementation (except where immediate implementation is necessary for patient safety). Investigators must maintain documentation of all IRB/IEC approvals.</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18.3 Informed Consent</w:t>
      </w:r>
    </w:p>
    <w:p>
      <w:pPr>
        <w:spacing w:before="60" w:after="60"/>
      </w:pPr>
      <w:r>
        <w:rPr>
          <w:rFonts w:ascii="Arial" w:cs="Arial" w:eastAsia="Arial" w:hAnsi="Arial"/>
          <w:b w:val="false"/>
          <w:bCs w:val="false"/>
          <w:color w:val="3C3C3C"/>
          <w:sz w:val="22"/>
          <w:szCs w:val="22"/>
        </w:rPr>
        <w:t xml:space="preserve">Informed consent must be obtained from each patient before any study-related procedures are performed. The informed consent process must allow adequate time for the patient to consider participation, ask questions, and review the consent document. Consent must be documented by the patient's signature and date on the ICF. Special attention must be given to patients with diminished autonomy. Remote or electronic consent is permitted where allowed by local regulations and with documented IRB/IEC approval.</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18.4 Privacy and Data Protection</w:t>
      </w:r>
    </w:p>
    <w:p>
      <w:pPr>
        <w:spacing w:before="60" w:after="60"/>
      </w:pPr>
      <w:r>
        <w:rPr>
          <w:rFonts w:ascii="Arial" w:cs="Arial" w:eastAsia="Arial" w:hAnsi="Arial"/>
          <w:b w:val="false"/>
          <w:bCs w:val="false"/>
          <w:color w:val="3C3C3C"/>
          <w:sz w:val="22"/>
          <w:szCs w:val="22"/>
        </w:rPr>
        <w:t xml:space="preserve">Patient privacy will be protected in accordance with applicable regulations including the Health Insurance Portability and Accountability Act (HIPAA, United States), the General Data Protection Regulation (GDPR, European Union), and equivalent national data protection laws. Patients will be identified in all study documents by subject identification number only. A patient identification log linking the subject ID to the patient's identity will be maintained confidentially at each site.</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19. REGULATORY COMPLIANCE</w:t>
      </w:r>
    </w:p>
    <w:p>
      <w:pPr>
        <w:pStyle w:val="Heading2"/>
        <w:spacing w:before="280" w:after="80"/>
      </w:pPr>
      <w:r>
        <w:rPr>
          <w:rFonts w:ascii="Arial" w:cs="Arial" w:eastAsia="Arial" w:hAnsi="Arial"/>
          <w:b/>
          <w:bCs/>
          <w:color w:val="2E5FA3"/>
          <w:sz w:val="28"/>
          <w:szCs w:val="28"/>
        </w:rPr>
        <w:t xml:space="preserve">19.1 IND Requirements</w:t>
      </w:r>
    </w:p>
    <w:p>
      <w:pPr>
        <w:spacing w:before="60" w:after="60"/>
      </w:pPr>
      <w:r>
        <w:rPr>
          <w:rFonts w:ascii="Arial" w:cs="Arial" w:eastAsia="Arial" w:hAnsi="Arial"/>
          <w:b w:val="false"/>
          <w:bCs w:val="false"/>
          <w:color w:val="3C3C3C"/>
          <w:sz w:val="22"/>
          <w:szCs w:val="22"/>
        </w:rPr>
        <w:t xml:space="preserve">This study is conducted under an active IND (IND [XXXXX]) filed with the FDA Center for Drug Evaluation and Research (CDER), Division of Oncology Products 1 (DOP1). Annual IND progress reports will be submitted within 60 days of the IND anniversary date per 21 CFR 312.33. All protocol amendments, safety reports, and other required IND submissions will be filed in accordance with 21 CFR Part 312.</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19.2 Expedited Safety Reporting</w:t>
      </w:r>
    </w:p>
    <w:p>
      <w:pPr>
        <w:spacing w:before="60" w:after="60"/>
      </w:pPr>
      <w:r>
        <w:rPr>
          <w:rFonts w:ascii="Arial" w:cs="Arial" w:eastAsia="Arial" w:hAnsi="Arial"/>
          <w:b w:val="false"/>
          <w:bCs w:val="false"/>
          <w:color w:val="3C3C3C"/>
          <w:sz w:val="22"/>
          <w:szCs w:val="22"/>
        </w:rPr>
        <w:t xml:space="preserve">All IND Safety Reports will be submitted in accordance with 21 CFR 312.32. Unexpected fatal or life-threatening suspected unexpected serious adverse reactions (SUSARs) must be reported to FDA within 7 calendar days. All other unexpected SUSARs must be reported within 15 calendar days. Reporting to non-US competent authorities will comply with applicable local requirements (e.g., SUSAR reporting to EMA per Directive 2001/20/EC and Regulation (EU) No 536/2014).</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19.3 Protocol Deviations</w:t>
      </w:r>
    </w:p>
    <w:p>
      <w:pPr>
        <w:spacing w:before="60" w:after="60"/>
      </w:pPr>
      <w:r>
        <w:rPr>
          <w:rFonts w:ascii="Arial" w:cs="Arial" w:eastAsia="Arial" w:hAnsi="Arial"/>
          <w:b w:val="false"/>
          <w:bCs w:val="false"/>
          <w:color w:val="3C3C3C"/>
          <w:sz w:val="22"/>
          <w:szCs w:val="22"/>
        </w:rPr>
        <w:t xml:space="preserve">All protocol deviations (including important deviations affecting patient safety, data integrity, or GCP compliance) must be documented, reported to the Sponsor within 5 business days, and submitted to the IRB/IEC per local requirements. A root cause analysis and corrective action/preventive action (CAPA) plan must be completed for all important protocol deviations. Deviations will be reviewed at each monitoring visit and summarized in the clinical study report.</w:t>
      </w:r>
    </w:p>
    <w:p>
      <w:pPr>
        <w:spacing w:before="0" w:after="60"/>
      </w:pPr>
      <w:r>
        <w:t xml:space="preserve"/>
      </w:r>
    </w:p>
    <w:p>
      <w:pPr>
        <w:pStyle w:val="Heading2"/>
        <w:spacing w:before="280" w:after="80"/>
      </w:pPr>
      <w:r>
        <w:rPr>
          <w:rFonts w:ascii="Arial" w:cs="Arial" w:eastAsia="Arial" w:hAnsi="Arial"/>
          <w:b/>
          <w:bCs/>
          <w:color w:val="2E5FA3"/>
          <w:sz w:val="28"/>
          <w:szCs w:val="28"/>
        </w:rPr>
        <w:t xml:space="preserve">19.4 Applicable Guidelines and Regulations</w:t>
      </w:r>
    </w:p>
    <w:p>
      <w:pPr>
        <w:pStyle w:val="ListParagraph"/>
        <w:numPr>
          <w:ilvl w:val="0"/>
          <w:numId w:val="2"/>
        </w:numPr>
        <w:spacing w:before="40" w:after="40"/>
      </w:pPr>
      <w:r>
        <w:rPr>
          <w:rFonts w:ascii="Arial" w:cs="Arial" w:eastAsia="Arial" w:hAnsi="Arial"/>
          <w:color w:val="3C3C3C"/>
          <w:sz w:val="22"/>
          <w:szCs w:val="22"/>
        </w:rPr>
        <w:t xml:space="preserve">ICH E6(R2): Good Clinical Practice</w:t>
      </w:r>
    </w:p>
    <w:p>
      <w:pPr>
        <w:pStyle w:val="ListParagraph"/>
        <w:numPr>
          <w:ilvl w:val="0"/>
          <w:numId w:val="2"/>
        </w:numPr>
        <w:spacing w:before="40" w:after="40"/>
      </w:pPr>
      <w:r>
        <w:rPr>
          <w:rFonts w:ascii="Arial" w:cs="Arial" w:eastAsia="Arial" w:hAnsi="Arial"/>
          <w:color w:val="3C3C3C"/>
          <w:sz w:val="22"/>
          <w:szCs w:val="22"/>
        </w:rPr>
        <w:t xml:space="preserve">ICH E8(R1): General Considerations for Clinical Studies</w:t>
      </w:r>
    </w:p>
    <w:p>
      <w:pPr>
        <w:pStyle w:val="ListParagraph"/>
        <w:numPr>
          <w:ilvl w:val="0"/>
          <w:numId w:val="2"/>
        </w:numPr>
        <w:spacing w:before="40" w:after="40"/>
      </w:pPr>
      <w:r>
        <w:rPr>
          <w:rFonts w:ascii="Arial" w:cs="Arial" w:eastAsia="Arial" w:hAnsi="Arial"/>
          <w:color w:val="3C3C3C"/>
          <w:sz w:val="22"/>
          <w:szCs w:val="22"/>
        </w:rPr>
        <w:t xml:space="preserve">ICH E9(R1): Statistical Principles for Clinical Trials</w:t>
      </w:r>
    </w:p>
    <w:p>
      <w:pPr>
        <w:pStyle w:val="ListParagraph"/>
        <w:numPr>
          <w:ilvl w:val="0"/>
          <w:numId w:val="2"/>
        </w:numPr>
        <w:spacing w:before="40" w:after="40"/>
      </w:pPr>
      <w:r>
        <w:rPr>
          <w:rFonts w:ascii="Arial" w:cs="Arial" w:eastAsia="Arial" w:hAnsi="Arial"/>
          <w:color w:val="3C3C3C"/>
          <w:sz w:val="22"/>
          <w:szCs w:val="22"/>
        </w:rPr>
        <w:t xml:space="preserve">ICH E14: Clinical Evaluation of QT/QTc Interval Prolongation (not applicable; no anticipated cardiac signal)</w:t>
      </w:r>
    </w:p>
    <w:p>
      <w:pPr>
        <w:pStyle w:val="ListParagraph"/>
        <w:numPr>
          <w:ilvl w:val="0"/>
          <w:numId w:val="2"/>
        </w:numPr>
        <w:spacing w:before="40" w:after="40"/>
      </w:pPr>
      <w:r>
        <w:rPr>
          <w:rFonts w:ascii="Arial" w:cs="Arial" w:eastAsia="Arial" w:hAnsi="Arial"/>
          <w:color w:val="3C3C3C"/>
          <w:sz w:val="22"/>
          <w:szCs w:val="22"/>
        </w:rPr>
        <w:t xml:space="preserve">21 CFR Parts 50, 54, 56, 312 (United States)</w:t>
      </w:r>
    </w:p>
    <w:p>
      <w:pPr>
        <w:pStyle w:val="ListParagraph"/>
        <w:numPr>
          <w:ilvl w:val="0"/>
          <w:numId w:val="2"/>
        </w:numPr>
        <w:spacing w:before="40" w:after="40"/>
      </w:pPr>
      <w:r>
        <w:rPr>
          <w:rFonts w:ascii="Arial" w:cs="Arial" w:eastAsia="Arial" w:hAnsi="Arial"/>
          <w:color w:val="3C3C3C"/>
          <w:sz w:val="22"/>
          <w:szCs w:val="22"/>
        </w:rPr>
        <w:t xml:space="preserve">FDA Guidance: Cancer Clinical Trial Endpoints (2018)</w:t>
      </w:r>
    </w:p>
    <w:p>
      <w:pPr>
        <w:pStyle w:val="ListParagraph"/>
        <w:numPr>
          <w:ilvl w:val="0"/>
          <w:numId w:val="2"/>
        </w:numPr>
        <w:spacing w:before="40" w:after="40"/>
      </w:pPr>
      <w:r>
        <w:rPr>
          <w:rFonts w:ascii="Arial" w:cs="Arial" w:eastAsia="Arial" w:hAnsi="Arial"/>
          <w:color w:val="3C3C3C"/>
          <w:sz w:val="22"/>
          <w:szCs w:val="22"/>
        </w:rPr>
        <w:t xml:space="preserve">FDA Guidance: Adaptive Designs for Clinical Trials of Drugs and Biologics (2019)</w:t>
      </w:r>
    </w:p>
    <w:p>
      <w:pPr>
        <w:pStyle w:val="ListParagraph"/>
        <w:numPr>
          <w:ilvl w:val="0"/>
          <w:numId w:val="2"/>
        </w:numPr>
        <w:spacing w:before="40" w:after="40"/>
      </w:pPr>
      <w:r>
        <w:rPr>
          <w:rFonts w:ascii="Arial" w:cs="Arial" w:eastAsia="Arial" w:hAnsi="Arial"/>
          <w:color w:val="3C3C3C"/>
          <w:sz w:val="22"/>
          <w:szCs w:val="22"/>
        </w:rPr>
        <w:t xml:space="preserve">FDA Guidance: Oncology Drug Approval Standards</w:t>
      </w:r>
    </w:p>
    <w:p>
      <w:pPr>
        <w:pStyle w:val="ListParagraph"/>
        <w:numPr>
          <w:ilvl w:val="0"/>
          <w:numId w:val="2"/>
        </w:numPr>
        <w:spacing w:before="40" w:after="40"/>
      </w:pPr>
      <w:r>
        <w:rPr>
          <w:rFonts w:ascii="Arial" w:cs="Arial" w:eastAsia="Arial" w:hAnsi="Arial"/>
          <w:color w:val="3C3C3C"/>
          <w:sz w:val="22"/>
          <w:szCs w:val="22"/>
        </w:rPr>
        <w:t xml:space="preserve">EMA Guideline: Evaluation of Anticancer Medicinal Products in Man (EMA/CHMP/205/95)</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20. REFERENCES</w:t>
      </w:r>
    </w:p>
    <w:p>
      <w:pPr>
        <w:pStyle w:val="ListParagraph"/>
        <w:numPr>
          <w:ilvl w:val="0"/>
          <w:numId w:val="3"/>
        </w:numPr>
        <w:spacing w:before="40" w:after="40"/>
      </w:pPr>
      <w:r>
        <w:rPr>
          <w:rFonts w:ascii="Arial" w:cs="Arial" w:eastAsia="Arial" w:hAnsi="Arial"/>
          <w:color w:val="3C3C3C"/>
          <w:sz w:val="22"/>
          <w:szCs w:val="22"/>
        </w:rPr>
        <w:t xml:space="preserve">Andre T, Shiu KK, Kim TW, et al. Pembrolizumab in microsatellite-instability-high advanced colorectal cancer. N Engl J Med. 2020;383(23):2207-2218.</w:t>
      </w:r>
    </w:p>
    <w:p>
      <w:pPr>
        <w:pStyle w:val="ListParagraph"/>
        <w:numPr>
          <w:ilvl w:val="0"/>
          <w:numId w:val="3"/>
        </w:numPr>
        <w:spacing w:before="40" w:after="40"/>
      </w:pPr>
      <w:r>
        <w:rPr>
          <w:rFonts w:ascii="Arial" w:cs="Arial" w:eastAsia="Arial" w:hAnsi="Arial"/>
          <w:color w:val="3C3C3C"/>
          <w:sz w:val="22"/>
          <w:szCs w:val="22"/>
        </w:rPr>
        <w:t xml:space="preserve">Overman MJ, McDermott R, Leach JL, et al. Nivolumab in patients with metastatic DNA mismatch repair-deficient or microsatellite instability-high colorectal cancer (CheckMate 142): an open-label, multicentre, phase 2 study. Lancet Oncol. 2017;18(9):1182-1191.</w:t>
      </w:r>
    </w:p>
    <w:p>
      <w:pPr>
        <w:pStyle w:val="ListParagraph"/>
        <w:numPr>
          <w:ilvl w:val="0"/>
          <w:numId w:val="3"/>
        </w:numPr>
        <w:spacing w:before="40" w:after="40"/>
      </w:pPr>
      <w:r>
        <w:rPr>
          <w:rFonts w:ascii="Arial" w:cs="Arial" w:eastAsia="Arial" w:hAnsi="Arial"/>
          <w:color w:val="3C3C3C"/>
          <w:sz w:val="22"/>
          <w:szCs w:val="22"/>
        </w:rPr>
        <w:t xml:space="preserve">Eisenhauer EA, Therasse P, Bogaerts J, et al. New response evaluation criteria in solid tumours: revised RECIST guideline (version 1.1). Eur J Cancer. 2009;45(2):228-247.</w:t>
      </w:r>
    </w:p>
    <w:p>
      <w:pPr>
        <w:pStyle w:val="ListParagraph"/>
        <w:numPr>
          <w:ilvl w:val="0"/>
          <w:numId w:val="3"/>
        </w:numPr>
        <w:spacing w:before="40" w:after="40"/>
      </w:pPr>
      <w:r>
        <w:rPr>
          <w:rFonts w:ascii="Arial" w:cs="Arial" w:eastAsia="Arial" w:hAnsi="Arial"/>
          <w:color w:val="3C3C3C"/>
          <w:sz w:val="22"/>
          <w:szCs w:val="22"/>
        </w:rPr>
        <w:t xml:space="preserve">Le DT, Durham JN, Smith KN, et al. Mismatch repair deficiency predicts response of solid tumors to PD-1 blockade. Science. 2017;357(6349):409-413.</w:t>
      </w:r>
    </w:p>
    <w:p>
      <w:pPr>
        <w:pStyle w:val="ListParagraph"/>
        <w:numPr>
          <w:ilvl w:val="0"/>
          <w:numId w:val="3"/>
        </w:numPr>
        <w:spacing w:before="40" w:after="40"/>
      </w:pPr>
      <w:r>
        <w:rPr>
          <w:rFonts w:ascii="Arial" w:cs="Arial" w:eastAsia="Arial" w:hAnsi="Arial"/>
          <w:color w:val="3C3C3C"/>
          <w:sz w:val="22"/>
          <w:szCs w:val="22"/>
        </w:rPr>
        <w:t xml:space="preserve">Fuchs CS, Doi T, Jang RW, et al. Safety and efficacy of pembrolizumab monotherapy in patients with previously treated advanced gastric and gastroesophageal junction cancer: Phase 2 clinical KEYNOTE-059 trial. JAMA Oncol. 2018;4(5):e180013.</w:t>
      </w:r>
    </w:p>
    <w:p>
      <w:pPr>
        <w:pStyle w:val="ListParagraph"/>
        <w:numPr>
          <w:ilvl w:val="0"/>
          <w:numId w:val="3"/>
        </w:numPr>
        <w:spacing w:before="40" w:after="40"/>
      </w:pPr>
      <w:r>
        <w:rPr>
          <w:rFonts w:ascii="Arial" w:cs="Arial" w:eastAsia="Arial" w:hAnsi="Arial"/>
          <w:color w:val="3C3C3C"/>
          <w:sz w:val="22"/>
          <w:szCs w:val="22"/>
        </w:rPr>
        <w:t xml:space="preserve">US Food and Drug Administration. Guidance for Industry: Cancer Clinical Trial Endpoints. April 2018.</w:t>
      </w:r>
    </w:p>
    <w:p>
      <w:pPr>
        <w:pStyle w:val="ListParagraph"/>
        <w:numPr>
          <w:ilvl w:val="0"/>
          <w:numId w:val="3"/>
        </w:numPr>
        <w:spacing w:before="40" w:after="40"/>
      </w:pPr>
      <w:r>
        <w:rPr>
          <w:rFonts w:ascii="Arial" w:cs="Arial" w:eastAsia="Arial" w:hAnsi="Arial"/>
          <w:color w:val="3C3C3C"/>
          <w:sz w:val="22"/>
          <w:szCs w:val="22"/>
        </w:rPr>
        <w:t xml:space="preserve">US Food and Drug Administration. Guidance for Industry: Adaptive Designs for Clinical Trials of Drugs and Biologics. December 2019.</w:t>
      </w:r>
    </w:p>
    <w:p>
      <w:pPr>
        <w:pStyle w:val="ListParagraph"/>
        <w:numPr>
          <w:ilvl w:val="0"/>
          <w:numId w:val="3"/>
        </w:numPr>
        <w:spacing w:before="40" w:after="40"/>
      </w:pPr>
      <w:r>
        <w:rPr>
          <w:rFonts w:ascii="Arial" w:cs="Arial" w:eastAsia="Arial" w:hAnsi="Arial"/>
          <w:color w:val="3C3C3C"/>
          <w:sz w:val="22"/>
          <w:szCs w:val="22"/>
        </w:rPr>
        <w:t xml:space="preserve">International Council for Harmonisation. ICH E6(R2) Good Clinical Practice: Integrated Addendum. November 2016.</w:t>
      </w:r>
    </w:p>
    <w:p>
      <w:pPr>
        <w:pStyle w:val="ListParagraph"/>
        <w:numPr>
          <w:ilvl w:val="0"/>
          <w:numId w:val="3"/>
        </w:numPr>
        <w:spacing w:before="40" w:after="40"/>
      </w:pPr>
      <w:r>
        <w:rPr>
          <w:rFonts w:ascii="Arial" w:cs="Arial" w:eastAsia="Arial" w:hAnsi="Arial"/>
          <w:color w:val="3C3C3C"/>
          <w:sz w:val="22"/>
          <w:szCs w:val="22"/>
        </w:rPr>
        <w:t xml:space="preserve">Common Terminology Criteria for Adverse Events (CTCAE) Version 5.0. National Cancer Institute. November 2017.</w:t>
      </w:r>
    </w:p>
    <w:p>
      <w:pPr>
        <w:pStyle w:val="ListParagraph"/>
        <w:numPr>
          <w:ilvl w:val="0"/>
          <w:numId w:val="3"/>
        </w:numPr>
        <w:spacing w:before="40" w:after="40"/>
      </w:pPr>
      <w:r>
        <w:rPr>
          <w:rFonts w:ascii="Arial" w:cs="Arial" w:eastAsia="Arial" w:hAnsi="Arial"/>
          <w:color w:val="3C3C3C"/>
          <w:sz w:val="22"/>
          <w:szCs w:val="22"/>
        </w:rPr>
        <w:t xml:space="preserve">Oken MM, Creech RH, Tormey DC, et al. Toxicity and response criteria of the Eastern Cooperative Oncology Group. Am J Clin Oncol. 1982;5(6):649-655.</w:t>
      </w:r>
    </w:p>
    <w:p>
      <w:pPr>
        <w:pStyle w:val="ListParagraph"/>
        <w:numPr>
          <w:ilvl w:val="0"/>
          <w:numId w:val="3"/>
        </w:numPr>
        <w:spacing w:before="40" w:after="40"/>
      </w:pPr>
      <w:r>
        <w:rPr>
          <w:rFonts w:ascii="Arial" w:cs="Arial" w:eastAsia="Arial" w:hAnsi="Arial"/>
          <w:color w:val="3C3C3C"/>
          <w:sz w:val="22"/>
          <w:szCs w:val="22"/>
        </w:rPr>
        <w:t xml:space="preserve">Segal NH, Parsons DW, Peggs KS, et al. Epitope landscape in breast and colorectal cancer. Cancer Res. 2008;68(3):889-892.</w:t>
      </w:r>
    </w:p>
    <w:p>
      <w:pPr>
        <w:pStyle w:val="ListParagraph"/>
        <w:numPr>
          <w:ilvl w:val="0"/>
          <w:numId w:val="3"/>
        </w:numPr>
        <w:spacing w:before="40" w:after="40"/>
      </w:pPr>
      <w:r>
        <w:rPr>
          <w:rFonts w:ascii="Arial" w:cs="Arial" w:eastAsia="Arial" w:hAnsi="Arial"/>
          <w:color w:val="3C3C3C"/>
          <w:sz w:val="22"/>
          <w:szCs w:val="22"/>
        </w:rPr>
        <w:t xml:space="preserve">Shia J. Immunohistochemistry versus microsatellite instability testing for screening colorectal cancer patients at risk for hereditary nonpolyposis colorectal cancer syndrome. J Mol Diagn. 2008;10(4):293-300.</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APPENDIX A: irAE MANAGEMENT GUIDELINES</w:t>
      </w:r>
    </w:p>
    <w:p>
      <w:pPr>
        <w:spacing w:before="60" w:after="60"/>
      </w:pPr>
      <w:r>
        <w:rPr>
          <w:rFonts w:ascii="Arial" w:cs="Arial" w:eastAsia="Arial" w:hAnsi="Arial"/>
          <w:b w:val="false"/>
          <w:bCs w:val="false"/>
          <w:color w:val="3C3C3C"/>
          <w:sz w:val="22"/>
          <w:szCs w:val="22"/>
        </w:rPr>
        <w:t xml:space="preserve">The following provides general management principles for immune-related adverse events (irAEs). Site teams must also refer to the current Axiom Biosciences irAE Management Algorithm (version current at time of site initiation) and are encouraged to consult with subspecialty colleagues (pulmonology, gastroenterology, endocrinology, dermatology, neurology) for organ-specific management.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2480"/>
        <w:gridCol w:w="248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irAE Type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Cervimab</w:t>
            </w:r>
          </w:p>
        </w:tc>
        <w:tc>
          <w:tcPr>
            <w:tcW w:type="dxa" w:w="2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Corticosteroid Tx</w:t>
            </w:r>
          </w:p>
        </w:tc>
        <w:tc>
          <w:tcPr>
            <w:tcW w:type="dxa" w:w="2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Additional Guidance</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Pneumonitis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Grade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Hold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No steroids; monitor closely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Repeat imaging in 2-3 weeks; pulmonology consult</w:t>
            </w:r>
          </w:p>
        </w:tc>
      </w:tr>
      <w:tr>
        <w:tc>
          <w:tcPr>
            <w:tcW w:type="dxa" w:w="14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Pneumonitis</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Grade 2</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Hold</w:t>
            </w:r>
          </w:p>
        </w:tc>
        <w:tc>
          <w:tcPr>
            <w:tcW w:type="dxa" w:w="2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Prednisone 1 mg/kg/day; taper over ≥4 weeks</w:t>
            </w:r>
          </w:p>
        </w:tc>
        <w:tc>
          <w:tcPr>
            <w:tcW w:type="dxa" w:w="2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Resume if resolves to ≤Grade 1 on ≤10 mg/day</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Pneumonitis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Grade 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Discontinue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Methylprednisolone 1-2 mg/kg/day IV</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Add infliximab if no response in 48-72h; inpatient management</w:t>
            </w:r>
          </w:p>
        </w:tc>
      </w:tr>
      <w:tr>
        <w:tc>
          <w:tcPr>
            <w:tcW w:type="dxa" w:w="14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Colitis</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Grade 1-2</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Hold (G2)</w:t>
            </w:r>
          </w:p>
        </w:tc>
        <w:tc>
          <w:tcPr>
            <w:tcW w:type="dxa" w:w="2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Prednisone 1 mg/kg/day (G2)</w:t>
            </w:r>
          </w:p>
        </w:tc>
        <w:tc>
          <w:tcPr>
            <w:tcW w:type="dxa" w:w="2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Stool cultures; colonoscopy if persistent</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Colitis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Grade 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Discontinue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Methylprednisolone 1-2 mg/kg/day IV</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Add infliximab 5 mg/kg if no response in 2-3 days (avoid if perforation)</w:t>
            </w:r>
          </w:p>
        </w:tc>
      </w:tr>
      <w:tr>
        <w:tc>
          <w:tcPr>
            <w:tcW w:type="dxa" w:w="14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Hepatitis</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Grade 2</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Hold</w:t>
            </w:r>
          </w:p>
        </w:tc>
        <w:tc>
          <w:tcPr>
            <w:tcW w:type="dxa" w:w="2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Prednisone 1-2 mg/kg/day</w:t>
            </w:r>
          </w:p>
        </w:tc>
        <w:tc>
          <w:tcPr>
            <w:tcW w:type="dxa" w:w="2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Monitor LFTs every 3-5 days; hepatology consult</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Hepatitis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Grade 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Discontinue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Methylprednisolone 1-2 mg/kg/day IV</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Add MMF 1 g BID if no response; avoid infliximab for hepatitis</w:t>
            </w:r>
          </w:p>
        </w:tc>
      </w:tr>
      <w:tr>
        <w:tc>
          <w:tcPr>
            <w:tcW w:type="dxa" w:w="14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Hypothyroidism</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Any grade</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Continue</w:t>
            </w:r>
          </w:p>
        </w:tc>
        <w:tc>
          <w:tcPr>
            <w:tcW w:type="dxa" w:w="2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Levothyroxine replacement</w:t>
            </w:r>
          </w:p>
        </w:tc>
        <w:tc>
          <w:tcPr>
            <w:tcW w:type="dxa" w:w="2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Endocrinology consult; check anti-TPO antibodies</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Hyperthyroidism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Grade 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Continue/Hold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Beta-blockers for symptoms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Methimazole if persistent; TFT monitoring</w:t>
            </w:r>
          </w:p>
        </w:tc>
      </w:tr>
      <w:tr>
        <w:tc>
          <w:tcPr>
            <w:tcW w:type="dxa" w:w="14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Hypophysitis</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Any grade</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Hold</w:t>
            </w:r>
          </w:p>
        </w:tc>
        <w:tc>
          <w:tcPr>
            <w:tcW w:type="dxa" w:w="2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Physiologic replacement (hydrocortisone 15-25 mg/day)</w:t>
            </w:r>
          </w:p>
        </w:tc>
        <w:tc>
          <w:tcPr>
            <w:tcW w:type="dxa" w:w="2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Endocrinology consult; MRI pituitary; hormone panel</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Type 1 DM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Any grade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Continue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Insulin as appropriate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Endocrinology consult; ketoacidosis precautions</w:t>
            </w:r>
          </w:p>
        </w:tc>
      </w:tr>
      <w:tr>
        <w:tc>
          <w:tcPr>
            <w:tcW w:type="dxa" w:w="14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Nephritis</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Grade 2</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Hold</w:t>
            </w:r>
          </w:p>
        </w:tc>
        <w:tc>
          <w:tcPr>
            <w:tcW w:type="dxa" w:w="2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Prednisone 1 mg/kg/day</w:t>
            </w:r>
          </w:p>
        </w:tc>
        <w:tc>
          <w:tcPr>
            <w:tcW w:type="dxa" w:w="2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Nephrology consult; renal biopsy if required</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Dermatitis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Grade 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Continue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Topical steroids; antihistamines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Dermatology consult if Grade 2; consider oral steroids</w:t>
            </w:r>
          </w:p>
        </w:tc>
      </w:tr>
      <w:tr>
        <w:tc>
          <w:tcPr>
            <w:tcW w:type="dxa" w:w="1400"/>
            <w:tcBorders>
              <w:top w:val="single" w:color="CCCCCC" w:sz="1"/>
              <w:left w:val="single" w:color="CCCCCC" w:sz="1"/>
              <w:bottom w:val="single" w:color="CCCCCC" w:sz="1"/>
              <w:right w:val="single" w:color="CCCCCC" w:sz="1"/>
            </w:tcBorders>
            <w:shd w:fill="E0E4EC"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Dermatitis</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Grade 3-4</w:t>
            </w:r>
          </w:p>
        </w:tc>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3C3C3C"/>
                <w:sz w:val="20"/>
                <w:szCs w:val="20"/>
              </w:rPr>
              <w:t xml:space="preserve">Hold/D/C</w:t>
            </w:r>
          </w:p>
        </w:tc>
        <w:tc>
          <w:tcPr>
            <w:tcW w:type="dxa" w:w="2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Prednisone 1-2 mg/kg/day</w:t>
            </w:r>
          </w:p>
        </w:tc>
        <w:tc>
          <w:tcPr>
            <w:tcW w:type="dxa" w:w="2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Dermatology consult urgently; biopsy if indicated</w:t>
            </w:r>
          </w:p>
        </w:tc>
      </w:tr>
    </w:tbl>
    <w:p>
      <w:pPr>
        <w:spacing w:before="0" w:after="60"/>
      </w:pPr>
      <w:r>
        <w:t xml:space="preserve"/>
      </w:r>
    </w:p>
    <w:p>
      <w:pPr>
        <w:spacing w:before="60" w:after="60"/>
      </w:pPr>
      <w:r>
        <w:rPr>
          <w:rFonts w:ascii="Arial" w:cs="Arial" w:eastAsia="Arial" w:hAnsi="Arial"/>
          <w:b w:val="false"/>
          <w:bCs w:val="false"/>
          <w:color w:val="3C3C3C"/>
          <w:sz w:val="22"/>
          <w:szCs w:val="22"/>
        </w:rPr>
        <w:t xml:space="preserve">D/C = Permanently Discontinue | Hold = Temporarily hold cervimab until toxicity resolves to ≤Grade 1 or Baseline | G = Grade | MMF = Mycophenolate mofetil | TFT = Thyroid Function Tests</w:t>
      </w:r>
    </w:p>
    <w:p>
      <w:pPr>
        <w:spacing w:before="0" w:after="10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APPENDIX B: RECIST v1.1 CRITERIA — KEY DEFINITIONS</w:t>
      </w:r>
    </w:p>
    <w:p>
      <w:pPr>
        <w:spacing w:before="60" w:after="60"/>
      </w:pPr>
      <w:r>
        <w:rPr>
          <w:rFonts w:ascii="Arial" w:cs="Arial" w:eastAsia="Arial" w:hAnsi="Arial"/>
          <w:b w:val="false"/>
          <w:bCs w:val="false"/>
          <w:color w:val="3C3C3C"/>
          <w:sz w:val="22"/>
          <w:szCs w:val="22"/>
        </w:rPr>
        <w:t xml:space="preserve">(Eisenhauer et al. Eur J Cancer 2009;45:228-247)</w:t>
      </w:r>
    </w:p>
    <w:p>
      <w:pPr>
        <w:spacing w:before="0" w:after="60"/>
      </w:pPr>
      <w:r>
        <w:t xml:space="preserve"/>
      </w:r>
    </w:p>
    <w:p>
      <w:pPr>
        <w:pStyle w:val="Heading2"/>
        <w:spacing w:before="280" w:after="80"/>
      </w:pPr>
      <w:r>
        <w:rPr>
          <w:rFonts w:ascii="Arial" w:cs="Arial" w:eastAsia="Arial" w:hAnsi="Arial"/>
          <w:b/>
          <w:bCs/>
          <w:color w:val="2E5FA3"/>
          <w:sz w:val="28"/>
          <w:szCs w:val="28"/>
        </w:rPr>
        <w:t xml:space="preserve">Target Lesions</w:t>
      </w:r>
    </w:p>
    <w:p>
      <w:pPr>
        <w:pStyle w:val="ListParagraph"/>
        <w:numPr>
          <w:ilvl w:val="0"/>
          <w:numId w:val="2"/>
        </w:numPr>
        <w:spacing w:before="40" w:after="40"/>
      </w:pPr>
      <w:r>
        <w:rPr>
          <w:rFonts w:ascii="Arial" w:cs="Arial" w:eastAsia="Arial" w:hAnsi="Arial"/>
          <w:color w:val="3C3C3C"/>
          <w:sz w:val="22"/>
          <w:szCs w:val="22"/>
        </w:rPr>
        <w:t xml:space="preserve">Select up to 5 lesions total (maximum 2 per organ) representative of all involved organs</w:t>
      </w:r>
    </w:p>
    <w:p>
      <w:pPr>
        <w:pStyle w:val="ListParagraph"/>
        <w:numPr>
          <w:ilvl w:val="0"/>
          <w:numId w:val="2"/>
        </w:numPr>
        <w:spacing w:before="40" w:after="40"/>
      </w:pPr>
      <w:r>
        <w:rPr>
          <w:rFonts w:ascii="Arial" w:cs="Arial" w:eastAsia="Arial" w:hAnsi="Arial"/>
          <w:color w:val="3C3C3C"/>
          <w:sz w:val="22"/>
          <w:szCs w:val="22"/>
        </w:rPr>
        <w:t xml:space="preserve">Must be ≥10 mm in longest diameter (non-lymph nodes) or ≥15 mm in short axis (lymph nodes)</w:t>
      </w:r>
    </w:p>
    <w:p>
      <w:pPr>
        <w:pStyle w:val="ListParagraph"/>
        <w:numPr>
          <w:ilvl w:val="0"/>
          <w:numId w:val="2"/>
        </w:numPr>
        <w:spacing w:before="40" w:after="40"/>
      </w:pPr>
      <w:r>
        <w:rPr>
          <w:rFonts w:ascii="Arial" w:cs="Arial" w:eastAsia="Arial" w:hAnsi="Arial"/>
          <w:color w:val="3C3C3C"/>
          <w:sz w:val="22"/>
          <w:szCs w:val="22"/>
        </w:rPr>
        <w:t xml:space="preserve">Must be accurately measurable and amenable to reproducible measurements</w:t>
      </w:r>
    </w:p>
    <w:p>
      <w:pPr>
        <w:pStyle w:val="ListParagraph"/>
        <w:numPr>
          <w:ilvl w:val="0"/>
          <w:numId w:val="2"/>
        </w:numPr>
        <w:spacing w:before="40" w:after="40"/>
      </w:pPr>
      <w:r>
        <w:rPr>
          <w:rFonts w:ascii="Arial" w:cs="Arial" w:eastAsia="Arial" w:hAnsi="Arial"/>
          <w:color w:val="3C3C3C"/>
          <w:sz w:val="22"/>
          <w:szCs w:val="22"/>
        </w:rPr>
        <w:t xml:space="preserve">Record sum of diameters (longest for non-nodal lesions; short axis for nodal lesions) at baseline</w:t>
      </w:r>
    </w:p>
    <w:p>
      <w:pPr>
        <w:spacing w:before="0" w:after="60"/>
      </w:pPr>
      <w:r>
        <w:t xml:space="preserve"/>
      </w:r>
    </w:p>
    <w:p>
      <w:pPr>
        <w:pStyle w:val="Heading2"/>
        <w:spacing w:before="280" w:after="80"/>
      </w:pPr>
      <w:r>
        <w:rPr>
          <w:rFonts w:ascii="Arial" w:cs="Arial" w:eastAsia="Arial" w:hAnsi="Arial"/>
          <w:b/>
          <w:bCs/>
          <w:color w:val="2E5FA3"/>
          <w:sz w:val="28"/>
          <w:szCs w:val="28"/>
        </w:rPr>
        <w:t xml:space="preserve">Non-Target Lesions</w:t>
      </w:r>
    </w:p>
    <w:p>
      <w:pPr>
        <w:pStyle w:val="ListParagraph"/>
        <w:numPr>
          <w:ilvl w:val="0"/>
          <w:numId w:val="2"/>
        </w:numPr>
        <w:spacing w:before="40" w:after="40"/>
      </w:pPr>
      <w:r>
        <w:rPr>
          <w:rFonts w:ascii="Arial" w:cs="Arial" w:eastAsia="Arial" w:hAnsi="Arial"/>
          <w:color w:val="3C3C3C"/>
          <w:sz w:val="22"/>
          <w:szCs w:val="22"/>
        </w:rPr>
        <w:t xml:space="preserve">All other lesions/sites of disease not designated as target lesions</w:t>
      </w:r>
    </w:p>
    <w:p>
      <w:pPr>
        <w:pStyle w:val="ListParagraph"/>
        <w:numPr>
          <w:ilvl w:val="0"/>
          <w:numId w:val="2"/>
        </w:numPr>
        <w:spacing w:before="40" w:after="40"/>
      </w:pPr>
      <w:r>
        <w:rPr>
          <w:rFonts w:ascii="Arial" w:cs="Arial" w:eastAsia="Arial" w:hAnsi="Arial"/>
          <w:color w:val="3C3C3C"/>
          <w:sz w:val="22"/>
          <w:szCs w:val="22"/>
        </w:rPr>
        <w:t xml:space="preserve">Record as present, absent, or unequivocal progression</w:t>
      </w:r>
    </w:p>
    <w:p>
      <w:pPr>
        <w:spacing w:before="0" w:after="60"/>
      </w:pPr>
      <w:r>
        <w:t xml:space="preserve"/>
      </w:r>
    </w:p>
    <w:p>
      <w:pPr>
        <w:pStyle w:val="Heading2"/>
        <w:spacing w:before="280" w:after="80"/>
      </w:pPr>
      <w:r>
        <w:rPr>
          <w:rFonts w:ascii="Arial" w:cs="Arial" w:eastAsia="Arial" w:hAnsi="Arial"/>
          <w:b/>
          <w:bCs/>
          <w:color w:val="2E5FA3"/>
          <w:sz w:val="28"/>
          <w:szCs w:val="28"/>
        </w:rPr>
        <w:t xml:space="preserve">New Lesions</w:t>
      </w:r>
    </w:p>
    <w:p>
      <w:pPr>
        <w:pStyle w:val="ListParagraph"/>
        <w:numPr>
          <w:ilvl w:val="0"/>
          <w:numId w:val="2"/>
        </w:numPr>
        <w:spacing w:before="40" w:after="40"/>
      </w:pPr>
      <w:r>
        <w:rPr>
          <w:rFonts w:ascii="Arial" w:cs="Arial" w:eastAsia="Arial" w:hAnsi="Arial"/>
          <w:color w:val="3C3C3C"/>
          <w:sz w:val="22"/>
          <w:szCs w:val="22"/>
        </w:rPr>
        <w:t xml:space="preserve">Appearance of any new lesion constitutes progressive disease regardless of change in target lesion measurements</w:t>
      </w:r>
    </w:p>
    <w:p>
      <w:pPr>
        <w:pStyle w:val="ListParagraph"/>
        <w:numPr>
          <w:ilvl w:val="0"/>
          <w:numId w:val="2"/>
        </w:numPr>
        <w:spacing w:before="40" w:after="40"/>
      </w:pPr>
      <w:r>
        <w:rPr>
          <w:rFonts w:ascii="Arial" w:cs="Arial" w:eastAsia="Arial" w:hAnsi="Arial"/>
          <w:color w:val="3C3C3C"/>
          <w:sz w:val="22"/>
          <w:szCs w:val="22"/>
        </w:rPr>
        <w:t xml:space="preserve">FDG-PET progression should be confirmed with CT</w:t>
      </w:r>
    </w:p>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APPENDIX C: CTCAE v5.0 — GRADING REFERENCE</w:t>
      </w:r>
    </w:p>
    <w:p>
      <w:pPr>
        <w:spacing w:before="60" w:after="60"/>
      </w:pPr>
      <w:r>
        <w:rPr>
          <w:rFonts w:ascii="Arial" w:cs="Arial" w:eastAsia="Arial" w:hAnsi="Arial"/>
          <w:b w:val="false"/>
          <w:bCs w:val="false"/>
          <w:color w:val="3C3C3C"/>
          <w:sz w:val="22"/>
          <w:szCs w:val="22"/>
        </w:rPr>
        <w:t xml:space="preserve">Adverse event severity will be graded using CTCAE Version 5.0 (National Cancer Institute, November 2017). Full grading criteria are available at: https://ctep.cancer.gov/protocoldevelopment/electronic_applications/ctc.htm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700"/>
        <w:gridCol w:w="1700"/>
        <w:gridCol w:w="1700"/>
        <w:gridCol w:w="166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Grade</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Grade 1</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Grade 2</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Grade 3</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Grade 4</w:t>
            </w:r>
          </w:p>
        </w:tc>
        <w:tc>
          <w:tcPr>
            <w:tcW w:type="dxa" w:w="1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Grade 5</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3C3C3C"/>
                <w:sz w:val="20"/>
                <w:szCs w:val="20"/>
              </w:rPr>
              <w:t xml:space="preserve">Severity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Mild; asymptomatic or mild symptoms; clinical or diagnostic observations only; no intervention indicated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Moderate; minimal local or noninvasive intervention indicated; limiting age-appropriate ADL</w:t>
            </w:r>
          </w:p>
        </w:tc>
        <w:tc>
          <w:tcPr>
            <w:tcW w:type="dxa" w:w="1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Severe; medically significant but not immediately life-threatening; hospitalization indicated; limiting self-care ADL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Life-threatening; urgent intervention indicated</w:t>
            </w:r>
          </w:p>
        </w:tc>
        <w:tc>
          <w:tcPr>
            <w:tcW w:type="dxa" w:w="1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3C3C3C"/>
                <w:sz w:val="20"/>
                <w:szCs w:val="20"/>
              </w:rPr>
              <w:t xml:space="preserve">Death related to AE</w:t>
            </w:r>
          </w:p>
        </w:tc>
      </w:tr>
    </w:tbl>
    <w:p>
      <w:pPr>
        <w:spacing w:before="0" w:after="80"/>
      </w:pPr>
      <w:r>
        <w:t xml:space="preserve"/>
      </w:r>
    </w:p>
    <w:p>
      <w:r>
        <w:br w:type="page"/>
      </w:r>
    </w:p>
    <w:p>
      <w:pPr>
        <w:pStyle w:val="Heading1"/>
        <w:pBdr>
          <w:bottom w:val="single" w:color="2E5FA3" w:sz="8" w:space="4"/>
        </w:pBdr>
        <w:spacing w:before="360" w:after="120"/>
      </w:pPr>
      <w:r>
        <w:rPr>
          <w:rFonts w:ascii="Arial" w:cs="Arial" w:eastAsia="Arial" w:hAnsi="Arial"/>
          <w:b/>
          <w:bCs/>
          <w:color w:val="1B3A6B"/>
          <w:sz w:val="36"/>
          <w:szCs w:val="36"/>
        </w:rPr>
        <w:t xml:space="preserve">APPENDIX D: PATIENT-REPORTED OUTCOME INSTRUMENTS</w:t>
      </w:r>
    </w:p>
    <w:p>
      <w:pPr>
        <w:pStyle w:val="Heading2"/>
        <w:spacing w:before="280" w:after="80"/>
      </w:pPr>
      <w:r>
        <w:rPr>
          <w:rFonts w:ascii="Arial" w:cs="Arial" w:eastAsia="Arial" w:hAnsi="Arial"/>
          <w:b/>
          <w:bCs/>
          <w:color w:val="2E5FA3"/>
          <w:sz w:val="28"/>
          <w:szCs w:val="28"/>
        </w:rPr>
        <w:t xml:space="preserve">D.1 EORTC QLQ-C30</w:t>
      </w:r>
    </w:p>
    <w:p>
      <w:pPr>
        <w:spacing w:before="60" w:after="60"/>
      </w:pPr>
      <w:r>
        <w:rPr>
          <w:rFonts w:ascii="Arial" w:cs="Arial" w:eastAsia="Arial" w:hAnsi="Arial"/>
          <w:b w:val="false"/>
          <w:bCs w:val="false"/>
          <w:color w:val="3C3C3C"/>
          <w:sz w:val="22"/>
          <w:szCs w:val="22"/>
        </w:rPr>
        <w:t xml:space="preserve">The EORTC QLQ-C30 (version 3.0) is a validated 30-item cancer-specific HRQoL questionnaire. It incorporates five functional scales (physical, role, cognitive, emotional, social), three symptom scales (fatigue, pain, nausea/vomiting), a global health status/QoL scale, and six single items. Scores are linearly transformed to a 0-100 scale. Higher scores on functional/global scales = better HRQoL; higher scores on symptom scales = greater symptom burden.</w:t>
      </w:r>
    </w:p>
    <w:p>
      <w:pPr>
        <w:spacing w:before="0" w:after="60"/>
      </w:pPr>
      <w:r>
        <w:t xml:space="preserve"/>
      </w:r>
    </w:p>
    <w:p>
      <w:pPr>
        <w:pStyle w:val="Heading2"/>
        <w:spacing w:before="280" w:after="80"/>
      </w:pPr>
      <w:r>
        <w:rPr>
          <w:rFonts w:ascii="Arial" w:cs="Arial" w:eastAsia="Arial" w:hAnsi="Arial"/>
          <w:b/>
          <w:bCs/>
          <w:color w:val="2E5FA3"/>
          <w:sz w:val="28"/>
          <w:szCs w:val="28"/>
        </w:rPr>
        <w:t xml:space="preserve">D.2 EORTC QLQ-CR29</w:t>
      </w:r>
    </w:p>
    <w:p>
      <w:pPr>
        <w:spacing w:before="60" w:after="60"/>
      </w:pPr>
      <w:r>
        <w:rPr>
          <w:rFonts w:ascii="Arial" w:cs="Arial" w:eastAsia="Arial" w:hAnsi="Arial"/>
          <w:b w:val="false"/>
          <w:bCs w:val="false"/>
          <w:color w:val="3C3C3C"/>
          <w:sz w:val="22"/>
          <w:szCs w:val="22"/>
        </w:rPr>
        <w:t xml:space="preserve">The EORTC QLQ-CR29 is the colorectal cancer-specific supplementary module to the QLQ-C30. It contains 29 items addressing symptoms and functional issues specific to CRC patients, including those with stomas. Items cover urinary frequency, blood/mucus in stool, stool frequency, embarrassment, abdominal pain, buttock pain, bloating, dry mouth, hair loss, taste, anxiety, and weight. It will be used as an exploratory PRO measure.</w:t>
      </w:r>
    </w:p>
    <w:p>
      <w:pPr>
        <w:spacing w:before="0" w:after="60"/>
      </w:pPr>
      <w:r>
        <w:t xml:space="preserve"/>
      </w:r>
    </w:p>
    <w:p>
      <w:pPr>
        <w:pStyle w:val="Heading2"/>
        <w:spacing w:before="280" w:after="80"/>
      </w:pPr>
      <w:r>
        <w:rPr>
          <w:rFonts w:ascii="Arial" w:cs="Arial" w:eastAsia="Arial" w:hAnsi="Arial"/>
          <w:b/>
          <w:bCs/>
          <w:color w:val="2E5FA3"/>
          <w:sz w:val="28"/>
          <w:szCs w:val="28"/>
        </w:rPr>
        <w:t xml:space="preserve">D.3 Administration and Scoring</w:t>
      </w:r>
    </w:p>
    <w:p>
      <w:pPr>
        <w:spacing w:before="60" w:after="60"/>
      </w:pPr>
      <w:r>
        <w:rPr>
          <w:rFonts w:ascii="Arial" w:cs="Arial" w:eastAsia="Arial" w:hAnsi="Arial"/>
          <w:b w:val="false"/>
          <w:bCs w:val="false"/>
          <w:color w:val="3C3C3C"/>
          <w:sz w:val="22"/>
          <w:szCs w:val="22"/>
        </w:rPr>
        <w:t xml:space="preserve">PRO questionnaires must be completed by the patient independently (without assistance from site staff or caregivers) at the designated time points, BEFORE any clinical assessments or discussion of results. Questionnaires should be completed in the patient's native language using the validated linguistic version. Scoring will be performed centrally per the EORTC Scoring Manual. Minimally important difference (MID) for the QLQ-C30 global health status scale will be defined as a change of ≥10 points.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nil"/>
              <w:right w:val="single" w:color="CCCCCC" w:sz="1"/>
            </w:tcBorders>
            <w:shd w:fill="1B3A6B"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Sponsor Medical Monitor Approval</w:t>
            </w:r>
          </w:p>
        </w:tc>
        <w:tc>
          <w:tcPr>
            <w:tcW w:type="dxa" w:w="4680"/>
            <w:tcBorders>
              <w:top w:val="single" w:color="CCCCCC" w:sz="1"/>
              <w:left w:val="single" w:color="CCCCCC" w:sz="1"/>
              <w:bottom w:val="nil"/>
              <w:right w:val="single" w:color="CCCCCC" w:sz="1"/>
            </w:tcBorders>
            <w:shd w:fill="1B3A6B"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Clinical Development Head Approval</w:t>
            </w:r>
          </w:p>
        </w:tc>
      </w:tr>
      <w:tr>
        <w:tc>
          <w:tcPr>
            <w:tcW w:type="dxa" w:w="4680"/>
            <w:tcBorders>
              <w:top w:val="single" w:color="CCCCCC" w:sz="1"/>
              <w:left w:val="single" w:color="CCCCCC" w:sz="1"/>
              <w:bottom w:val="single" w:color="CCCCCC" w:sz="1"/>
              <w:right w:val="single" w:color="CCCCCC" w:sz="1"/>
            </w:tcBorders>
            <w:tcMar>
              <w:top w:type="dxa" w:w="240"/>
              <w:left w:type="dxa" w:w="200"/>
              <w:bottom w:type="dxa" w:w="240"/>
              <w:right w:type="dxa" w:w="200"/>
            </w:tcMar>
          </w:tcPr>
          <w:p>
            <w:pPr>
              <w:spacing w:before="240" w:after="60"/>
            </w:pPr>
            <w:r>
              <w:rPr>
                <w:rFonts w:ascii="Arial" w:cs="Arial" w:eastAsia="Arial" w:hAnsi="Arial"/>
                <w:sz w:val="20"/>
                <w:szCs w:val="20"/>
              </w:rPr>
              <w:t xml:space="preserve">Signature: ________________________</w:t>
            </w:r>
          </w:p>
          <w:p>
            <w:pPr>
              <w:spacing w:before="60" w:after="60"/>
            </w:pPr>
            <w:r>
              <w:rPr>
                <w:rFonts w:ascii="Arial" w:cs="Arial" w:eastAsia="Arial" w:hAnsi="Arial"/>
                <w:sz w:val="20"/>
                <w:szCs w:val="20"/>
              </w:rPr>
              <w:t xml:space="preserve">Name: ____________________________</w:t>
            </w:r>
          </w:p>
          <w:p>
            <w:pPr>
              <w:spacing w:before="60" w:after="60"/>
            </w:pPr>
            <w:r>
              <w:rPr>
                <w:rFonts w:ascii="Arial" w:cs="Arial" w:eastAsia="Arial" w:hAnsi="Arial"/>
                <w:sz w:val="20"/>
                <w:szCs w:val="20"/>
              </w:rPr>
              <w:t xml:space="preserve">Title: ____________________________</w:t>
            </w:r>
          </w:p>
          <w:p>
            <w:pPr>
              <w:spacing w:before="60" w:after="60"/>
            </w:pPr>
            <w:r>
              <w:rPr>
                <w:rFonts w:ascii="Arial" w:cs="Arial" w:eastAsia="Arial" w:hAnsi="Arial"/>
                <w:sz w:val="20"/>
                <w:szCs w:val="20"/>
              </w:rPr>
              <w:t xml:space="preserve">Date: ____________________________</w:t>
            </w:r>
          </w:p>
        </w:tc>
        <w:tc>
          <w:tcPr>
            <w:tcW w:type="dxa" w:w="4680"/>
            <w:tcBorders>
              <w:top w:val="single" w:color="CCCCCC" w:sz="1"/>
              <w:left w:val="single" w:color="CCCCCC" w:sz="1"/>
              <w:bottom w:val="single" w:color="CCCCCC" w:sz="1"/>
              <w:right w:val="single" w:color="CCCCCC" w:sz="1"/>
            </w:tcBorders>
            <w:tcMar>
              <w:top w:type="dxa" w:w="240"/>
              <w:left w:type="dxa" w:w="200"/>
              <w:bottom w:type="dxa" w:w="240"/>
              <w:right w:type="dxa" w:w="200"/>
            </w:tcMar>
          </w:tcPr>
          <w:p>
            <w:pPr>
              <w:spacing w:before="240" w:after="60"/>
            </w:pPr>
            <w:r>
              <w:rPr>
                <w:rFonts w:ascii="Arial" w:cs="Arial" w:eastAsia="Arial" w:hAnsi="Arial"/>
                <w:sz w:val="20"/>
                <w:szCs w:val="20"/>
              </w:rPr>
              <w:t xml:space="preserve">Signature: ________________________</w:t>
            </w:r>
          </w:p>
          <w:p>
            <w:pPr>
              <w:spacing w:before="60" w:after="60"/>
            </w:pPr>
            <w:r>
              <w:rPr>
                <w:rFonts w:ascii="Arial" w:cs="Arial" w:eastAsia="Arial" w:hAnsi="Arial"/>
                <w:sz w:val="20"/>
                <w:szCs w:val="20"/>
              </w:rPr>
              <w:t xml:space="preserve">Name: ____________________________</w:t>
            </w:r>
          </w:p>
          <w:p>
            <w:pPr>
              <w:spacing w:before="60" w:after="60"/>
            </w:pPr>
            <w:r>
              <w:rPr>
                <w:rFonts w:ascii="Arial" w:cs="Arial" w:eastAsia="Arial" w:hAnsi="Arial"/>
                <w:sz w:val="20"/>
                <w:szCs w:val="20"/>
              </w:rPr>
              <w:t xml:space="preserve">Title: ____________________________</w:t>
            </w:r>
          </w:p>
          <w:p>
            <w:pPr>
              <w:spacing w:before="60" w:after="60"/>
            </w:pPr>
            <w:r>
              <w:rPr>
                <w:rFonts w:ascii="Arial" w:cs="Arial" w:eastAsia="Arial" w:hAnsi="Arial"/>
                <w:sz w:val="20"/>
                <w:szCs w:val="20"/>
              </w:rPr>
              <w:t xml:space="preserve">Date: ____________________________</w:t>
            </w:r>
          </w:p>
        </w:tc>
      </w:tr>
    </w:tbl>
    <w:p>
      <w:pPr>
        <w:spacing w:before="0" w:after="120"/>
      </w:pPr>
      <w:r>
        <w:t xml:space="preserve"/>
      </w:r>
    </w:p>
    <w:p>
      <w:pPr>
        <w:jc w:val="center"/>
      </w:pPr>
      <w:r>
        <w:rPr>
          <w:rFonts w:ascii="Arial" w:cs="Arial" w:eastAsia="Arial" w:hAnsi="Arial"/>
          <w:i/>
          <w:iCs/>
          <w:color w:val="888888"/>
          <w:sz w:val="20"/>
          <w:szCs w:val="20"/>
        </w:rPr>
        <w:t xml:space="preserve">— END OF PROTOCOL DOCUMENT AXB-CRC-201 v1.0 —</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spacing w:before="80" w:after="0"/>
    </w:pPr>
    <w:r>
      <w:rPr>
        <w:rFonts w:ascii="Arial" w:cs="Arial" w:eastAsia="Arial" w:hAnsi="Arial"/>
        <w:color w:val="AAAAAA"/>
        <w:sz w:val="16"/>
        <w:szCs w:val="16"/>
      </w:rPr>
      <w:t xml:space="preserve">Axiom Biosciences, Inc. | PROPRIETARY AND CONFIDENTIAL | For Investigational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spacing w:before="0" w:after="80"/>
    </w:pPr>
    <w:r>
      <w:rPr>
        <w:rFonts w:ascii="Arial" w:cs="Arial" w:eastAsia="Arial" w:hAnsi="Arial"/>
        <w:color w:val="888888"/>
        <w:sz w:val="18"/>
        <w:szCs w:val="18"/>
      </w:rPr>
      <w:t xml:space="preserve">CONFIDENTIAL | Cervimab (AXB-7219) Phase 2b Protocol AXB-CRC-201 v1.0</w:t>
    </w:r>
    <w:r>
      <w:rPr>
        <w:rFonts w:ascii="Arial" w:cs="Arial" w:eastAsia="Arial" w:hAnsi="Arial"/>
        <w:color w:val="888888"/>
        <w:sz w:val="18"/>
        <w:szCs w:val="18"/>
      </w:rPr>
      <w:t xml:space="preserve">        Page </w:t>
    </w:r>
    <w:fldSimple w:instr="[object Objec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60"/>
      <w:outlineLvl w:val="2"/>
    </w:pPr>
    <w:rPr>
      <w:rFonts w:ascii="Arial" w:cs="Arial" w:eastAsia="Arial" w:hAnsi="Arial"/>
      <w:b/>
      <w:bCs/>
      <w:color w:val="4A7F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2026-03-16T13:56:26.525Z</dcterms:created>
  <dcterms:modified xsi:type="dcterms:W3CDTF">2026-03-16T13:56:26.526Z</dcterms:modified>
</cp:coreProperties>
</file>

<file path=docProps/custom.xml><?xml version="1.0" encoding="utf-8"?>
<Properties xmlns="http://schemas.openxmlformats.org/officeDocument/2006/custom-properties" xmlns:vt="http://schemas.openxmlformats.org/officeDocument/2006/docPropsVTypes"/>
</file>