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b/>
          <w:bCs/>
          <w:color w:val="666666"/>
          <w:sz w:val="20"/>
          <w:szCs w:val="20"/>
        </w:rPr>
        <w:t xml:space="preserve">PHARMA INNOVATE, INC.</w:t>
      </w:r>
    </w:p>
    <w:p>
      <w:pPr>
        <w:spacing w:before="0" w:after="60"/>
        <w:jc w:val="center"/>
      </w:pPr>
      <w:r>
        <w:rPr>
          <w:b/>
          <w:bCs/>
          <w:color w:val="1F3864"/>
          <w:sz w:val="40"/>
          <w:szCs w:val="40"/>
        </w:rPr>
        <w:t xml:space="preserve">EXPOSURE-RESPONSE ANALYSIS REPORT</w:t>
      </w:r>
    </w:p>
    <w:p>
      <w:pPr>
        <w:pBdr>
          <w:bottom w:val="single" w:color="2E75B6" w:sz="6" w:space="1"/>
        </w:pBdr>
        <w:spacing w:before="120" w:after="120"/>
      </w:pPr>
    </w:p>
    <w:p>
      <w:pPr>
        <w:spacing w:before="120" w:after="60"/>
        <w:jc w:val="center"/>
      </w:pPr>
      <w:r>
        <w:rPr>
          <w:b/>
          <w:bCs/>
          <w:color w:val="2E75B6"/>
          <w:sz w:val="32"/>
          <w:szCs w:val="32"/>
        </w:rPr>
        <w:t xml:space="preserve">Cervimab (CVM-001)</w:t>
      </w:r>
    </w:p>
    <w:p>
      <w:pPr>
        <w:spacing w:before="0" w:after="60"/>
        <w:jc w:val="center"/>
      </w:pPr>
      <w:r>
        <w:rPr>
          <w:color w:val="333333"/>
          <w:sz w:val="24"/>
          <w:szCs w:val="24"/>
        </w:rPr>
        <w:t xml:space="preserve">Efficacy and Safety Exposure-Response for dMMR/MSI-H Metastatic Colorectal Cancer</w:t>
      </w:r>
    </w:p>
    <w:p>
      <w:pPr>
        <w:spacing w:before="4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Number: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CVM-001-ER-RPT-001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Study: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CVM-001-202 (Phase 2)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Exposure Input: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Bayesian PK estimates from PopPK Report CVM-001-POPPK-RPT-001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/ Date: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(Final) — March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by: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Pharmacology, Pharma Innovate, Inc.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Regulatory Reference: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FDA Guidance: Exposure-Response Relationships (2003); ICH E4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1. EXECUTIVE SUMMARY</w:t>
      </w:r>
    </w:p>
    <w:p>
      <w:pPr>
        <w:spacing w:before="80" w:after="80"/>
      </w:pPr>
      <w:r>
        <w:t xml:space="preserve">This report presents the exposure-response (E-R) analyses for efficacy and safety of cervimab (CVM-001) using data from Study CVM-001-202, a Phase 2 open-label multicenter trial in 142 patients with dMMR/MSI-H metastatic colorectal cancer (mCRC). Individual Bayesian post-hoc PK parameters derived from the validated population PK model (Report CVM-001-POPPK-RPT-001) served as exposure metrics.</w:t>
      </w:r>
    </w:p>
    <w:p>
      <w:pPr>
        <w:spacing w:before="80" w:after="80"/>
      </w:pPr>
      <w:r>
        <w:t xml:space="preserve">Positive, statistically significant E-R relationships were identified between cervimab steady-state AUC (AUCss) and both objective response rate (ORR) and progression-free survival (PFS). No meaningful E-R relationship was identified between AUCss and the incidence of immune-mediated adverse events (imAEs). These findings support the proposed commercial dose of 400 mg Q3W IV and do not indicate a need for dose modification based on individual PK variability or patient characteristics.</w:t>
      </w:r>
    </w:p>
    <w:p>
      <w:pPr>
        <w:spacing w:before="80" w:after="80"/>
      </w:pPr>
      <w:r>
        <w:t xml:space="preserve">At the proposed dose, &gt;94% of patients are predicted to achieve AUCss above the estimated minimum effective exposure threshold (EC50 for ORR), providing a strong justification for the selected flat dose. No exposure-safety signal was identified that would suggest a need to cap dose or apply dose reductions in high-exposure patients.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2. OBJECTIVES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Characterize the E-R relationship between cervimab systemic exposure and efficacy endpoints (ORR, PFS)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Characterize the E-R relationship between cervimab exposure and safety endpoints (imAEs, any AE Grade &gt;=3)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Support the proposed commercial dose and dosing regimen selection for Phase 3 and NDA/BLA submission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2.2 Secondary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Evaluate whether any patient subgroups exhibit altered E-R relationships that would warrant different dosing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Predict the proportion of patients achieving target AUCss at the proposed dose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Assess the flat-dose vs. weight-based dosing paradigm for clinical use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3. METHODS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3.1 Exposure Metrics</w:t>
      </w:r>
    </w:p>
    <w:p>
      <w:pPr>
        <w:spacing w:before="80" w:after="80"/>
      </w:pPr>
      <w:r>
        <w:t xml:space="preserve">Individual Bayesian PK parameter estimates (CL, V1, Q, V2) from the final two-compartment PopPK model were used to derive the following exposure metrics for each patient: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AUCss: Steady-state AUC at Cycle 3 (primary E-R metric for efficacy)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Cmax,ss: Maximum concentration at steady state (Cycle 1 Day 1 EOI)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Ctrough,ss: Trough concentration at steady state (pre-dose Cycle 3)</w:t>
      </w:r>
    </w:p>
    <w:p>
      <w:pPr>
        <w:spacing w:before="80" w:after="80"/>
      </w:pPr>
      <w:r>
        <w:t xml:space="preserve">AUCss was used as the primary exposure metric for efficacy E-R analyses based on mechanistic considerations: sustained PD-1 receptor occupancy (RO) throughout the dosing interval is theorized to be critical for anti-tumor T-cell activation. Ctrough was used as a secondary metric consistent with the PD-1 RO hypothesis.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3.2 Efficacy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Objective Response Rate (ORR): confirmed complete response (CR) + partial response (PR) per RECIST v1.1; binary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Progression-Free Survival (PFS): time from first dose to disease progression or death; analyzed using time-to-event methods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Disease Control Rate (DCR): ORR + stable disease (SD); binary outcome, exploratory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Duration of Response (DoR): among responders; exploratory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3.3 Safety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Any immune-mediated adverse event (imAE): binary outcome; events coded per MedDRA and pre-specified imAE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Grade &gt;=3 imAE: binary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Any AE Grade &gt;=3 (all-cause): binary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Time to first imAE: exploratory time-to-event analysis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3.4 Statistical Models</w:t>
      </w:r>
    </w:p>
    <w:p>
      <w:pPr>
        <w:spacing w:before="80" w:after="80"/>
      </w:pPr>
      <w:r>
        <w:t xml:space="preserve">The following modeling approaches were used, performed in R v4.3 using packages lme4, survival, and rms:</w:t>
      </w:r>
    </w:p>
    <w:p>
      <w:pPr>
        <w:spacing w:before="80" w:after="80"/>
      </w:pPr>
      <w:r>
        <w:rPr>
          <w:b/>
          <w:bCs/>
        </w:rPr>
        <w:t xml:space="preserve">Efficacy — ORR and DCR: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Logistic regression: logit(P[response]) = alpha + beta * log(AUCss/AUCss,ref), with AUCss,ref = geometric mean AUCss = 1,869 mcg*day/mL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Emax model: P[response] = Emin + (Emax - Emin) * AUCss^gamma / (EC50^gamma + AUCss^gamma)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Covariate-adjusted logistic regression: additional terms for ECOG PS, age, sex, prior lines of therapy, and tumor burden</w:t>
      </w:r>
    </w:p>
    <w:p>
      <w:pPr>
        <w:spacing w:before="80" w:after="80"/>
      </w:pPr>
      <w:r>
        <w:rPr>
          <w:b/>
          <w:bCs/>
        </w:rPr>
        <w:t xml:space="preserve">Efficacy — PFS: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Cox proportional hazards regression: exposure treated as both continuous and categorized (exposure quartiles)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Parametric AFT model (Weibull) with log(AUCss) as predictor</w:t>
      </w:r>
    </w:p>
    <w:p>
      <w:pPr>
        <w:spacing w:before="80" w:after="80"/>
      </w:pPr>
      <w:r>
        <w:rPr>
          <w:b/>
          <w:bCs/>
        </w:rPr>
        <w:t xml:space="preserve">Safety — imAE: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Logistic regression of imAE incidence vs. log(AUCss)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Fine-Gray competing risk analysis for time to first imAE (death as competing event)</w:t>
      </w:r>
    </w:p>
    <w:p>
      <w:pPr>
        <w:spacing w:before="80" w:after="80"/>
      </w:pPr>
      <w:r>
        <w:t xml:space="preserve">Exposure quartiles (Q1–Q4) were used for graphical E-R assessment and confirmatory analyses. Spearman rank correlations were computed for all endpoint-exposure pairs prior to modeling.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4. PATIENT POPULATION AND EXPOSURE SUMMARY</w:t>
      </w:r>
    </w:p>
    <w:p>
      <w:pPr>
        <w:spacing w:before="80" w:after="80"/>
      </w:pPr>
      <w:r>
        <w:t xml:space="preserve">E-R analyses included 142 patients from Study CVM-001-202. The distribution of steady-state AUCss is presented in Table 1.</w:t>
      </w:r>
    </w:p>
    <w:p>
      <w:pPr>
        <w:spacing w:before="80" w:after="80"/>
      </w:pPr>
      <w:r>
        <w:rPr>
          <w:b/>
          <w:bCs/>
        </w:rPr>
        <w:t xml:space="preserve">Table 1. Summary of Steady-State Exposure Metrics by Quartile (N=142)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 (&lt;25th)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 (25–50th)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 (50–75th)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 (&gt;75th)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 range (mcg*day/mL)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&lt;1,158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1,158–1,869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1,869–2,841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&gt;2,841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 — median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931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1,501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2,271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3,784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Ctrough,ss — median (mcg/mL)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22.8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42.3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68.9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 per quartile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weight — median (kg)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82.4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75.1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69.3</w:t>
            </w:r>
          </w:p>
        </w:tc>
        <w:tc>
          <w:tcPr>
            <w:tcW w:type="dxa" w:w="1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61.8</w:t>
            </w:r>
          </w:p>
        </w:tc>
      </w:tr>
    </w:tbl>
    <w:p>
      <w:pPr>
        <w:spacing w:before="80" w:after="80"/>
      </w:pPr>
      <w:r>
        <w:rPr>
          <w:color w:val="666666"/>
          <w:sz w:val="18"/>
          <w:szCs w:val="18"/>
        </w:rPr>
        <w:t xml:space="preserve">Note: Higher body weight (lower CL per allometric scaling) was associated with higher AUCss. The negative correlation between body weight and AUCss within a flat-dose paradigm is expected and was accounted for in covariate-adjusted models.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5. EXPOSURE-EFFICACY RESULTS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5.1 Objective Response Rate (ORR)</w:t>
      </w:r>
    </w:p>
    <w:p>
      <w:pPr>
        <w:spacing w:before="80" w:after="80"/>
      </w:pPr>
      <w:r>
        <w:t xml:space="preserve">Overall ORR in the ITT population was 43.0% (95% CI: 34.8%–51.5%). A statistically significant positive relationship between AUCss and ORR was identified by logistic regression.</w:t>
      </w:r>
    </w:p>
    <w:p>
      <w:pPr>
        <w:spacing w:before="80" w:after="80"/>
      </w:pPr>
      <w:r>
        <w:rPr>
          <w:b/>
          <w:bCs/>
        </w:rPr>
        <w:t xml:space="preserve">Table 2. ORR by AUCss Quartile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40"/>
        <w:gridCol w:w="1640"/>
        <w:gridCol w:w="1640"/>
        <w:gridCol w:w="1640"/>
        <w:gridCol w:w="18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p-trend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ORR (n/N)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10/36 (27.8%)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14/35 (40.0%)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17/36 (47.2%)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20/35 (57.1%)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DCR (n/N)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22/36 (61.1%)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26/35 (74.3%)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29/36 (80.6%)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31/35 (88.6%)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Spearman rho (ORR vs AUCss)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0.31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</w:tbl>
    <w:p>
      <w:pPr>
        <w:spacing w:before="80" w:after="80"/>
      </w:pPr>
      <w:r>
        <w:t xml:space="preserve">Logistic regression (log-linear model): OR = 1.48 per doubling of AUCss (95% CI: 1.14–1.92; p = 0.003). Emax modeling estimated: Emin = 0.18, Emax = 0.72, EC50 = 820 mcg*day/mL (95% CI: 510–1,310), Hill coefficient gamma = 1.4. At the geometric mean AUCss of 1,869 mcg*day/mL, the predicted ORR is 52%, consistent with observed data. At the 5th percentile AUCss (1,041 mcg*day/mL), predicted ORR is 41%.</w:t>
      </w:r>
    </w:p>
    <w:p>
      <w:pPr>
        <w:spacing w:before="80" w:after="80"/>
      </w:pPr>
      <w:r>
        <w:t xml:space="preserve">The covariate-adjusted logistic regression confirmed a positive E-R relationship for ORR (p = 0.006) after adjustment for ECOG PS, age, sex, number of prior lines, and tumor burden, suggesting that the E-R relationship is not confounded by these patient characteristics.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5.2 Progression-Free Survival (PFS)</w:t>
      </w:r>
    </w:p>
    <w:p>
      <w:pPr>
        <w:spacing w:before="80" w:after="80"/>
      </w:pPr>
      <w:r>
        <w:t xml:space="preserve">Median PFS across the full population was 8.2 months (95% CI: 6.8–10.1). A statistically significant improvement in PFS was observed with increasing AUCss.</w:t>
      </w:r>
    </w:p>
    <w:p>
      <w:pPr>
        <w:spacing w:before="80" w:after="80"/>
      </w:pPr>
      <w:r>
        <w:rPr>
          <w:b/>
          <w:bCs/>
        </w:rPr>
        <w:t xml:space="preserve">Table 3. PFS by AUCss Quartile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640"/>
        <w:gridCol w:w="1640"/>
        <w:gridCol w:w="16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PFS Metric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 (log-rank)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Median PFS (months)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7.9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9.1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6-month PFS rate (%)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46.2%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63.4%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71.8%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80.9%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12-month PFS rate (%)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20.4%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32.1%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41.6%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55.8%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 Q2 vs Q1 (95% CI)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0.74 (0.48–1.14)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0.62 (0.40–0.96)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0.49 (0.31–0.77)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>Cox regression with continuous log(AUCss): HR = 0.71 per doubling of AUCss (95% CI: 0.59–0.85; p &lt; 0.001). The Weibull AFT model similarly indicated a statistically significant relationship (p &lt; 0.001), with higher AUCss associated with longer PFS. The proportional hazards assumption was met (Schoenfeld residuals test p = 0.42).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5.3 Target Attainment Analysis</w:t>
      </w:r>
    </w:p>
    <w:p>
      <w:pPr>
        <w:spacing w:before="80" w:after="80"/>
      </w:pPr>
      <w:r>
        <w:t xml:space="preserve">Using the EC50 for ORR (820 mcg*day/mL) as a threshold for minimum effective exposure, the proportion of patients simulated to achieve AUCss &gt;= EC50 at the 400 mg Q3W dose was 97.8% (95% CI: 96.2%–99.1%). Even at the 5th percentile of simulated AUCss (1,041 mcg*day/mL), predicted ORR (41%) remains clinically meaningful.</w:t>
      </w:r>
    </w:p>
    <w:p>
      <w:pPr>
        <w:spacing w:before="80" w:after="80"/>
      </w:pPr>
      <w:r>
        <w:t xml:space="preserve">These simulations indicate that 400 mg Q3W provides a substantial safety margin above the EC50 for the majority of patients and that reducing the dose to 200 mg Q3W would result in ~28% of patients falling below the EC50 threshold—supporting the selection of 400 mg as the minimum recommended dose.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6. EXPOSURE-SAFETY RESULTS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6.1 Immune-Mediated Adverse Events (imAEs)</w:t>
      </w:r>
    </w:p>
    <w:p>
      <w:pPr>
        <w:spacing w:before="80" w:after="80"/>
      </w:pPr>
      <w:r>
        <w:t xml:space="preserve">Overall incidence of any-grade imAEs was 32.4% (46/142). Grade &gt;=3 imAEs occurred in 9.9% (14/142). The most common imAEs were immune-mediated colitis (8.5%), hypothyroidism (7.7%), hepatitis (4.9%), and pneumonitis (3.5%).</w:t>
      </w:r>
    </w:p>
    <w:p>
      <w:pPr>
        <w:spacing w:before="80" w:after="80"/>
      </w:pPr>
      <w:r>
        <w:rPr>
          <w:b/>
          <w:bCs/>
        </w:rPr>
        <w:t xml:space="preserve">Table 4. imAE Incidence by AUCss Quartile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Safety Endpoint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imAE (n/N, 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11/36 (30.6%)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11/35 (31.4%)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12/36 (33.3%)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12/35 (34.3%)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&gt;=3 imAE (n/N, 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4/36 (11.1%)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3/35 (8.6%)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3/36 (8.3%)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4/35 (11.4%)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AE Grade &gt;=3 (n/N, 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14/36 (38.9%)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15/35 (42.9%)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13/36 (36.1%)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14/35 (40.0%)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Treatment discontinuation (n/N, 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4/36 (11.1%)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3/35 (8.6%)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4/36 (11.1%)</w:t>
            </w:r>
          </w:p>
        </w:tc>
        <w:tc>
          <w:tcPr>
            <w:tcW w:type="dxa" w:w="1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5/35 (14.3%)</w:t>
            </w:r>
          </w:p>
        </w:tc>
      </w:tr>
    </w:tbl>
    <w:p>
      <w:pPr>
        <w:spacing w:before="80" w:after="80"/>
      </w:pPr>
      <w:r>
        <w:t xml:space="preserve">Logistic regression of any imAE vs. log(AUCss): OR = 1.06 per doubling of AUCss (95% CI: 0.74–1.52; p = 0.74). No statistically significant or clinically relevant relationship between AUCss and any safety endpoint was identified. The Spearman rank correlation between AUCss and imAE (rho = 0.04; p = 0.61) and AUCss and Grade &gt;=3 imAE (rho = 0.02; p = 0.81) both indicated no meaningful association. These results are consistent with the established mechanism of action of PD-1 inhibitors, where immune-related toxicity appears to be driven by individual immune susceptibility rather than dose/exposure.</w:t>
      </w:r>
    </w:p>
    <w:p>
      <w:pPr>
        <w:pStyle w:val="Heading2"/>
        <w:spacing w:before="240" w:after="120"/>
      </w:pPr>
      <w:r>
        <w:rPr>
          <w:b/>
          <w:bCs/>
          <w:color w:val="2E75B6"/>
        </w:rPr>
        <w:t xml:space="preserve">6.2 ADA Sensitivity Analysis</w:t>
      </w:r>
    </w:p>
    <w:p>
      <w:pPr>
        <w:spacing w:before="80" w:after="80"/>
      </w:pPr>
      <w:r>
        <w:t xml:space="preserve">Among ADA-positive patients (n=11), imAE incidence was 27.3% vs. 33.1% in ADA-negative patients. No statistically significant effect of ADA status on imAE rates was identified (OR = 0.77; 95% CI: 0.21–2.82; p = 0.69). ADA positivity was associated with modestly lower AUCss (geometric mean ratio 0.87 vs. ADA-negative), but this difference did not translate to meaningfully different efficacy or safety outcomes.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7. SUMMARY E-R TABLE</w:t>
      </w:r>
    </w:p>
    <w:p>
      <w:pPr>
        <w:spacing w:before="80" w:after="80"/>
      </w:pPr>
      <w:r>
        <w:rPr>
          <w:b/>
          <w:bCs/>
        </w:rPr>
        <w:t xml:space="preserve">Table 5. Summary of Exposure-Response Relationships for Cervimab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2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E-R Metric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 / Magnitude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Clinical Implication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ORR (binary)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Positive: OR 1.48 per 2x AUCss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Supports 400 mg dose; no plateau observed within clinical range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DCR (binary)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Positive: consistent with ORR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ORR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PFS (time-to-event)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Positive: HR 0.71 per 2x AUCss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exposure associated with prolonged PFS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imAE (binary)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None: OR 1.06 (NS)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dose reduction warranted for safety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&gt;=3 imAE (binary)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None: Spearman rho 0.02 (NS)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exposure-driven toxicity signal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Grade &gt;=3 AE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None: no trend across quartiles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safety concerns with higher exposure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  <w:color w:val="1F3864"/>
        </w:rPr>
        <w:t xml:space="preserve">8. FLAT DOSE vs. WEIGHT-BASED DOSING</w:t>
      </w:r>
    </w:p>
    <w:p>
      <w:pPr>
        <w:spacing w:before="80" w:after="80"/>
      </w:pPr>
      <w:r>
        <w:t xml:space="preserve">To evaluate whether weight-based dosing (mg/kg) would provide better exposure uniformity than flat dosing (400 mg), simulations were performed comparing AUCss distributions across body weight strata for: (a) flat dose 400 mg Q3W and (b) weight-based dose 5 mg/kg Q3W.</w:t>
      </w:r>
    </w:p>
    <w:p>
      <w:pPr>
        <w:spacing w:before="80" w:after="80"/>
      </w:pPr>
      <w:r>
        <w:rPr>
          <w:b/>
          <w:bCs/>
        </w:rPr>
        <w:t xml:space="preserve">Table 6. AUCss CV% by Dosing Strategy and Body Weight Stratum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Weight Stratum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Flat Dose AUCss CV%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Mg/kg Dose AUCss CV%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40–60 kg (n=18)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34.2%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32.8%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Comparable; flat dose acceptable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61–80 kg (n=72)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29.8%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31.2%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81–100 kg (n=38)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30.1%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&gt;100 kg (n=14)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33.8%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28.4%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 CV reduction; not clinically meaningful given flat E-R safety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Overall (N=142)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31.4%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30.4%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meaningful advantage of mg/kg over flat dosing</w:t>
            </w:r>
          </w:p>
        </w:tc>
      </w:tr>
    </w:tbl>
    <w:p>
      <w:pPr>
        <w:spacing w:before="80" w:after="80"/>
      </w:pPr>
      <w:r>
        <w:t xml:space="preserve">Weight-based dosing offered no meaningful reduction in AUCss variability compared to flat dosing, consistent with the known reduced impact of weight-based dosing for mAbs with allometric clearance. Given operational advantages of flat dosing and the absence of a safety E-R relationship, flat dose 400 mg Q3W is supported.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9. SUBGROUP ANALYSES</w:t>
      </w:r>
    </w:p>
    <w:p>
      <w:pPr>
        <w:spacing w:before="80" w:after="80"/>
      </w:pPr>
      <w:r>
        <w:t xml:space="preserve">E-R relationships for ORR and imAE were examined in the following subgroups: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ORR OR (95% CI) per 2x AUCss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imAE OR (95% CI)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Consistent with Overall?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Females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1.51 (1.02–2.24)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1.08 (0.62–1.88)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1.46 (1.04–2.05)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1.04 (0.63–1.72)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 &gt;=65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1.39 (0.94–2.06)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1.11 (0.67–1.84)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 &lt;65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1.55 (1.09–2.19)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1.04 (0.63–1.71)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BWT &gt;=80 kg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1.44 (0.96–2.17)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1.09 (0.60–2.00)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BWT &lt;80 kg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1.50 (1.08–2.09)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1.05 (0.64–1.71)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&gt;=2 prior lines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1.47 (1.04–2.08)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0.99 (0.60–1.63)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>E-R relationships for ORR were consistent across all evaluated subgroups. No subgroup interaction was statistically significant. The absence of an exposure-imAE relationship was consistent in all subgroups.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10. CONCLUSIONS AND REGULATORY IMPLICATIONS</w:t>
      </w:r>
    </w:p>
    <w:p>
      <w:pPr>
        <w:spacing w:before="80" w:after="80"/>
      </w:pPr>
      <w:r>
        <w:t xml:space="preserve">A positive, statistically significant E-R relationship was established between cervimab steady-state AUC and both objective response rate and progression-free survival in patients with dMMR/MSI-H mCRC. These findings are consistent with the mechanism of action of PD-1 inhibitors (sustained receptor occupancy driving tumor immune rejection) and are robust to covariate adjustment and subgroup analyses.</w:t>
      </w:r>
    </w:p>
    <w:p>
      <w:pPr>
        <w:spacing w:before="80" w:after="80"/>
      </w:pPr>
      <w:r>
        <w:t xml:space="preserve">No clinically meaningful E-R relationship was identified between cervimab AUCss and immune-mediated or all-cause toxicity, indicating a favorable therapeutic index with no evidence of a narrow safety-efficacy window at the proposed dose range.</w:t>
      </w:r>
    </w:p>
    <w:p>
      <w:pPr>
        <w:spacing w:before="80" w:after="80"/>
      </w:pPr>
      <w:r>
        <w:t xml:space="preserve">The following regulatory conclusions are supported by these analyses: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The proposed commercial dose of 400 mg Q3W IV is appropriate and provides target exposure (&gt;EC50 for ORR) in approximately 97.8% of patients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No dose adjustment is required for patient characteristics including body weight, age, sex, renal function, hepatic function, ECOG PS, or ADA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Flat (fixed) dosing is preferred over weight-based (mg/kg) dosing, as it provides equivalent PK uniformity with operational advantages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No upper exposure limit (dose cap) is required given the absence of an exposure-toxicity relationship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These findings will be presented in Module 2.7.2 of the NDA/BLA submission as part of the Clinical Pharmacology Summary</w:t>
      </w:r>
    </w:p>
    <w:p>
      <w:pPr>
        <w:pStyle w:val="Heading1"/>
        <w:spacing w:before="240" w:after="120"/>
      </w:pPr>
      <w:r>
        <w:rPr>
          <w:b/>
          <w:bCs/>
          <w:color w:val="1F3864"/>
        </w:rPr>
        <w:t xml:space="preserve">11.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US FDA. Exposure-Response Relationships — Study Design, Data Analysis, and Regulatory Applications. Guidance for Industry. 2003.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ICH E4. Dose-Response Information to Support Drug Registration. 1994.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US FDA. Population Pharmacokinetics: Guidance for Industry. February 2022.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Hodi FS, et al. Evaluation of immune-related response criteria and RECIST v1.1 response in patients with advanced melanoma treated with pembrolizumab. J Clin Oncol. 2016.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Centanni M, et al. Clinical Pharmacokinetics and Pharmacodynamics of Atezolizumab in Cancer Immunotherapy. Clin Pharmacokinet. 2019.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 xml:space="preserve">R Core Team. R: A Language and Environment for Statistical Computing. Vienna, Austria: R Foundation for Statistical Computing. 2023.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color w:val="666666"/>
        <w:sz w:val="18"/>
        <w:szCs w:val="18"/>
      </w:rPr>
      <w:t xml:space="preserve">Pharma Innovate, Inc. | Confidential</w:t>
    </w:r>
    <w:r>
      <w:rPr>
        <w:color w:val="666666"/>
        <w:sz w:val="18"/>
        <w:szCs w:val="18"/>
      </w:rPr>
      <w:t xml:space="preserve">	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b/>
        <w:bCs/>
        <w:color w:val="2E75B6"/>
        <w:sz w:val="18"/>
        <w:szCs w:val="18"/>
      </w:rPr>
      <w:t xml:space="preserve">CONFIDENTIAL</w:t>
    </w:r>
    <w:r>
      <w:rPr>
        <w:color w:val="666666"/>
        <w:sz w:val="18"/>
        <w:szCs w:val="18"/>
      </w:rPr>
      <w:t xml:space="preserve">	Cervimab (CVM-001) | Exposure-Response Report |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2026-03-16T13:56:22.728Z</dcterms:created>
  <dcterms:modified xsi:type="dcterms:W3CDTF">2026-03-16T13:56:22.729Z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