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0" w:after="120"/>
        <w:jc w:val="center"/>
      </w:pPr>
      <w:r>
        <w:rPr>
          <w:b/>
          <w:bCs/>
          <w:color w:val="666666"/>
          <w:sz w:val="20"/>
          <w:szCs w:val="20"/>
        </w:rPr>
        <w:t xml:space="preserve">PHARMA INNOVATE, INC.</w:t>
      </w:r>
    </w:p>
    <w:p>
      <w:pPr>
        <w:spacing w:before="0" w:after="60"/>
        <w:jc w:val="center"/>
      </w:pPr>
      <w:r>
        <w:rPr>
          <w:b/>
          <w:bCs/>
          <w:color w:val="1F3864"/>
          <w:sz w:val="40"/>
          <w:szCs w:val="40"/>
        </w:rPr>
        <w:t xml:space="preserve">POPULATION PHARMACOKINETIC ANALYSIS PLAN</w:t>
      </w:r>
    </w:p>
    <w:p>
      <w:pPr>
        <w:pBdr>
          <w:bottom w:val="single" w:color="2E75B6" w:sz="6" w:space="1"/>
        </w:pBdr>
        <w:spacing w:before="120" w:after="120"/>
      </w:pPr>
    </w:p>
    <w:p>
      <w:pPr>
        <w:spacing w:before="120" w:after="60"/>
        <w:jc w:val="center"/>
      </w:pPr>
      <w:r>
        <w:rPr>
          <w:b/>
          <w:bCs/>
          <w:color w:val="2E75B6"/>
          <w:sz w:val="32"/>
          <w:szCs w:val="32"/>
        </w:rPr>
        <w:t xml:space="preserve">Cervimab (CVM-001)</w:t>
      </w:r>
    </w:p>
    <w:p>
      <w:pPr>
        <w:spacing w:before="0" w:after="60"/>
        <w:jc w:val="center"/>
      </w:pPr>
      <w:r>
        <w:rPr>
          <w:color w:val="333333"/>
          <w:sz w:val="24"/>
          <w:szCs w:val="24"/>
        </w:rPr>
        <w:t xml:space="preserve">A PD-1 Inhibitor for the Treatment of dMMR/MSI-H Metastatic Colorectal Cancer</w:t>
      </w:r>
    </w:p>
    <w:p>
      <w:pPr>
        <w:spacing w:before="4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Document Number:</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CVM-001-POPPK-PLAN-001</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Study:</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CVM-001-202 (Phase 2)</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Version:</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1.0 (Final)</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Date:</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March 2026</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Prepared by:</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Clinical Pharmacology, Pharma Innovate, Inc.</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Regulatory Reference:</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FDA Guidance: Population Pharmacokinetics (2022)</w:t>
            </w:r>
          </w:p>
        </w:tc>
      </w:tr>
    </w:tbl>
    <w:p>
      <w:r>
        <w:br w:type="page"/>
      </w:r>
    </w:p>
    <w:p>
      <w:pPr>
        <w:pStyle w:val="Heading1"/>
        <w:spacing w:before="240" w:after="120"/>
      </w:pPr>
      <w:r>
        <w:rPr>
          <w:b/>
          <w:bCs/>
          <w:color w:val="1F3864"/>
        </w:rPr>
        <w:t xml:space="preserve">1. BACKGROUND AND INTRODUCTION</w:t>
      </w:r>
    </w:p>
    <w:p>
      <w:pPr>
        <w:spacing w:before="80" w:after="80"/>
      </w:pPr>
      <w:r>
        <w:t xml:space="preserve">Cervimab (CVM-001) is an investigational fully human IgG4 monoclonal antibody targeting the programmed cell death protein 1 (PD-1) receptor. It is being developed for the treatment of patients with deficient mismatch repair (dMMR) or microsatellite instability-high (MSI-H) metastatic colorectal cancer (mCRC). Cervimab blocks the interaction between PD-1 and its ligands PD-L1 and PD-L2, thereby restoring antitumor immune activity.</w:t>
      </w:r>
    </w:p>
    <w:p>
      <w:pPr>
        <w:spacing w:before="80" w:after="80"/>
      </w:pPr>
      <w:r>
        <w:t xml:space="preserve">Study CVM-001-202 is an open-label, multicenter Phase 2 trial evaluating the efficacy and safety of cervimab 400 mg administered intravenously (IV) every 3 weeks (Q3W) in patients with dMMR/MSI-H mCRC who have received at least one prior line of therapy.</w:t>
      </w:r>
    </w:p>
    <w:p>
      <w:pPr>
        <w:spacing w:before="80" w:after="80"/>
      </w:pPr>
      <w:r>
        <w:t xml:space="preserve">This Population Pharmacokinetic (PopPK) Analysis Plan describes the methodology for characterizing the PK of cervimab using nonlinear mixed-effects modeling (NLME), identifying clinically relevant covariates, and supporting subsequent exposure-response (E-R) analyses. This plan was prospectively developed prior to unblinding of PK data, in accordance with FDA guidance on population pharmacokinetics (2022) and ICH E4/M3 principles.</w:t>
      </w:r>
    </w:p>
    <w:p>
      <w:pPr>
        <w:pStyle w:val="Heading1"/>
        <w:spacing w:before="240" w:after="120"/>
      </w:pPr>
      <w:r>
        <w:rPr>
          <w:b/>
          <w:bCs/>
          <w:color w:val="1F3864"/>
        </w:rPr>
        <w:t xml:space="preserve">2. OBJECTIVES</w:t>
      </w:r>
    </w:p>
    <w:p>
      <w:pPr>
        <w:pStyle w:val="Heading2"/>
        <w:spacing w:before="240" w:after="120"/>
      </w:pPr>
      <w:r>
        <w:rPr>
          <w:b/>
          <w:bCs/>
          <w:color w:val="2E75B6"/>
        </w:rPr>
        <w:t xml:space="preserve">2.1 Primary Objectives</w:t>
      </w:r>
    </w:p>
    <w:p>
      <w:pPr>
        <w:pStyle w:val="ListParagraph"/>
        <w:numPr>
          <w:ilvl w:val="0"/>
          <w:numId w:val="2"/>
        </w:numPr>
        <w:spacing w:before="60" w:after="60"/>
      </w:pPr>
      <w:r>
        <w:t xml:space="preserve">Develop a robust population PK model to characterize the PK of cervimab following IV administration in the target patient population</w:t>
      </w:r>
    </w:p>
    <w:p>
      <w:pPr>
        <w:pStyle w:val="ListParagraph"/>
        <w:numPr>
          <w:ilvl w:val="0"/>
          <w:numId w:val="2"/>
        </w:numPr>
        <w:spacing w:before="60" w:after="60"/>
      </w:pPr>
      <w:r>
        <w:t xml:space="preserve">Estimate individual-level Bayesian PK parameters and derived exposure metrics (AUC, Cmax, Ctrough) for use in E-R analyses</w:t>
      </w:r>
    </w:p>
    <w:p>
      <w:pPr>
        <w:pStyle w:val="ListParagraph"/>
        <w:numPr>
          <w:ilvl w:val="0"/>
          <w:numId w:val="2"/>
        </w:numPr>
        <w:spacing w:before="60" w:after="60"/>
      </w:pPr>
      <w:r>
        <w:t xml:space="preserve">Evaluate and quantify the effect of clinically relevant patient characteristics (covariates) on cervimab PK</w:t>
      </w:r>
    </w:p>
    <w:p>
      <w:pPr>
        <w:pStyle w:val="Heading2"/>
        <w:spacing w:before="240" w:after="120"/>
      </w:pPr>
      <w:r>
        <w:rPr>
          <w:b/>
          <w:bCs/>
          <w:color w:val="2E75B6"/>
        </w:rPr>
        <w:t xml:space="preserve">2.2 Secondary Objectives</w:t>
      </w:r>
    </w:p>
    <w:p>
      <w:pPr>
        <w:pStyle w:val="ListParagraph"/>
        <w:numPr>
          <w:ilvl w:val="0"/>
          <w:numId w:val="2"/>
        </w:numPr>
        <w:spacing w:before="60" w:after="60"/>
      </w:pPr>
      <w:r>
        <w:t xml:space="preserve">Compare observed PK in Phase 2 patients with Phase 1 healthy volunteer and patient data</w:t>
      </w:r>
    </w:p>
    <w:p>
      <w:pPr>
        <w:pStyle w:val="ListParagraph"/>
        <w:numPr>
          <w:ilvl w:val="0"/>
          <w:numId w:val="2"/>
        </w:numPr>
        <w:spacing w:before="60" w:after="60"/>
      </w:pPr>
      <w:r>
        <w:t xml:space="preserve">Simulate PK at the proposed commercial dosing regimen and assess adequacy of PK target attainment</w:t>
      </w:r>
    </w:p>
    <w:p>
      <w:pPr>
        <w:pStyle w:val="ListParagraph"/>
        <w:numPr>
          <w:ilvl w:val="0"/>
          <w:numId w:val="2"/>
        </w:numPr>
        <w:spacing w:before="60" w:after="60"/>
      </w:pPr>
      <w:r>
        <w:t xml:space="preserve">Provide individual predicted PK parameter estimates to support efficacy and safety E-R analyses</w:t>
      </w:r>
    </w:p>
    <w:p>
      <w:pPr>
        <w:pStyle w:val="Heading1"/>
        <w:spacing w:before="240" w:after="120"/>
      </w:pPr>
      <w:r>
        <w:rPr>
          <w:b/>
          <w:bCs/>
          <w:color w:val="1F3864"/>
        </w:rPr>
        <w:t xml:space="preserve">3. DATA</w:t>
      </w:r>
    </w:p>
    <w:p>
      <w:pPr>
        <w:pStyle w:val="Heading2"/>
        <w:spacing w:before="240" w:after="120"/>
      </w:pPr>
      <w:r>
        <w:rPr>
          <w:b/>
          <w:bCs/>
          <w:color w:val="2E75B6"/>
        </w:rPr>
        <w:t xml:space="preserve">3.1 Source Data</w:t>
      </w:r>
    </w:p>
    <w:p>
      <w:pPr>
        <w:spacing w:before="80" w:after="80"/>
      </w:pPr>
      <w:r>
        <w:t xml:space="preserve">PK data will be derived from Study CVM-001-202 (Phase 2). Supplemental data from the Phase 1 dose-escalation study (CVM-001-101) will be incorporated to support base model development and bridging.</w:t>
      </w:r>
    </w:p>
    <w:p>
      <w:pPr>
        <w:spacing w:before="80" w:after="80"/>
      </w:pPr>
      <w:r>
        <w:t xml:space="preserve">PK samples will be collected as follows:</w:t>
      </w:r>
    </w:p>
    <w:p>
      <w:pPr>
        <w:pStyle w:val="ListParagraph"/>
        <w:numPr>
          <w:ilvl w:val="0"/>
          <w:numId w:val="2"/>
        </w:numPr>
        <w:spacing w:before="60" w:after="60"/>
      </w:pPr>
      <w:r>
        <w:t xml:space="preserve">Cycle 1 (Day 1): pre-dose, end-of-infusion (60 min), 2 h, 4 h, 8 h, 24 h, 72 h, and 168 h post-infusion start</w:t>
      </w:r>
    </w:p>
    <w:p>
      <w:pPr>
        <w:pStyle w:val="ListParagraph"/>
        <w:numPr>
          <w:ilvl w:val="0"/>
          <w:numId w:val="2"/>
        </w:numPr>
        <w:spacing w:before="60" w:after="60"/>
      </w:pPr>
      <w:r>
        <w:t xml:space="preserve">Cycle 3 and Cycle 6 Day 1: pre-dose and end-of-infusion (trough and Cmax)</w:t>
      </w:r>
    </w:p>
    <w:p>
      <w:pPr>
        <w:pStyle w:val="ListParagraph"/>
        <w:numPr>
          <w:ilvl w:val="0"/>
          <w:numId w:val="2"/>
        </w:numPr>
        <w:spacing w:before="60" w:after="60"/>
      </w:pPr>
      <w:r>
        <w:t xml:space="preserve">All subsequent odd cycles (C9, C11...): pre-dose trough only</w:t>
      </w:r>
    </w:p>
    <w:p>
      <w:pPr>
        <w:pStyle w:val="ListParagraph"/>
        <w:numPr>
          <w:ilvl w:val="0"/>
          <w:numId w:val="2"/>
        </w:numPr>
        <w:spacing w:before="60" w:after="60"/>
      </w:pPr>
      <w:r>
        <w:t xml:space="preserve">End of treatment and 30-day follow-up visits</w:t>
      </w:r>
    </w:p>
    <w:p>
      <w:pPr>
        <w:pStyle w:val="Heading2"/>
        <w:spacing w:before="240" w:after="120"/>
      </w:pPr>
      <w:r>
        <w:rPr>
          <w:b/>
          <w:bCs/>
          <w:color w:val="2E75B6"/>
        </w:rPr>
        <w:t xml:space="preserve">3.2 Data Inclusion/Exclusion Criteria</w:t>
      </w:r>
    </w:p>
    <w:p>
      <w:pPr>
        <w:spacing w:before="80" w:after="80"/>
      </w:pPr>
      <w:r>
        <w:t xml:space="preserve">Inclusion criteria for PK analysis:</w:t>
      </w:r>
    </w:p>
    <w:p>
      <w:pPr>
        <w:pStyle w:val="ListParagraph"/>
        <w:numPr>
          <w:ilvl w:val="0"/>
          <w:numId w:val="2"/>
        </w:numPr>
        <w:spacing w:before="60" w:after="60"/>
      </w:pPr>
      <w:r>
        <w:t xml:space="preserve">All patients who received at least one dose of cervimab and have at least one post-dose PK concentration</w:t>
      </w:r>
    </w:p>
    <w:p>
      <w:pPr>
        <w:pStyle w:val="ListParagraph"/>
        <w:numPr>
          <w:ilvl w:val="0"/>
          <w:numId w:val="2"/>
        </w:numPr>
        <w:spacing w:before="60" w:after="60"/>
      </w:pPr>
      <w:r>
        <w:t xml:space="preserve">All PK concentrations above the lower limit of quantification (LLOQ = 0.100 mcg/mL)</w:t>
      </w:r>
    </w:p>
    <w:p>
      <w:pPr>
        <w:spacing w:before="80" w:after="80"/>
      </w:pPr>
      <w:r>
        <w:t xml:space="preserve">Exclusion criteria:</w:t>
      </w:r>
    </w:p>
    <w:p>
      <w:pPr>
        <w:pStyle w:val="ListParagraph"/>
        <w:numPr>
          <w:ilvl w:val="0"/>
          <w:numId w:val="2"/>
        </w:numPr>
        <w:spacing w:before="60" w:after="60"/>
      </w:pPr>
      <w:r>
        <w:t xml:space="preserve">Concentrations flagged as protocol deviations with documented analytical failure</w:t>
      </w:r>
    </w:p>
    <w:p>
      <w:pPr>
        <w:pStyle w:val="ListParagraph"/>
        <w:numPr>
          <w:ilvl w:val="0"/>
          <w:numId w:val="2"/>
        </w:numPr>
        <w:spacing w:before="60" w:after="60"/>
      </w:pPr>
      <w:r>
        <w:t xml:space="preserve">Samples with documented pre-dose collection within 72 h of prior dose (for trough samples only, unless dose records confirm exact timing)</w:t>
      </w:r>
    </w:p>
    <w:p>
      <w:pPr>
        <w:pStyle w:val="ListParagraph"/>
        <w:numPr>
          <w:ilvl w:val="0"/>
          <w:numId w:val="2"/>
        </w:numPr>
        <w:spacing w:before="60" w:after="60"/>
      </w:pPr>
      <w:r>
        <w:t xml:space="preserve">Subjects with confirmed ADA positivity impacting PK (as adjudicated by the immunogenicity review committee)</w:t>
      </w:r>
    </w:p>
    <w:p>
      <w:pPr>
        <w:pStyle w:val="Heading2"/>
        <w:spacing w:before="240" w:after="120"/>
      </w:pPr>
      <w:r>
        <w:rPr>
          <w:b/>
          <w:bCs/>
          <w:color w:val="2E75B6"/>
        </w:rPr>
        <w:t xml:space="preserve">3.3 Covariates</w:t>
      </w:r>
    </w:p>
    <w:p>
      <w:pPr>
        <w:spacing w:before="80" w:after="80"/>
      </w:pPr>
      <w:r>
        <w:t xml:space="preserve">The following covariates will be evaluated in the PopPK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Covariate Category</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Specific Variable</w:t>
            </w:r>
          </w:p>
        </w:tc>
        <w:tc>
          <w:tcPr>
            <w:tcW w:type="dxa" w:w="4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Rationale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Demographic</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Body weight (BWT)</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Allometric scaling of CL and V</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Demographic</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Age</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Age-related changes in IgG recycling/FcRn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Demographic</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Sex</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Potential effect on Vd and CL</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Demographic</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Race/Ethnicity</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PK variability between populations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Organ Function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eGFR (CKD-EPI)</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Impact on catabolism/elimination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Organ Function</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ALT, AST, Total Bilirubin</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Hepatic function marker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Organ Function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Albumin</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Drug binding, distribution volume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Disease</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ECOG PS (0/1 vs. 2)</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Disease severity and physiology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Disease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Tumor burden (sum of diameters)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Volume of distribution correlate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Immunogenicity</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ADA status (positive/negative)</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Potential impact on clearance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Drug-related</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Anti-drug antibody titer</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Continuous ADA effect on CL</w:t>
            </w:r>
          </w:p>
        </w:tc>
      </w:tr>
    </w:tbl>
    <w:p>
      <w:pPr>
        <w:pStyle w:val="Heading1"/>
        <w:spacing w:before="240" w:after="120"/>
      </w:pPr>
      <w:r>
        <w:rPr>
          <w:b/>
          <w:bCs/>
          <w:color w:val="1F3864"/>
        </w:rPr>
        <w:t xml:space="preserve">4. MODELING STRATEGY</w:t>
      </w:r>
    </w:p>
    <w:p>
      <w:pPr>
        <w:pStyle w:val="Heading2"/>
        <w:spacing w:before="240" w:after="120"/>
      </w:pPr>
      <w:r>
        <w:rPr>
          <w:b/>
          <w:bCs/>
          <w:color w:val="2E75B6"/>
        </w:rPr>
        <w:t xml:space="preserve">4.1 Software</w:t>
      </w:r>
    </w:p>
    <w:p>
      <w:pPr>
        <w:spacing w:before="80" w:after="80"/>
      </w:pPr>
      <w:r>
        <w:t xml:space="preserve">Analyses will be performed using NONMEM v7.5 (ICON plc) with PsN v5.3.0 toolkit and R v4.3 (CRAN) for data preparation, visualization, and diagnostics. Perl-speaks-NONMEM (PsN) will be used for model selection, bootstrapping, and visual predictive checks. The FOCE with INTERACTION estimation method will be used as the primary method.</w:t>
      </w:r>
    </w:p>
    <w:p>
      <w:pPr>
        <w:pStyle w:val="Heading2"/>
        <w:spacing w:before="240" w:after="120"/>
      </w:pPr>
      <w:r>
        <w:rPr>
          <w:b/>
          <w:bCs/>
          <w:color w:val="2E75B6"/>
        </w:rPr>
        <w:t xml:space="preserve">4.2 Base Structural Model</w:t>
      </w:r>
    </w:p>
    <w:p>
      <w:pPr>
        <w:spacing w:before="80" w:after="80"/>
      </w:pPr>
      <w:r>
        <w:t xml:space="preserve">Based on the biologic class and IV administration, the following structural models will be evaluated sequentially:</w:t>
      </w:r>
    </w:p>
    <w:p>
      <w:pPr>
        <w:pStyle w:val="ListParagraph"/>
        <w:numPr>
          <w:ilvl w:val="0"/>
          <w:numId w:val="2"/>
        </w:numPr>
        <w:spacing w:before="60" w:after="60"/>
      </w:pPr>
      <w:r>
        <w:t xml:space="preserve">One-compartment model with first-order elimination (linear PK)</w:t>
      </w:r>
    </w:p>
    <w:p>
      <w:pPr>
        <w:pStyle w:val="ListParagraph"/>
        <w:numPr>
          <w:ilvl w:val="0"/>
          <w:numId w:val="2"/>
        </w:numPr>
        <w:spacing w:before="60" w:after="60"/>
      </w:pPr>
      <w:r>
        <w:t xml:space="preserve">Two-compartment model with first-order elimination</w:t>
      </w:r>
    </w:p>
    <w:p>
      <w:pPr>
        <w:pStyle w:val="ListParagraph"/>
        <w:numPr>
          <w:ilvl w:val="0"/>
          <w:numId w:val="2"/>
        </w:numPr>
        <w:spacing w:before="60" w:after="60"/>
      </w:pPr>
      <w:r>
        <w:t xml:space="preserve">Two-compartment model with parallel linear and Michaelis-Menten (target-mediated drug disposition, TMDD) elimination — if nonlinearity is observed</w:t>
      </w:r>
    </w:p>
    <w:p>
      <w:pPr>
        <w:spacing w:before="80" w:after="80"/>
      </w:pPr>
      <w:r>
        <w:t xml:space="preserve">Fixed allometric scaling on clearance (CL, Q) and volume (V1, V2) using body weight with exponents of 0.75 and 1.0, respectively, will be implemented as part of the base structural model, consistent with best practices for monoclonal antibodies.</w:t>
      </w:r>
    </w:p>
    <w:p>
      <w:pPr>
        <w:pStyle w:val="Heading2"/>
        <w:spacing w:before="240" w:after="120"/>
      </w:pPr>
      <w:r>
        <w:rPr>
          <w:b/>
          <w:bCs/>
          <w:color w:val="2E75B6"/>
        </w:rPr>
        <w:t xml:space="preserve">4.3 Random Effects Model</w:t>
      </w:r>
    </w:p>
    <w:p>
      <w:pPr>
        <w:spacing w:before="80" w:after="80"/>
      </w:pPr>
      <w:r>
        <w:t xml:space="preserve">Between-subject variability (BSV) will be modeled as exponential (log-normal) on all primary PK parameters. Residual unexplained variability (RUV) will be characterized using combined additive plus proportional error models. Between-occasion variability (BOV) will be explored if supported by the data.</w:t>
      </w:r>
    </w:p>
    <w:p>
      <w:pPr>
        <w:pStyle w:val="Heading2"/>
        <w:spacing w:before="240" w:after="120"/>
      </w:pPr>
      <w:r>
        <w:rPr>
          <w:b/>
          <w:bCs/>
          <w:color w:val="2E75B6"/>
        </w:rPr>
        <w:t xml:space="preserve">4.4 Covariate Analysis</w:t>
      </w:r>
    </w:p>
    <w:p>
      <w:pPr>
        <w:spacing w:before="80" w:after="80"/>
      </w:pPr>
      <w:r>
        <w:t xml:space="preserve">Covariate analysis will follow a stepwise approach:</w:t>
      </w:r>
    </w:p>
    <w:p>
      <w:pPr>
        <w:pStyle w:val="ListParagraph"/>
        <w:numPr>
          <w:ilvl w:val="0"/>
          <w:numId w:val="2"/>
        </w:numPr>
        <w:spacing w:before="60" w:after="60"/>
      </w:pPr>
      <w:r>
        <w:t xml:space="preserve">Step 1 — Graphical assessment: Empirical Bayes estimates (EBEs) of PK parameters will be plotted against each potential covariate to assess relationships</w:t>
      </w:r>
    </w:p>
    <w:p>
      <w:pPr>
        <w:pStyle w:val="ListParagraph"/>
        <w:numPr>
          <w:ilvl w:val="0"/>
          <w:numId w:val="2"/>
        </w:numPr>
        <w:spacing w:before="60" w:after="60"/>
      </w:pPr>
      <w:r>
        <w:t xml:space="preserve">Step 2 — Forward selection: Covariates with |DOBJ| &gt; 6.635 (p &lt; 0.01, chi-square, 1 df) will be added iteratively</w:t>
      </w:r>
    </w:p>
    <w:p>
      <w:pPr>
        <w:pStyle w:val="ListParagraph"/>
        <w:numPr>
          <w:ilvl w:val="0"/>
          <w:numId w:val="2"/>
        </w:numPr>
        <w:spacing w:before="60" w:after="60"/>
      </w:pPr>
      <w:r>
        <w:t xml:space="preserve">Step 3 — Backward elimination: Covariates will be retained if removal causes |DOBJ| &gt; 10.828 (p &lt; 0.001)</w:t>
      </w:r>
    </w:p>
    <w:p>
      <w:pPr>
        <w:pStyle w:val="ListParagraph"/>
        <w:numPr>
          <w:ilvl w:val="0"/>
          <w:numId w:val="2"/>
        </w:numPr>
        <w:spacing w:before="60" w:after="60"/>
      </w:pPr>
      <w:r>
        <w:t xml:space="preserve">Clinical relevance criterion: Covariates will be retained only if the effect size results in &gt; 20% change in AUCss or Cmax relative to reference</w:t>
      </w:r>
    </w:p>
    <w:p>
      <w:pPr>
        <w:spacing w:before="80" w:after="80"/>
      </w:pPr>
      <w:r>
        <w:t xml:space="preserve">Continuous covariates will be centered on the population median. Categorical covariates will be coded as binary or ordinal indicators. Power, linear, and exponential functional forms will be compared for continuous covariates.</w:t>
      </w:r>
    </w:p>
    <w:p>
      <w:pPr>
        <w:pStyle w:val="Heading2"/>
        <w:spacing w:before="240" w:after="120"/>
      </w:pPr>
      <w:r>
        <w:rPr>
          <w:b/>
          <w:bCs/>
          <w:color w:val="2E75B6"/>
        </w:rPr>
        <w:t xml:space="preserve">4.5 Model Evaluation</w:t>
      </w:r>
    </w:p>
    <w:p>
      <w:pPr>
        <w:spacing w:before="80" w:after="80"/>
      </w:pPr>
      <w:r>
        <w:t xml:space="preserve">The final model will be evaluated using:</w:t>
      </w:r>
    </w:p>
    <w:p>
      <w:pPr>
        <w:pStyle w:val="ListParagraph"/>
        <w:numPr>
          <w:ilvl w:val="0"/>
          <w:numId w:val="2"/>
        </w:numPr>
        <w:spacing w:before="60" w:after="60"/>
      </w:pPr>
      <w:r>
        <w:t xml:space="preserve">Goodness-of-fit (GOF) plots: CWRES vs. TIME, DV vs. IPRED, DV vs. PRED</w:t>
      </w:r>
    </w:p>
    <w:p>
      <w:pPr>
        <w:pStyle w:val="ListParagraph"/>
        <w:numPr>
          <w:ilvl w:val="0"/>
          <w:numId w:val="2"/>
        </w:numPr>
        <w:spacing w:before="60" w:after="60"/>
      </w:pPr>
      <w:r>
        <w:t xml:space="preserve">Visual predictive check (VPC): 1,000 simulations, stratified by dose, occasion, and key covariates</w:t>
      </w:r>
    </w:p>
    <w:p>
      <w:pPr>
        <w:pStyle w:val="ListParagraph"/>
        <w:numPr>
          <w:ilvl w:val="0"/>
          <w:numId w:val="2"/>
        </w:numPr>
        <w:spacing w:before="60" w:after="60"/>
      </w:pPr>
      <w:r>
        <w:t xml:space="preserve">Normalized prediction distribution errors (NPDE)</w:t>
      </w:r>
    </w:p>
    <w:p>
      <w:pPr>
        <w:pStyle w:val="ListParagraph"/>
        <w:numPr>
          <w:ilvl w:val="0"/>
          <w:numId w:val="2"/>
        </w:numPr>
        <w:spacing w:before="60" w:after="60"/>
      </w:pPr>
      <w:r>
        <w:t xml:space="preserve">Non-parametric bootstrap (n = 1,000) for parameter uncertainty estimation and 95% confidence intervals</w:t>
      </w:r>
    </w:p>
    <w:p>
      <w:pPr>
        <w:pStyle w:val="Heading1"/>
        <w:spacing w:before="240" w:after="120"/>
      </w:pPr>
      <w:r>
        <w:rPr>
          <w:b/>
          <w:bCs/>
          <w:color w:val="1F3864"/>
        </w:rPr>
        <w:t xml:space="preserve">5. DERIVED EXPOSURE METRICS</w:t>
      </w:r>
    </w:p>
    <w:p>
      <w:pPr>
        <w:spacing w:before="80" w:after="80"/>
      </w:pPr>
      <w:r>
        <w:t xml:space="preserve">Individual Bayesian post-hoc estimates of the following PK parameters and derived metrics will be generated for each patient for use in E-R analyses: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Parameter</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Definition</w:t>
            </w:r>
          </w:p>
        </w:tc>
        <w:tc>
          <w:tcPr>
            <w:tcW w:type="dxa" w:w="3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CL (L/day)</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Total body clearance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Primary elimination parameter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V1 (L)</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Central volume of distribution</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V2 (L)</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Peripheral volume of distribution</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From 2-compartment model</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AUCss (mcg*day/mL)</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AUC at steady-state (Cycle 3 Day 1)</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Primary E-R metric for efficacy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Cmax,ss (mcg/mL)</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Peak conc. at steady-state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Cycle 1 Day 1 EOI</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Ctrough,ss (mcg/mL)</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Trough conc. at steady-state</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sz w:val="20"/>
                <w:szCs w:val="20"/>
              </w:rPr>
              <w:t xml:space="preserve">Pre-dose Cycle 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t1/2 (days)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Effective half-life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Derived from CL and Vss</w:t>
            </w:r>
          </w:p>
        </w:tc>
      </w:tr>
    </w:tbl>
    <w:p>
      <w:pPr>
        <w:pStyle w:val="Heading1"/>
        <w:spacing w:before="240" w:after="120"/>
      </w:pPr>
      <w:r>
        <w:rPr>
          <w:b/>
          <w:bCs/>
          <w:color w:val="1F3864"/>
        </w:rPr>
        <w:t xml:space="preserve">6. SIMULATIONS</w:t>
      </w:r>
    </w:p>
    <w:p>
      <w:pPr>
        <w:spacing w:before="80" w:after="80"/>
      </w:pPr>
      <w:r>
        <w:t xml:space="preserve">Following final model acceptance, the following simulations will be performed (n = 1,000 virtual subjects per scenario):</w:t>
      </w:r>
    </w:p>
    <w:p>
      <w:pPr>
        <w:pStyle w:val="ListParagraph"/>
        <w:numPr>
          <w:ilvl w:val="0"/>
          <w:numId w:val="2"/>
        </w:numPr>
        <w:spacing w:before="60" w:after="60"/>
      </w:pPr>
      <w:r>
        <w:t xml:space="preserve">Replicate the proposed commercial regimen (400 mg Q3W IV) and characterize steady-state PK distributions</w:t>
      </w:r>
    </w:p>
    <w:p>
      <w:pPr>
        <w:pStyle w:val="ListParagraph"/>
        <w:numPr>
          <w:ilvl w:val="0"/>
          <w:numId w:val="2"/>
        </w:numPr>
        <w:spacing w:before="60" w:after="60"/>
      </w:pPr>
      <w:r>
        <w:t xml:space="preserve">Dose-proportionality assessment across the dose range evaluated in Phase 1/2 (200–600 mg)</w:t>
      </w:r>
    </w:p>
    <w:p>
      <w:pPr>
        <w:pStyle w:val="ListParagraph"/>
        <w:numPr>
          <w:ilvl w:val="0"/>
          <w:numId w:val="2"/>
        </w:numPr>
        <w:spacing w:before="60" w:after="60"/>
      </w:pPr>
      <w:r>
        <w:t xml:space="preserve">Covariate sensitivity analysis: simulate exposure in covariate subgroups (e.g., low vs. normal body weight, mild/moderate renal impairment) to assess need for dose adjustment</w:t>
      </w:r>
    </w:p>
    <w:p>
      <w:pPr>
        <w:pStyle w:val="ListParagraph"/>
        <w:numPr>
          <w:ilvl w:val="0"/>
          <w:numId w:val="2"/>
        </w:numPr>
        <w:spacing w:before="60" w:after="60"/>
      </w:pPr>
      <w:r>
        <w:t xml:space="preserve">Time to steady-state characterization</w:t>
      </w:r>
    </w:p>
    <w:p>
      <w:pPr>
        <w:pStyle w:val="Heading1"/>
        <w:spacing w:before="240" w:after="120"/>
      </w:pPr>
      <w:r>
        <w:rPr>
          <w:b/>
          <w:bCs/>
          <w:color w:val="1F3864"/>
        </w:rPr>
        <w:t xml:space="preserve">7. REPORTING</w:t>
      </w:r>
    </w:p>
    <w:p>
      <w:pPr>
        <w:spacing w:before="80" w:after="80"/>
      </w:pPr>
      <w:r>
        <w:t xml:space="preserve">This analysis plan will be finalized and version-controlled prior to database lock and PK data unblinding. Results will be reported in a Population PK Report (CVM-001-POPPK-RPT-001) and will be included in Module 2.7.2 (Summary of Clinical Pharmacology Studies) of the NDA/BLA submission package. Individual Bayesian PK parameter estimates will be transferred to the E-R analysis team under controlled file transfer.</w:t>
      </w:r>
    </w:p>
    <w:p>
      <w:pPr>
        <w:pStyle w:val="Heading1"/>
        <w:spacing w:before="240" w:after="120"/>
      </w:pPr>
      <w:r>
        <w:rPr>
          <w:b/>
          <w:bCs/>
          <w:color w:val="1F3864"/>
        </w:rPr>
        <w:t xml:space="preserve">8. REFERENCES</w:t>
      </w:r>
    </w:p>
    <w:p>
      <w:pPr>
        <w:pStyle w:val="ListParagraph"/>
        <w:numPr>
          <w:ilvl w:val="0"/>
          <w:numId w:val="2"/>
        </w:numPr>
        <w:spacing w:before="60" w:after="60"/>
      </w:pPr>
      <w:r>
        <w:t xml:space="preserve">US FDA. Population Pharmacokinetics: Guidance for Industry. February 2022.</w:t>
      </w:r>
    </w:p>
    <w:p>
      <w:pPr>
        <w:pStyle w:val="ListParagraph"/>
        <w:numPr>
          <w:ilvl w:val="0"/>
          <w:numId w:val="2"/>
        </w:numPr>
        <w:spacing w:before="60" w:after="60"/>
      </w:pPr>
      <w:r>
        <w:t xml:space="preserve">ICH E4. Dose-Response Information to Support Drug Registration. 1994.</w:t>
      </w:r>
    </w:p>
    <w:p>
      <w:pPr>
        <w:pStyle w:val="ListParagraph"/>
        <w:numPr>
          <w:ilvl w:val="0"/>
          <w:numId w:val="2"/>
        </w:numPr>
        <w:spacing w:before="60" w:after="60"/>
      </w:pPr>
      <w:r>
        <w:t xml:space="preserve">Beal SL, Sheiner LB, Boeckmann A, Bauer RJ. NONMEM Users Guide. 1989-2009. ICON plc.</w:t>
      </w:r>
    </w:p>
    <w:p>
      <w:pPr>
        <w:pStyle w:val="ListParagraph"/>
        <w:numPr>
          <w:ilvl w:val="0"/>
          <w:numId w:val="2"/>
        </w:numPr>
        <w:spacing w:before="60" w:after="60"/>
      </w:pPr>
      <w:r>
        <w:t xml:space="preserve">Lindbom L, et al. Perl-speaks-NONMEM (PsN) — a Perl module for NONMEM related programming. Comput Methods Programs Biomed. 2004.</w:t>
      </w:r>
    </w:p>
    <w:p>
      <w:pPr>
        <w:pStyle w:val="ListParagraph"/>
        <w:numPr>
          <w:ilvl w:val="0"/>
          <w:numId w:val="2"/>
        </w:numPr>
        <w:spacing w:before="60" w:after="60"/>
      </w:pPr>
      <w:r>
        <w:t xml:space="preserve">US FDA. Guidance for Industry: Clinical Pharmacology Considerations for the Development of Monoclonal Antibodies. 2022.</w:t>
      </w:r>
    </w:p>
    <w:p>
      <w:pPr>
        <w:pStyle w:val="Heading1"/>
        <w:spacing w:before="240" w:after="120"/>
      </w:pPr>
      <w:r>
        <w:rPr>
          <w:b/>
          <w:bCs/>
          <w:color w:val="1F3864"/>
        </w:rPr>
        <w:t xml:space="preserve">9. APPENDIX: PLANNED DIAGNOSTIC PLOTS</w:t>
      </w:r>
    </w:p>
    <w:p>
      <w:pPr>
        <w:spacing w:before="80" w:after="80"/>
      </w:pPr>
      <w:r>
        <w:t xml:space="preserve">The following diagnostic plots will be presented in the final PopPK report:</w:t>
      </w:r>
    </w:p>
    <w:p>
      <w:pPr>
        <w:spacing w:before="80" w:after="80"/>
      </w:pPr>
      <w:r>
        <w:rPr>
          <w:b/>
          <w:bCs/>
        </w:rPr>
        <w:t xml:space="preserve">A.1 Base Model Diagnostics</w:t>
      </w:r>
    </w:p>
    <w:p>
      <w:pPr>
        <w:pStyle w:val="ListParagraph"/>
        <w:numPr>
          <w:ilvl w:val="0"/>
          <w:numId w:val="2"/>
        </w:numPr>
        <w:spacing w:before="60" w:after="60"/>
      </w:pPr>
      <w:r>
        <w:t xml:space="preserve">DV vs PRED and DV vs IPRED (with identity line and loess smoother)</w:t>
      </w:r>
    </w:p>
    <w:p>
      <w:pPr>
        <w:pStyle w:val="ListParagraph"/>
        <w:numPr>
          <w:ilvl w:val="0"/>
          <w:numId w:val="2"/>
        </w:numPr>
        <w:spacing w:before="60" w:after="60"/>
      </w:pPr>
      <w:r>
        <w:t xml:space="preserve">CWRES vs PRED and CWRES vs TIME (with reference lines at ±2)</w:t>
      </w:r>
    </w:p>
    <w:p>
      <w:pPr>
        <w:pStyle w:val="ListParagraph"/>
        <w:numPr>
          <w:ilvl w:val="0"/>
          <w:numId w:val="2"/>
        </w:numPr>
        <w:spacing w:before="60" w:after="60"/>
      </w:pPr>
      <w:r>
        <w:t xml:space="preserve">Histogram and QQ-plot of CWRES</w:t>
      </w:r>
    </w:p>
    <w:p>
      <w:pPr>
        <w:spacing w:before="80" w:after="80"/>
      </w:pPr>
      <w:r>
        <w:rPr>
          <w:b/>
          <w:bCs/>
        </w:rPr>
        <w:t xml:space="preserve">A.2 Covariate Analysis</w:t>
      </w:r>
    </w:p>
    <w:p>
      <w:pPr>
        <w:pStyle w:val="ListParagraph"/>
        <w:numPr>
          <w:ilvl w:val="0"/>
          <w:numId w:val="2"/>
        </w:numPr>
        <w:spacing w:before="60" w:after="60"/>
      </w:pPr>
      <w:r>
        <w:t xml:space="preserve">EBE-covariate scatter plots with regression lines for all evaluated covariates</w:t>
      </w:r>
    </w:p>
    <w:p>
      <w:pPr>
        <w:pStyle w:val="ListParagraph"/>
        <w:numPr>
          <w:ilvl w:val="0"/>
          <w:numId w:val="2"/>
        </w:numPr>
        <w:spacing w:before="60" w:after="60"/>
      </w:pPr>
      <w:r>
        <w:t xml:space="preserve">Forest plots of covariate effects on AUCss and Cmax,ss (percent change relative to reference individual)</w:t>
      </w:r>
    </w:p>
    <w:p>
      <w:pPr>
        <w:spacing w:before="80" w:after="80"/>
      </w:pPr>
      <w:r>
        <w:rPr>
          <w:b/>
          <w:bCs/>
        </w:rPr>
        <w:t xml:space="preserve">A.3 Model Qualification</w:t>
      </w:r>
    </w:p>
    <w:p>
      <w:pPr>
        <w:pStyle w:val="ListParagraph"/>
        <w:numPr>
          <w:ilvl w:val="0"/>
          <w:numId w:val="2"/>
        </w:numPr>
        <w:spacing w:before="60" w:after="60"/>
      </w:pPr>
      <w:r>
        <w:t xml:space="preserve">Visual predictive checks (VPC) stratified by dose, study, and key covariates</w:t>
      </w:r>
    </w:p>
    <w:p>
      <w:pPr>
        <w:pStyle w:val="ListParagraph"/>
        <w:numPr>
          <w:ilvl w:val="0"/>
          <w:numId w:val="2"/>
        </w:numPr>
        <w:spacing w:before="60" w:after="60"/>
      </w:pPr>
      <w:r>
        <w:t xml:space="preserve">NPDE distribution plots</w:t>
      </w:r>
    </w:p>
    <w:p>
      <w:pPr>
        <w:pStyle w:val="ListParagraph"/>
        <w:numPr>
          <w:ilvl w:val="0"/>
          <w:numId w:val="2"/>
        </w:numPr>
        <w:spacing w:before="60" w:after="60"/>
      </w:pPr>
      <w:r>
        <w:t xml:space="preserve">Bootstrap parameter distributions vs. final model estimates</w:t>
      </w:r>
    </w:p>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pPr>
    <w:r>
      <w:rPr>
        <w:color w:val="666666"/>
        <w:sz w:val="18"/>
        <w:szCs w:val="18"/>
      </w:rPr>
      <w:t xml:space="preserve">Pharma Innovate, Inc. | Confidential</w:t>
    </w:r>
    <w:r>
      <w:rPr>
        <w:color w:val="666666"/>
        <w:sz w:val="18"/>
        <w:szCs w:val="18"/>
      </w:rPr>
      <w:t xml:space="preserve">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b/>
        <w:bCs/>
        <w:color w:val="2E75B6"/>
        <w:sz w:val="18"/>
        <w:szCs w:val="18"/>
      </w:rPr>
      <w:t xml:space="preserve">CONFIDENTIAL</w:t>
    </w:r>
    <w:r>
      <w:rPr>
        <w:color w:val="666666"/>
        <w:sz w:val="18"/>
        <w:szCs w:val="18"/>
      </w:rPr>
      <w:t xml:space="preserve">	Cervimab (CVM-001) | PopPK Analysis Plan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F3864"/>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160" w:after="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2026-03-16T13:51:54.078Z</dcterms:created>
  <dcterms:modified xsi:type="dcterms:W3CDTF">2026-03-16T13:51:54.079Z</dcterms:modified>
</cp:coreProperties>
</file>

<file path=docProps/custom.xml><?xml version="1.0" encoding="utf-8"?>
<Properties xmlns="http://schemas.openxmlformats.org/officeDocument/2006/custom-properties" xmlns:vt="http://schemas.openxmlformats.org/officeDocument/2006/docPropsVTypes"/>
</file>