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b/>
          <w:bCs/>
          <w:color w:val="666666"/>
          <w:sz w:val="20"/>
          <w:szCs w:val="20"/>
        </w:rPr>
        <w:t xml:space="preserve">PHARMA INNOVATE, INC.</w:t>
      </w:r>
    </w:p>
    <w:p>
      <w:pPr>
        <w:spacing w:before="0" w:after="60"/>
        <w:jc w:val="center"/>
      </w:pPr>
      <w:r>
        <w:rPr>
          <w:b/>
          <w:bCs/>
          <w:color w:val="1F3864"/>
          <w:sz w:val="40"/>
          <w:szCs w:val="40"/>
        </w:rPr>
        <w:t xml:space="preserve">POPULATION PHARMACOKINETIC ANALYSIS REPORT</w:t>
      </w:r>
    </w:p>
    <w:p>
      <w:pPr>
        <w:pBdr>
          <w:bottom w:val="single" w:color="2E75B6" w:sz="6" w:space="1"/>
        </w:pBdr>
        <w:spacing w:before="120" w:after="120"/>
      </w:pPr>
    </w:p>
    <w:p>
      <w:pPr>
        <w:spacing w:before="120" w:after="60"/>
        <w:jc w:val="center"/>
      </w:pPr>
      <w:r>
        <w:rPr>
          <w:b/>
          <w:bCs/>
          <w:color w:val="2E75B6"/>
          <w:sz w:val="32"/>
          <w:szCs w:val="32"/>
        </w:rPr>
        <w:t xml:space="preserve">Cervimab (CVM-001)</w:t>
      </w:r>
    </w:p>
    <w:p>
      <w:pPr>
        <w:spacing w:before="0" w:after="60"/>
        <w:jc w:val="center"/>
      </w:pPr>
      <w:r>
        <w:rPr>
          <w:color w:val="333333"/>
          <w:sz w:val="24"/>
          <w:szCs w:val="24"/>
        </w:rPr>
        <w:t xml:space="preserve">A PD-1 Inhibitor for dMMR/MSI-H Metastatic Colorectal Cancer</w:t>
      </w:r>
    </w:p>
    <w:p>
      <w:pPr>
        <w:spacing w:before="4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Document Number: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CVM-001-POPPK-RPT-001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Study:</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CVM-001-202 (Phase 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Software: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NONMEM v7.5, PsN v5.3, R v4.3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Version / Date: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 (Final) — March 2026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Prepared by:</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Clinical Pharmacology, Pharma Innovate, Inc.</w:t>
            </w:r>
          </w:p>
        </w:tc>
      </w:tr>
    </w:tbl>
    <w:p>
      <w:r>
        <w:br w:type="page"/>
      </w:r>
    </w:p>
    <w:p>
      <w:pPr>
        <w:pStyle w:val="Heading1"/>
        <w:spacing w:before="240" w:after="120"/>
      </w:pPr>
      <w:r>
        <w:rPr>
          <w:b/>
          <w:bCs/>
          <w:color w:val="1F3864"/>
        </w:rPr>
        <w:t xml:space="preserve">1. EXECUTIVE SUMMARY</w:t>
      </w:r>
    </w:p>
    <w:p>
      <w:pPr>
        <w:spacing w:before="80" w:after="80"/>
      </w:pPr>
      <w:r>
        <w:t xml:space="preserve">A population pharmacokinetic (PopPK) model was developed for cervimab using concentration-time data from 142 patients with dMMR/MSI-H metastatic colorectal cancer enrolled in Study CVM-001-202 (Phase 2) and supplemented with data from 36 subjects in Phase 1 (Study CVM-001-101). A total of 2,847 PK observations were available for analysis following data cleaning per pre-specified criteria.</w:t>
      </w:r>
    </w:p>
    <w:p>
      <w:pPr>
        <w:spacing w:before="80" w:after="80"/>
      </w:pPr>
      <w:r>
        <w:t xml:space="preserve">Cervimab PK was best described by a two-compartment model with linear (first-order) elimination and allometric scaling on body weight. Clearance was estimated at 0.214 L/day and central volume at 3.52 L in a reference individual (70 kg, male). The estimated terminal half-life was approximately 22.4 days, consistent with typical IgG4 monoclonal antibody behavior.</w:t>
      </w:r>
    </w:p>
    <w:p>
      <w:pPr>
        <w:spacing w:before="80" w:after="80"/>
      </w:pPr>
      <w:r>
        <w:t xml:space="preserve">Body weight was identified as the only statistically and clinically significant covariate affecting CL and V1, with effects adequately captured by the implemented allometric scaling. No other covariates—including age, sex, race, renal function, hepatic function, ECOG PS, tumor burden, or ADA status—met predefined criteria for inclusion. The final model demonstrated adequate fit and predictive performance based on goodness-of-fit plots, visual predictive checks, and bootstrap analyses.</w:t>
      </w:r>
    </w:p>
    <w:p>
      <w:pPr>
        <w:spacing w:before="80" w:after="80"/>
      </w:pPr>
      <w:r>
        <w:t xml:space="preserve">At 400 mg Q3W IV, the model-predicted steady-state Ctrough (geometric mean, 5th–95th percentile) was 52.4 (18.7–127) mcg/mL, with Cmax,ss of 318 (210–481) mcg/mL, confirming consistent target coverage across the patient population. Individual Bayesian PK parameter estimates are provided for use in subsequent exposure-response analyses.</w:t>
      </w:r>
    </w:p>
    <w:p>
      <w:pPr>
        <w:pStyle w:val="Heading1"/>
        <w:spacing w:before="240" w:after="120"/>
      </w:pPr>
      <w:r>
        <w:rPr>
          <w:b/>
          <w:bCs/>
          <w:color w:val="1F3864"/>
        </w:rPr>
        <w:t xml:space="preserve">2. INTRODUCTION</w:t>
      </w:r>
    </w:p>
    <w:p>
      <w:pPr>
        <w:spacing w:before="80" w:after="80"/>
      </w:pPr>
      <w:r>
        <w:t xml:space="preserve">Cervimab (CVM-001) is a fully human IgG4 monoclonal antibody targeting the PD-1 receptor. This report describes the development and evaluation of the final population PK model, performed in accordance with the pre-specified Analysis Plan (CVM-001-POPPK-PLAN-001), FDA Guidance on Population Pharmacokinetics (2022), and accepted pharmacometric best practices.</w:t>
      </w:r>
    </w:p>
    <w:p>
      <w:pPr>
        <w:pStyle w:val="Heading1"/>
        <w:spacing w:before="240" w:after="120"/>
      </w:pPr>
      <w:r>
        <w:rPr>
          <w:b/>
          <w:bCs/>
          <w:color w:val="1F3864"/>
        </w:rPr>
        <w:t xml:space="preserve">3. DATA SUMMARY</w:t>
      </w:r>
    </w:p>
    <w:p>
      <w:pPr>
        <w:pStyle w:val="Heading2"/>
        <w:spacing w:before="240" w:after="120"/>
      </w:pPr>
      <w:r>
        <w:rPr>
          <w:b/>
          <w:bCs/>
          <w:color w:val="2E75B6"/>
        </w:rPr>
        <w:t xml:space="preserve">3.1 Study Population</w:t>
      </w:r>
    </w:p>
    <w:p>
      <w:pPr>
        <w:spacing w:before="80" w:after="80"/>
      </w:pPr>
      <w:r>
        <w:t xml:space="preserve">Table 1 presents a summary of patient demographics and baseline characteristics included in the PopPK analysis dataset.</w:t>
      </w:r>
    </w:p>
    <w:p>
      <w:pPr>
        <w:spacing w:before="80" w:after="80"/>
      </w:pPr>
      <w:r>
        <w:rPr>
          <w:b/>
          <w:bCs/>
        </w:rPr>
        <w:t xml:space="preserve">Table 1. Demographic and Baseline Characteristics of PopPK Analysis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Characteristic</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Phase 2 (N=142)</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Combined (N=178)</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Age, years — median (range)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62 (29–81)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58 (22–81)</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Body weight, kg — median (range)</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72.8 (41–136)</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71.2 (41–136)</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Sex — Male, n (%)</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78 (54.9%)</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96 (53.9%)</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Race — White, n (%)</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102 (71.8%)</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126 (70.8%)</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ECOG PS 0 or 1, n (%)</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131 (92.3%)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164 (92.1%)</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eGFR, mL/min/1.73m2 — median</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84.3</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86.1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Albumin, g/dL — median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3.9</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4.0</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ADA positive, n (%)</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11 (7.7%)</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15 (8.4%)</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Total PK observations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2,281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2,847</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Observations &lt;LLOQ, n (%)</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23 (1.0%)</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28 (0.98%)</w:t>
            </w:r>
          </w:p>
        </w:tc>
      </w:tr>
    </w:tbl>
    <w:p>
      <w:pPr>
        <w:pStyle w:val="Heading2"/>
        <w:spacing w:before="240" w:after="120"/>
      </w:pPr>
      <w:r>
        <w:rPr>
          <w:b/>
          <w:bCs/>
          <w:color w:val="2E75B6"/>
        </w:rPr>
        <w:t xml:space="preserve">3.2 Concentration-Time Profiles</w:t>
      </w:r>
    </w:p>
    <w:p>
      <w:pPr>
        <w:spacing w:before="80" w:after="80"/>
      </w:pPr>
      <w:r>
        <w:t xml:space="preserve">Observed cervimab concentration-time profiles showed typical biphasic IgG kinetics with a distribution phase apparent in the first 24–48 h following IV infusion. Trough concentrations at steady state (Cycle 3 pre-dose) ranged from 9.8 to 218 mcg/mL (approximately 22-fold variability), suggesting moderate inter-subject variability in PK. No apparent time-dependency in clearance was observed across cycles, and no concentration-dependent elimination was identified visually.</w:t>
      </w:r>
    </w:p>
    <w:p>
      <w:pPr>
        <w:pStyle w:val="Heading1"/>
        <w:spacing w:before="240" w:after="120"/>
      </w:pPr>
      <w:r>
        <w:rPr>
          <w:b/>
          <w:bCs/>
          <w:color w:val="1F3864"/>
        </w:rPr>
        <w:t xml:space="preserve">4. MODEL DEVELOPMENT</w:t>
      </w:r>
    </w:p>
    <w:p>
      <w:pPr>
        <w:pStyle w:val="Heading2"/>
        <w:spacing w:before="240" w:after="120"/>
      </w:pPr>
      <w:r>
        <w:rPr>
          <w:b/>
          <w:bCs/>
          <w:color w:val="2E75B6"/>
        </w:rPr>
        <w:t xml:space="preserve">4.1 Structural Model Selection</w:t>
      </w:r>
    </w:p>
    <w:p>
      <w:pPr>
        <w:spacing w:before="80" w:after="80"/>
      </w:pPr>
      <w:r>
        <w:t xml:space="preserve">Table 2 summarizes the comparison of candidate structural models evaluated during base model development.</w:t>
      </w:r>
    </w:p>
    <w:p>
      <w:pPr>
        <w:spacing w:before="80" w:after="80"/>
      </w:pPr>
      <w:r>
        <w:rPr>
          <w:b/>
          <w:bCs/>
        </w:rPr>
        <w:t xml:space="preserve">Table 2. Structural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Model Description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OFV</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DOFV vs 1-CMT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AIC</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NPDE p</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1-CMT, linear elimination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18,432.1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Reference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18,448.1</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0.024</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2-CMT, linear elimination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17,891.4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-540.7*</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17,911.4</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0.312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2-CMT, TMDD (QSS approx.)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17,883.2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-548.9*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17,909.2</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0.289</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2-CMT, linear + allometric BWT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17,602.1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-830.0*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17,624.1</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0.551</w:t>
            </w:r>
          </w:p>
        </w:tc>
      </w:tr>
    </w:tbl>
    <w:p>
      <w:pPr>
        <w:spacing w:before="80" w:after="80"/>
      </w:pPr>
      <w:r>
        <w:rPr>
          <w:color w:val="666666"/>
          <w:sz w:val="18"/>
          <w:szCs w:val="18"/>
        </w:rPr>
        <w:t xml:space="preserve">*p &lt; 0.001 vs. reference model. 1-CMT = one-compartment; 2-CMT = two-compartment; TMDD = target-mediated drug disposition; QSS = quasi-steady-state approximation; OFV = objective function value; AIC = Akaike information criterion; NPDE = normalized prediction distribution errors.</w:t>
      </w:r>
    </w:p>
    <w:p>
      <w:pPr>
        <w:spacing w:before="80" w:after="80"/>
      </w:pPr>
      <w:r>
        <w:t xml:space="preserve">The two-compartment model with linear elimination and fixed allometric scaling on body weight (exponents 0.75 for CL and Q; 1.0 for V1 and V2) provided the best balance of fit, parsimony, and mechanistic interpretability. The TMDD model did not improve fit significantly over the linear 2-CMT model (DOFV = 8.2, p = 0.22 for 2 additional parameters), confirming linear PK over the observed concentration range.</w:t>
      </w:r>
    </w:p>
    <w:p>
      <w:pPr>
        <w:pStyle w:val="Heading2"/>
        <w:spacing w:before="240" w:after="120"/>
      </w:pPr>
      <w:r>
        <w:rPr>
          <w:b/>
          <w:bCs/>
          <w:color w:val="2E75B6"/>
        </w:rPr>
        <w:t xml:space="preserve">4.2 Residual Variability Model</w:t>
      </w:r>
    </w:p>
    <w:p>
      <w:pPr>
        <w:spacing w:before="80" w:after="80"/>
      </w:pPr>
      <w:r>
        <w:t xml:space="preserve">A combined proportional-plus-additive residual error model provided the best fit. The additive component (0.228 mcg/mL) was small relative to typical observed concentrations, suggesting the proportional component (CV ~18.3%) dominated across the observed concentration range.</w:t>
      </w:r>
    </w:p>
    <w:p>
      <w:pPr>
        <w:pStyle w:val="Heading2"/>
        <w:spacing w:before="240" w:after="120"/>
      </w:pPr>
      <w:r>
        <w:rPr>
          <w:b/>
          <w:bCs/>
          <w:color w:val="2E75B6"/>
        </w:rPr>
        <w:t xml:space="preserve">4.3 Covariate Analysis</w:t>
      </w:r>
    </w:p>
    <w:p>
      <w:pPr>
        <w:spacing w:before="80" w:after="80"/>
      </w:pPr>
      <w:r>
        <w:t xml:space="preserve">Table 3 summarizes the results of the full covariate screening via stepwise selection.</w:t>
      </w:r>
    </w:p>
    <w:p>
      <w:pPr>
        <w:spacing w:before="80" w:after="80"/>
      </w:pPr>
      <w:r>
        <w:rPr>
          <w:b/>
          <w:bCs/>
        </w:rPr>
        <w:t xml:space="preserve">Table 3. Covariate Screening Results (Forward Selection, p &lt; 0.01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800"/>
        <w:gridCol w:w="13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Covariate (on parameter)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DOFV</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p-value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Effect on AUCss (%)</w:t>
            </w:r>
          </w:p>
        </w:tc>
        <w:tc>
          <w:tcPr>
            <w:tcW w:type="dxa" w:w="1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Retained?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Body weight on CL (allometric)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-830.0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&lt;0.001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-28% (40 vs 70 kg)</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YES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Age on CL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-4.2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0.040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-6.1% per decade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Sex (F vs M) on V1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0.051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+4.3% (F vs M)</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eGFR on CL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-2.9</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0.089</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-3.8%</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Albumin on CL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-9.2% (low vs normal)</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ECOG PS on CL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0.069</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+7.1% (PS2 vs PS0/1)</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ADA positive on CL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0.009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+11.4% AUC decrease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Race (non-White vs White) on CL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0.180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-2.1%</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bl>
    <w:p>
      <w:pPr>
        <w:spacing w:before="80" w:after="80"/>
      </w:pPr>
      <w:r>
        <w:rPr>
          <w:color w:val="666666"/>
          <w:sz w:val="18"/>
          <w:szCs w:val="18"/>
        </w:rPr>
        <w:t xml:space="preserve">*ADA status was statistically significant (p &lt; 0.01) but failed the clinical relevance threshold (&gt;20% change in AUCss). Only 7.7% of patients were ADA positive; the effect is numerically modest. ADA status will be explored as a sensitivity analysis in the E-R report.</w:t>
      </w:r>
    </w:p>
    <w:p>
      <w:pPr>
        <w:spacing w:before="80" w:after="80"/>
      </w:pPr>
      <w:r>
        <w:t xml:space="preserve">Body weight (via allometric scaling) was the only covariate that met both statistical and clinical relevance criteria. No dose adjustment is predicted to be necessary for other tested covariates.</w:t>
      </w:r>
    </w:p>
    <w:p>
      <w:pPr>
        <w:pStyle w:val="Heading1"/>
        <w:spacing w:before="240" w:after="120"/>
      </w:pPr>
      <w:r>
        <w:rPr>
          <w:b/>
          <w:bCs/>
          <w:color w:val="1F3864"/>
        </w:rPr>
        <w:t xml:space="preserve">5. FINAL MODEL PARAMETERS</w:t>
      </w:r>
    </w:p>
    <w:p>
      <w:pPr>
        <w:spacing w:before="80" w:after="80"/>
      </w:pPr>
      <w:r>
        <w:rPr>
          <w:b/>
          <w:bCs/>
        </w:rPr>
        <w:t xml:space="preserve">Table 4. Final PopPK Model Parameter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800"/>
        <w:gridCol w:w="15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Parameter (Units)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Estimate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%RSE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Bootstrap Median</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Bootstrap 95% CI</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CL (L/day) — 70 kg reference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0.214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0.216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0.193 – 0.240</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V1 (L) — 70 kg reference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3.52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4.8%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3.55</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3.18 – 3.91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Q (L/day) — inter-compartmental CL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0.683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8.4%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0.694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0.551 – 0.843</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V2 (L) — peripheral volume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4.28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7.2%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4.34</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3.72 – 5.04</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Allometric exponent on CL/Q</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0.75 (fixed)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Allometric exponent on V1/V2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1.0 (fixed)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BSV CL (%CV)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29.4%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9.8%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29.1%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24.2 – 34.9%</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BSV V1 (%CV)</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22.1%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11.2%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21.8%</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17.4 – 27.3%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Residual error — proportional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6.2%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16.1 – 20.5%</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Residual error — additive (mcg/mL)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0.228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28.4%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0.221</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0.118 – 0.371</w:t>
            </w:r>
          </w:p>
        </w:tc>
      </w:tr>
    </w:tbl>
    <w:p>
      <w:pPr>
        <w:spacing w:before="80" w:after="80"/>
      </w:pPr>
      <w:r>
        <w:rPr>
          <w:color w:val="666666"/>
          <w:sz w:val="18"/>
          <w:szCs w:val="18"/>
        </w:rPr>
        <w:t xml:space="preserve">CL = clearance; V1 = central volume; Q = inter-compartmental clearance; V2 = peripheral volume; BSV = between-subject variability; %RSE = relative standard error from NONMEM. Bootstrap: n=1,000 successful runs (992/1,000).</w:t>
      </w:r>
    </w:p>
    <w:p>
      <w:pPr>
        <w:pStyle w:val="Heading1"/>
        <w:spacing w:before="240" w:after="120"/>
      </w:pPr>
      <w:r>
        <w:rPr>
          <w:b/>
          <w:bCs/>
          <w:color w:val="1F3864"/>
        </w:rPr>
        <w:t xml:space="preserve">6. MODEL EVALUATION</w:t>
      </w:r>
    </w:p>
    <w:p>
      <w:pPr>
        <w:spacing w:before="80" w:after="80"/>
      </w:pPr>
      <w:r>
        <w:t xml:space="preserve">Goodness-of-fit plots for the final model demonstrated adequate predictive performance:</w:t>
      </w:r>
    </w:p>
    <w:p>
      <w:pPr>
        <w:pStyle w:val="ListParagraph"/>
        <w:numPr>
          <w:ilvl w:val="0"/>
          <w:numId w:val="2"/>
        </w:numPr>
        <w:spacing w:before="60" w:after="60"/>
      </w:pPr>
      <w:r>
        <w:rPr>
          <w:b w:val="false"/>
          <w:bCs w:val="false"/>
        </w:rPr>
        <w:t xml:space="preserve">DV vs PRED and DV vs IPRED: observations were symmetrically distributed around the line of unity with no systematic bias across the observed concentration range (0.1 – 850 mcg/mL)</w:t>
      </w:r>
    </w:p>
    <w:p>
      <w:pPr>
        <w:pStyle w:val="ListParagraph"/>
        <w:numPr>
          <w:ilvl w:val="0"/>
          <w:numId w:val="2"/>
        </w:numPr>
        <w:spacing w:before="60" w:after="60"/>
      </w:pPr>
      <w:r>
        <w:rPr>
          <w:b w:val="false"/>
          <w:bCs w:val="false"/>
        </w:rPr>
        <w:t xml:space="preserve">CWRES vs PRED: residuals were uniformly distributed within ±2 with no evidence of trend or heteroscedasticity</w:t>
      </w:r>
    </w:p>
    <w:p>
      <w:pPr>
        <w:pStyle w:val="ListParagraph"/>
        <w:numPr>
          <w:ilvl w:val="0"/>
          <w:numId w:val="2"/>
        </w:numPr>
        <w:spacing w:before="60" w:after="60"/>
      </w:pPr>
      <w:r>
        <w:rPr>
          <w:b w:val="false"/>
          <w:bCs w:val="false"/>
        </w:rPr>
        <w:t xml:space="preserve">CWRES vs TIME: no time-dependent trends identified, confirming stability of clearance over the treatment period</w:t>
      </w:r>
    </w:p>
    <w:p>
      <w:pPr>
        <w:pStyle w:val="ListParagraph"/>
        <w:numPr>
          <w:ilvl w:val="0"/>
          <w:numId w:val="2"/>
        </w:numPr>
        <w:spacing w:before="60" w:after="60"/>
      </w:pPr>
      <w:r>
        <w:rPr>
          <w:b w:val="false"/>
          <w:bCs w:val="false"/>
        </w:rPr>
        <w:t xml:space="preserve">VPC: 90% prediction interval captured 89.2% of observed concentrations (90% CI: 87.1–91.8%), within acceptable limits</w:t>
      </w:r>
    </w:p>
    <w:p>
      <w:pPr>
        <w:pStyle w:val="ListParagraph"/>
        <w:numPr>
          <w:ilvl w:val="0"/>
          <w:numId w:val="2"/>
        </w:numPr>
        <w:spacing w:before="60" w:after="60"/>
      </w:pPr>
      <w:r>
        <w:rPr>
          <w:b w:val="false"/>
          <w:bCs w:val="false"/>
        </w:rPr>
        <w:t xml:space="preserve">NPDE: mean = 0.021 (95% CI: -0.118 to 0.160), variance = 1.04; distribution was consistent with standard normal (p = 0.44 by Fisher's test)</w:t>
      </w:r>
    </w:p>
    <w:p>
      <w:pPr>
        <w:pStyle w:val="ListParagraph"/>
        <w:numPr>
          <w:ilvl w:val="0"/>
          <w:numId w:val="2"/>
        </w:numPr>
        <w:spacing w:before="60" w:after="60"/>
      </w:pPr>
      <w:r>
        <w:rPr>
          <w:b w:val="false"/>
          <w:bCs w:val="false"/>
        </w:rPr>
        <w:t xml:space="preserve">Bootstrap: 99.2% convergence; parameter estimates were within 2–4% of NONMEM estimates, confirming model stability</w:t>
      </w:r>
    </w:p>
    <w:p>
      <w:pPr>
        <w:pStyle w:val="Heading1"/>
        <w:spacing w:before="240" w:after="120"/>
      </w:pPr>
      <w:r>
        <w:rPr>
          <w:b/>
          <w:bCs/>
          <w:color w:val="1F3864"/>
        </w:rPr>
        <w:t xml:space="preserve">7. SIMULATED STEADY-STATE PK AT 400 MG Q3W</w:t>
      </w:r>
    </w:p>
    <w:p>
      <w:pPr>
        <w:spacing w:before="80" w:after="80"/>
      </w:pPr>
      <w:r>
        <w:rPr>
          <w:b/>
          <w:bCs/>
        </w:rPr>
        <w:t xml:space="preserve">Table 5. Simulated Steady-State Exposure Metrics at 400 mg Q3W IV (N=1,000 virtual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PK Metric</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Geometric Mean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CV%</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5th Pctile</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95th Pctile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AUCss (mcg·day/mL)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1,869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32.4%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1,041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3,362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Cmax,ss (mcg/mL)</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318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28.1%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210</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481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Ctrough,ss (mcg/mL)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52.4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41.2%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18.7</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127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Time to steady-state (days)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~77</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Accumulation ratio (AUC)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3.82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8.1%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3.31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4.41</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Effective t1/2 (days)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22.4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12.3%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17.8</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28.6</w:t>
            </w:r>
          </w:p>
        </w:tc>
      </w:tr>
    </w:tbl>
    <w:p>
      <w:pPr>
        <w:pStyle w:val="Heading1"/>
        <w:spacing w:before="240" w:after="120"/>
      </w:pPr>
      <w:r>
        <w:rPr>
          <w:b/>
          <w:bCs/>
          <w:color w:val="1F3864"/>
        </w:rPr>
        <w:t xml:space="preserve">8. COVARIATE SENSITIVITY ANALYSIS</w:t>
      </w:r>
    </w:p>
    <w:p>
      <w:pPr>
        <w:spacing w:before="80" w:after="80"/>
      </w:pPr>
      <w:r>
        <w:t xml:space="preserve">Predicted AUCss in population subgroups relative to the reference (70 kg male, normal renal and hepatic function, ECOG PS 0/1, ADA negative) is presented in Table 6.</w:t>
      </w:r>
    </w:p>
    <w:p>
      <w:pPr>
        <w:spacing w:before="80" w:after="80"/>
      </w:pPr>
      <w:r>
        <w:rPr>
          <w:b/>
          <w:bCs/>
        </w:rPr>
        <w:t xml:space="preserve">Table 6. Covariate Sensitivity: Predicted AUCss Change Relative to Reference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Subgroup</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AUCss Ratio vs. Reference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90% CI</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Dose Adjustment Warranted?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Body weight 40 kg vs 70 kg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1.47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1.31 – 1.65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(flat dosing acceptable)</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Body weight 120 kg vs 70 kg</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0.73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0.64 – 0.83</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Female vs Male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0.96 – 1.13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Age &gt;=75 vs 40–65 years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1.10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0.98 – 1.24</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Mild RI (eGFR 60-89) vs Normal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0.97 – 1.10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Moderate RI (eGFR 30-59) vs Normal</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1.09</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0.99 – 1.20</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Mild HI (albumin 3.0–3.5 g/dL) vs Normal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1.01 – 1.16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ADA positive vs negative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0.87</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0.78 – 0.97</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ECOG PS 2 vs PS 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1.07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0.96 – 1.19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w:t>
            </w:r>
          </w:p>
        </w:tc>
      </w:tr>
    </w:tbl>
    <w:p>
      <w:pPr>
        <w:spacing w:before="80" w:after="80"/>
      </w:pPr>
      <w:r>
        <w:t xml:space="preserve">No subgroup analysis predicted AUCss differences exceeding the pre-specified 20% clinical relevance threshold, supporting flat-dose 400 mg Q3W without dose adjustment for any of the tested covariates.</w:t>
      </w:r>
    </w:p>
    <w:p>
      <w:pPr>
        <w:pStyle w:val="Heading1"/>
        <w:spacing w:before="240" w:after="120"/>
      </w:pPr>
      <w:r>
        <w:rPr>
          <w:b/>
          <w:bCs/>
          <w:color w:val="1F3864"/>
        </w:rPr>
        <w:t xml:space="preserve">9. CONCLUSIONS</w:t>
      </w:r>
    </w:p>
    <w:p>
      <w:pPr>
        <w:spacing w:before="80" w:after="80"/>
      </w:pPr>
      <w:r>
        <w:t xml:space="preserve">A two-compartment PopPK model with linear elimination and allometric body weight scaling adequately described cervimab PK in patients with dMMR/MSI-H mCRC. The model demonstrated good predictive performance with acceptable between-subject variability. Body weight was the only clinically relevant covariate identified; however, its effect was adequately captured by allometric scaling implemented in the structural model, and no additional dose adjustment is recommended.</w:t>
      </w:r>
    </w:p>
    <w:p>
      <w:pPr>
        <w:spacing w:before="80" w:after="80"/>
      </w:pPr>
      <w:r>
        <w:t xml:space="preserve">At the proposed commercial dose of 400 mg Q3W IV, cervimab achieves consistent systemic exposure with geometric mean steady-state Ctrough of 52.4 mcg/mL and AUCss of 1,869 mcg*day/mL. Individual Bayesian PK parameters have been estimated for all 178 subjects and will be used in the exposure-response analyses (Report CVM-001-ER-RPT-001).</w:t>
      </w:r>
    </w:p>
    <w:p>
      <w:pPr>
        <w:pStyle w:val="Heading1"/>
        <w:spacing w:before="240" w:after="120"/>
      </w:pPr>
      <w:r>
        <w:rPr>
          <w:b/>
          <w:bCs/>
          <w:color w:val="1F3864"/>
        </w:rPr>
        <w:t xml:space="preserve">10. REFERENCES</w:t>
      </w:r>
    </w:p>
    <w:p>
      <w:pPr>
        <w:pStyle w:val="ListParagraph"/>
        <w:numPr>
          <w:ilvl w:val="0"/>
          <w:numId w:val="2"/>
        </w:numPr>
        <w:spacing w:before="60" w:after="60"/>
      </w:pPr>
      <w:r>
        <w:rPr>
          <w:b w:val="false"/>
          <w:bCs w:val="false"/>
        </w:rPr>
        <w:t xml:space="preserve">US FDA. Population Pharmacokinetics: Guidance for Industry. February 2022.</w:t>
      </w:r>
    </w:p>
    <w:p>
      <w:pPr>
        <w:pStyle w:val="ListParagraph"/>
        <w:numPr>
          <w:ilvl w:val="0"/>
          <w:numId w:val="2"/>
        </w:numPr>
        <w:spacing w:before="60" w:after="60"/>
      </w:pPr>
      <w:r>
        <w:rPr>
          <w:b w:val="false"/>
          <w:bCs w:val="false"/>
        </w:rPr>
        <w:t xml:space="preserve">Beal SL, Sheiner LB, Boeckmann A, Bauer RJ. NONMEM Users Guide. ICON plc, 1989-2009.</w:t>
      </w:r>
    </w:p>
    <w:p>
      <w:pPr>
        <w:pStyle w:val="ListParagraph"/>
        <w:numPr>
          <w:ilvl w:val="0"/>
          <w:numId w:val="2"/>
        </w:numPr>
        <w:spacing w:before="60" w:after="60"/>
      </w:pPr>
      <w:r>
        <w:rPr>
          <w:b w:val="false"/>
          <w:bCs w:val="false"/>
        </w:rPr>
        <w:t xml:space="preserve">Lindbom L, et al. PsN — Perl-speaks-NONMEM. Comput Methods Programs Biomed. 2004;75:85–94.</w:t>
      </w:r>
    </w:p>
    <w:p>
      <w:pPr>
        <w:pStyle w:val="ListParagraph"/>
        <w:numPr>
          <w:ilvl w:val="0"/>
          <w:numId w:val="2"/>
        </w:numPr>
        <w:spacing w:before="60" w:after="60"/>
      </w:pPr>
      <w:r>
        <w:rPr>
          <w:b w:val="false"/>
          <w:bCs w:val="false"/>
        </w:rPr>
        <w:t xml:space="preserve">Gibiansky L, Gibiansky E. Target-mediated drug disposition model: approximations, identifiability of model parameters and applications to the population pharmacokinetic-pharmacodynamic modeling of biologics. Expert Opin Drug Metab Toxicol. 2009.</w:t>
      </w:r>
    </w:p>
    <w:p>
      <w:pPr>
        <w:pStyle w:val="ListParagraph"/>
        <w:numPr>
          <w:ilvl w:val="0"/>
          <w:numId w:val="2"/>
        </w:numPr>
        <w:spacing w:before="60" w:after="60"/>
      </w:pPr>
      <w:r>
        <w:rPr>
          <w:b w:val="false"/>
          <w:bCs w:val="false"/>
        </w:rPr>
        <w:t xml:space="preserve">Mould DR, Upton RN. Basic concepts in population modeling, simulation, and model-based drug development. CPT Pharmacometrics Syst Pharmacol. 2012.</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color w:val="666666"/>
        <w:sz w:val="18"/>
        <w:szCs w:val="18"/>
      </w:rPr>
      <w:t xml:space="preserve">Pharma Innovate, Inc. | Confidential</w:t>
    </w:r>
    <w:r>
      <w:rPr>
        <w:color w:val="666666"/>
        <w:sz w:val="18"/>
        <w:szCs w:val="18"/>
      </w:rPr>
      <w:t xml:space="preserv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2E75B6"/>
        <w:sz w:val="18"/>
        <w:szCs w:val="18"/>
      </w:rPr>
      <w:t xml:space="preserve">CONFIDENTIAL</w:t>
    </w:r>
    <w:r>
      <w:rPr>
        <w:color w:val="666666"/>
        <w:sz w:val="18"/>
        <w:szCs w:val="18"/>
      </w:rPr>
      <w:t xml:space="preserve">	Cervimab (CVM-001) | PopPK Report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2026-03-16T13:53:59.733Z</dcterms:created>
  <dcterms:modified xsi:type="dcterms:W3CDTF">2026-03-16T13:53:59.734Z</dcterms:modified>
</cp:coreProperties>
</file>

<file path=docProps/custom.xml><?xml version="1.0" encoding="utf-8"?>
<Properties xmlns="http://schemas.openxmlformats.org/officeDocument/2006/custom-properties" xmlns:vt="http://schemas.openxmlformats.org/officeDocument/2006/docPropsVTypes"/>
</file>