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PEDIATRIC INVESTIGATION PLAN (PIP)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Cervimab (Anti-PD-1 Monoclonal Antibody)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 Number: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 123456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Drug: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Cervimab (anti-PD-1 monoclonal antibody)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Indication: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dMMR/MSI-H Metastatic Colorectal Cancer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CERVI-PIP-001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1, 2024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Sponsor: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Oncovance Therapeutics, Inc.</w:t>
            </w:r>
          </w:p>
        </w:tc>
      </w:tr>
    </w:tbl>
    <w:p>
      <w:pPr>
        <w:spacing w:after="240"/>
      </w:pPr>
      <w:r>
        <w:rPr>
          <w:sz w:val="22"/>
          <w:szCs w:val="22"/>
        </w:rPr>
        <w:t xml:space="preserve"/>
      </w:r>
    </w:p>
    <w:p>
      <w:pPr>
        <w:pBdr>
          <w:top w:val="single" w:color="C55A11" w:sz="6" w:space="1"/>
        </w:pBdr>
        <w:spacing w:after="80"/>
        <w:jc w:val="center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CONFIDENTIAL — FOR REGULATORY PURPOSES 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 AND REGULATORY BASIS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Pediatric Investigation Plan (PIP) has been developed in accordance with FDA requirements under the Pediatric Research Equity Act (PREA), 21 USC § 355a, and 21 CFR 312 Subpart D, for Cervimab (anti-PD-1 monoclonal antibody). This PIP applies to the proposed indication of dMMR/MSI-H advanced/metastatic colorectal cancer and other dMMR/MSI-H solid tumors.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Under PREA, sponsors of drugs for a new active ingredient, new indication, new dosage form, new dosing regimen, or new route of administration must submit pediatric studies unless a waiver or deferral has been obtained. Oncovance Therapeutics is submitting this PIP to fulfill PREA obligations in advance of a planned New Drug Application (NDA).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SCOPE OF PEDIATRIC INVESTIGATION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Target Pediatric Population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pediatric investigation addresses patients from 2 years to less than 18 years of age with dMMR/MSI-H advanced solid tumors, including colorectal cancer, endometrial cancer, gastric cancer, and other tumors with confirmed dMMR/MSI-H status. The dMMR/MSI-H biomarker is a tumor-agnostic predictive marker, making a broad pediatric indication scientifically appropriate.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PREA Category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to &lt;18 years (adolescent)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study required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dMMR CRC occurs in adolescents; CMMRD syndrome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to &lt;12 years (children)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study required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Constitutional MMR deficiency (CMMRD); brain tumors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&lt;6 years (young children)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study; PK/safety bridge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CMMRD-associated tumors; PK extrapolation likely feasible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to &lt;2 years (neonates/infants)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waiver requested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dMMR tumors not expected; immune system immaturity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Scientific Rationale for Pediatric Investigation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Constitutional mismatch repair deficiency (CMMRD) syndrome causes dMMR tumors in children and adolescents, including high-grade gliomas, colorectal adenomas/carcinomas, and hematologic malignancies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Sporadic MSI-H CRC is rare but documented in patients aged 12–17; the dMMR/MSI-H biomarker is age-independent as a predictor of PD-1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PD-1 is expressed on pediatric T cells; nonclinical data suggest a similar pharmacological mechanism in juvenile animals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Extrapolation of adult PK/PD to adolescents (≥12 years) is supported by FDA guidance on pediatric extrapolation (2016) given similar body-weight-adjusted clearance for IgG4 antibodies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STUDIES PROPOSED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Study 1 — CERVI-301P: Phase 1/2 Pediatric PK/Safety and Efficacy Study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Title: A Phase 1/2, Open-Label, Multi-Cohort Study of Cervimab in Pediatric Patients (Ages 2–&lt;18) with dMMR/MSI-H Advanced Solid Tumors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Design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Open-label, multicenter, multi-cohort Phase 1/2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Cohorts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A: 12–&lt;18 years; Cohort B: 6–&lt;12 years; Cohort C: 2–&lt;6 years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Enrollment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 patients total (30/30/15 across cohorts)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Objectives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characterization; MTD/RP2D determination if weight-based dosing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Objectives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ORR by RECIST v1.1/iRECIST; safety; DOR; PFS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Dose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mg/kg IV Q3W (allometric scaling); flat dose 200 mg IV Q3W for ≥40 kg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Endpoint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ORR per RECIST v1.1 (IRC-assessed)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Safety Endpoints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irAE incidence; growth/development; endocrine function; neurotoxicity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Endpoints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AUCtau, Cmax, Ctrough, CL, Vd; PK/PD modeling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of Follow-up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months post-last dose (growth and development monitoring)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Sites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COG-affiliated centers; NANT consortium sites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IND Submission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 (following adult Phase 2 completion)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First Patient In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Completion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2029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Study 2 — CERVI-JUV: Juvenile Animal Toxicology Study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Title: A Juvenile Animal Toxicology Study of Cervimab in Juvenile Cynomolgus Monkeys (4-Week Repeat-Dose with 13-Week Recovery)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macaque (Macaca fascicularis)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at Start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 postnatal (juvenile)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 Groups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Vehicle, 10, 50, 200 mg/kg IV Q3W × 4 doses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Endpoints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Growth/weight, immune organ histopathology, bone marrow, hormones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Focus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Thymus development, bone growth plates, reproductive organ development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Period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weeks reversibility assessment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Basis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Guidance: Nonclinical Studies for Pediatric Drug Development (2006)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Initiation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Report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WAIVERS AND DEFERRALS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Full Waiver Request — Neonates/Infants (Birth to &lt;2 Years)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Oncovance Therapeutics requests a full waiver from pediatric studies in neonates and infants (birth to &lt;2 years) on the following grounds per 21 CFR 314.55(c)(1):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Necessary studies are impossible or highly impracticable — dMMR/MSI-H tumors do not occur in neonates or infants; this age group would not be enrolled.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There is evidence that the drug would be ineffective or unsafe in this age group — the neonatal immune system differs fundamentally; theoretical risks of immune dysregulation, thymus disruption, and impaired immune development are disproportionate to any potential benefit given the absence of indication in this age group.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disease or condition does not occur in neonates — MSI-H CRC and CMMRD-associated tumors requiring systemic therapy have not been documented in patients under 2 years.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Deferral Request — Pediatric Studies (Ages 2–&lt;18 Years)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Oncovance Therapeutics requests a deferral for all pediatric studies until after completion of the adult Phase 2 program (CERVI-201) and submission of the adult NDA. Grounds for deferral per 21 CFR 314.55(c)(2):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adult indication has not yet been approved; completion of adult development is necessary to establish proof-of-concept before pediatric investigation.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proposed pediatric study CERVI-301P cannot be completed before NDA submission given the time required for site setup at pediatric oncology centers and enrollment of a rare pediatric population.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There is no immediate unmet pediatric need that cannot be addressed through FDA's existing accelerated approval and expanded access mechanisms in the interim.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Pediatric studies will be completed and submitted as a post-approval pediatric study commitment (PSC) within 3 years of adult NDA approval.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PEDIATRIC FORMULATION CONSIDERATIONS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adult formulation (200 mg/20 mL solution for IV infusion) is appropriate for adolescent patients ≥12 years and patients ≥40 kg. For younger children requiring weight-based dosing, the following formulation work is planned: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Development of a lower-concentration solution (10 mg/mL) to enable precise weight-based dosing in smaller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Compatibility and stability studies for diluted concentrations in pediatric-appropriate IV bags (25 mL, 50 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Palatability and administration route studies are not applicable (IV only)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Formulation development will be completed prior to first patient enrollment in CERVI-301P.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EXTRAPOLATION STRATEGY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the adolescent cohort (12–&lt;18 years), a pharmacokinetic extrapolation approach will be employed consistent with FDA's Pediatric Extrapolation Guidance (2016). The following assumptions support extrapolation: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disease in adolescents with dMMR/MSI-H tumors shares the same pathophysiology as adult dMMR/MSI-H tumors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response to PD-1 blockade is driven by the same biomarker (dMMR/MSI-H) and the same immune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Population PK modeling from adult CERVI-201 PK data will be used to simulate adolescent exposure profiles; dose adjustment will target adolescent AUC within 80–125% of the adult target AUC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limited PK assessment (rich sampling for first 3 patients per age cohort) will confirm model predictions before expanding enrollment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MILESTONES AND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3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243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Juvenile animal study initiation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Juvenile animal study report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Pediatric formulation development complete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CERVI-301P IND submission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CERVI-301P site activation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CERVI-301P first patient in (FPI)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CERVI-301P last patient in (LPI)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2028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Pediatric study report submission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2029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sNDA pediatric supplement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2029</w:t>
            </w:r>
          </w:p>
        </w:tc>
        <w:tc>
          <w:tcPr>
            <w:tcW w:type="dxa" w:w="2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PEDIATRIC EXPERTISE AND COLLABORATION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pediatric investigation will be conducted in collaboration with the Children's Oncology Group (COG) and the New Approaches to Neuroblastoma Therapy (NANT) consortium. A dedicated Pediatric Advisory Committee comprising two pediatric oncologists, a pediatric pharmacologist, and a patient advocate will provide ongoing scientific oversight. Oncovance has engaged Pediatric Oncology Consultants International (POCI) as external pediatric regulatory and scientific advisors.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REGULATORY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Pediatric Study Plan (PSP) submitted to FDA Office of Pediatric Therapeutics (OPT): August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FDA Written Agreement on PSP: Pending (30-day review clock)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Planned Pediatric Advisory Committee meeting: Q3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Planned Type B meeting with FDA (Pre-CERVI-301P IND): Q3 2025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4472C4" w:sz="4" w:space="1"/>
        </w:pBdr>
        <w:spacing w:before="60"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Sponsor Contact: Michael Torres, PharmD — Head of Regulatory Affairs, Oncovance Therapeutics, Inc.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PIP Version 1.0 — September 1, 2024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18"/>
          <w:szCs w:val="18"/>
        </w:rPr>
        <w:t xml:space="preserve">This document is a draft example for regulatory training purposes only.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Oncovance Therapeutics, Inc.  |  Draft Example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CERVIMAB  |  IND 123456  |  Phase 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2026-03-16T13:55:00.279Z</dcterms:created>
  <dcterms:modified xsi:type="dcterms:W3CDTF">2026-03-16T13:55:00.279Z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