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rFonts w:ascii="Arial" w:cs="Arial" w:eastAsia="Arial" w:hAnsi="Arial"/>
          <w:b/>
          <w:bCs/>
          <w:color w:val="1F3864"/>
          <w:sz w:val="44"/>
          <w:szCs w:val="44"/>
        </w:rPr>
        <w:t xml:space="preserve">CERVIMAB INJECTION 200 mg/10 mL</w:t>
      </w:r>
    </w:p>
    <w:p>
      <w:pPr>
        <w:spacing w:after="120"/>
        <w:jc w:val="center"/>
      </w:pPr>
      <w:r>
        <w:rPr>
          <w:rFonts w:ascii="Arial" w:cs="Arial" w:eastAsia="Arial" w:hAnsi="Arial"/>
          <w:color w:val="2E5FA3"/>
          <w:sz w:val="24"/>
          <w:szCs w:val="24"/>
        </w:rPr>
        <w:t xml:space="preserve">Anti-PD-1 Monoclonal Antibody for dMMR/MSI-H Metastatic Colorectal Cancer</w:t>
      </w:r>
    </w:p>
    <w:p>
      <w:pPr>
        <w:spacing w:after="480"/>
        <w:jc w:val="center"/>
      </w:pPr>
      <w:r>
        <w:rPr>
          <w:rFonts w:ascii="Arial" w:cs="Arial" w:eastAsia="Arial" w:hAnsi="Arial"/>
          <w:b/>
          <w:bCs/>
          <w:color w:val="2E5FA3"/>
          <w:sz w:val="28"/>
          <w:szCs w:val="28"/>
        </w:rPr>
        <w:t xml:space="preserve">CTD MODULE 3 — QUALITY DOCUMENTATION</w:t>
      </w:r>
    </w:p>
    <w:p>
      <w:pPr>
        <w:pBdr>
          <w:bottom w:val="single" w:color="2E5FA3" w:sz="6" w:space="1"/>
        </w:pBdr>
        <w:spacing w:after="24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0C4DE" w:sz="1"/>
              <w:left w:val="single" w:color="B0C4DE" w:sz="1"/>
              <w:bottom w:val="single" w:color="B0C4DE" w:sz="1"/>
              <w:right w:val="single" w:color="B0C4DE"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Document Sections</w:t>
            </w:r>
          </w:p>
        </w:tc>
        <w:tc>
          <w:tcPr>
            <w:tcW w:type="dxa" w:w="4800"/>
            <w:tcBorders>
              <w:top w:val="single" w:color="B0C4DE" w:sz="1"/>
              <w:left w:val="single" w:color="B0C4DE" w:sz="1"/>
              <w:bottom w:val="single" w:color="B0C4DE" w:sz="1"/>
              <w:right w:val="single" w:color="B0C4DE" w:sz="1"/>
            </w:tcBorders>
            <w:shd w:fill="D6E4F0" w:val="clear"/>
            <w:tcMar>
              <w:top w:type="dxa" w:w="100"/>
              <w:left w:type="dxa" w:w="160"/>
              <w:bottom w:type="dxa" w:w="100"/>
              <w:right w:type="dxa" w:w="160"/>
            </w:tcMar>
          </w:tcPr>
          <w:p>
            <w:r>
              <w:rPr>
                <w:rFonts w:ascii="Arial" w:cs="Arial" w:eastAsia="Arial" w:hAnsi="Arial"/>
                <w:sz w:val="20"/>
                <w:szCs w:val="20"/>
              </w:rPr>
              <w:t xml:space="preserve">3.2.S Drug Substance | 3.2.P Drug Product</w:t>
            </w:r>
          </w:p>
        </w:tc>
      </w:tr>
      <w:tr>
        <w:tc>
          <w:tcPr>
            <w:tcW w:type="dxa" w:w="2400"/>
            <w:tcBorders>
              <w:top w:val="single" w:color="B0C4DE" w:sz="1"/>
              <w:left w:val="single" w:color="B0C4DE" w:sz="1"/>
              <w:bottom w:val="single" w:color="B0C4DE" w:sz="1"/>
              <w:right w:val="single" w:color="B0C4DE"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Sponsor</w:t>
            </w:r>
          </w:p>
        </w:tc>
        <w:tc>
          <w:tcPr>
            <w:tcW w:type="dxa" w:w="4800"/>
            <w:tcBorders>
              <w:top w:val="single" w:color="B0C4DE" w:sz="1"/>
              <w:left w:val="single" w:color="B0C4DE" w:sz="1"/>
              <w:bottom w:val="single" w:color="B0C4DE" w:sz="1"/>
              <w:right w:val="single" w:color="B0C4DE" w:sz="1"/>
            </w:tcBorders>
            <w:shd w:fill="D6E4F0" w:val="clear"/>
            <w:tcMar>
              <w:top w:type="dxa" w:w="100"/>
              <w:left w:type="dxa" w:w="160"/>
              <w:bottom w:type="dxa" w:w="100"/>
              <w:right w:type="dxa" w:w="160"/>
            </w:tcMar>
          </w:tcPr>
          <w:p>
            <w:r>
              <w:rPr>
                <w:rFonts w:ascii="Arial" w:cs="Arial" w:eastAsia="Arial" w:hAnsi="Arial"/>
                <w:sz w:val="20"/>
                <w:szCs w:val="20"/>
              </w:rPr>
              <w:t xml:space="preserve">CerviGen Therapeutics, Inc. | 500 Research Park Blvd, Cambridge, MA 02139</w:t>
            </w:r>
          </w:p>
        </w:tc>
      </w:tr>
      <w:tr>
        <w:tc>
          <w:tcPr>
            <w:tcW w:type="dxa" w:w="2400"/>
            <w:tcBorders>
              <w:top w:val="single" w:color="B0C4DE" w:sz="1"/>
              <w:left w:val="single" w:color="B0C4DE" w:sz="1"/>
              <w:bottom w:val="single" w:color="B0C4DE" w:sz="1"/>
              <w:right w:val="single" w:color="B0C4DE"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Application Type</w:t>
            </w:r>
          </w:p>
        </w:tc>
        <w:tc>
          <w:tcPr>
            <w:tcW w:type="dxa" w:w="4800"/>
            <w:tcBorders>
              <w:top w:val="single" w:color="B0C4DE" w:sz="1"/>
              <w:left w:val="single" w:color="B0C4DE" w:sz="1"/>
              <w:bottom w:val="single" w:color="B0C4DE" w:sz="1"/>
              <w:right w:val="single" w:color="B0C4DE" w:sz="1"/>
            </w:tcBorders>
            <w:shd w:fill="D6E4F0" w:val="clear"/>
            <w:tcMar>
              <w:top w:type="dxa" w:w="100"/>
              <w:left w:type="dxa" w:w="160"/>
              <w:bottom w:type="dxa" w:w="100"/>
              <w:right w:type="dxa" w:w="160"/>
            </w:tcMar>
          </w:tcPr>
          <w:p>
            <w:r>
              <w:rPr>
                <w:rFonts w:ascii="Arial" w:cs="Arial" w:eastAsia="Arial" w:hAnsi="Arial"/>
                <w:sz w:val="20"/>
                <w:szCs w:val="20"/>
              </w:rPr>
              <w:t xml:space="preserve">BLA (Biologics License Application) — US FDA 21 CFR 601</w:t>
            </w:r>
          </w:p>
        </w:tc>
      </w:tr>
      <w:tr>
        <w:tc>
          <w:tcPr>
            <w:tcW w:type="dxa" w:w="2400"/>
            <w:tcBorders>
              <w:top w:val="single" w:color="B0C4DE" w:sz="1"/>
              <w:left w:val="single" w:color="B0C4DE" w:sz="1"/>
              <w:bottom w:val="single" w:color="B0C4DE" w:sz="1"/>
              <w:right w:val="single" w:color="B0C4DE"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Indication</w:t>
            </w:r>
          </w:p>
        </w:tc>
        <w:tc>
          <w:tcPr>
            <w:tcW w:type="dxa" w:w="4800"/>
            <w:tcBorders>
              <w:top w:val="single" w:color="B0C4DE" w:sz="1"/>
              <w:left w:val="single" w:color="B0C4DE" w:sz="1"/>
              <w:bottom w:val="single" w:color="B0C4DE" w:sz="1"/>
              <w:right w:val="single" w:color="B0C4DE" w:sz="1"/>
            </w:tcBorders>
            <w:shd w:fill="D6E4F0" w:val="clear"/>
            <w:tcMar>
              <w:top w:type="dxa" w:w="100"/>
              <w:left w:type="dxa" w:w="160"/>
              <w:bottom w:type="dxa" w:w="100"/>
              <w:right w:type="dxa" w:w="160"/>
            </w:tcMar>
          </w:tcPr>
          <w:p>
            <w:r>
              <w:rPr>
                <w:rFonts w:ascii="Arial" w:cs="Arial" w:eastAsia="Arial" w:hAnsi="Arial"/>
                <w:sz w:val="20"/>
                <w:szCs w:val="20"/>
              </w:rPr>
              <w:t xml:space="preserve">dMMR/MSI-H Metastatic Colorectal Cancer (mCRC) — 1st Line</w:t>
            </w:r>
          </w:p>
        </w:tc>
      </w:tr>
      <w:tr>
        <w:tc>
          <w:tcPr>
            <w:tcW w:type="dxa" w:w="2400"/>
            <w:tcBorders>
              <w:top w:val="single" w:color="B0C4DE" w:sz="1"/>
              <w:left w:val="single" w:color="B0C4DE" w:sz="1"/>
              <w:bottom w:val="single" w:color="B0C4DE" w:sz="1"/>
              <w:right w:val="single" w:color="B0C4DE"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Document Status</w:t>
            </w:r>
          </w:p>
        </w:tc>
        <w:tc>
          <w:tcPr>
            <w:tcW w:type="dxa" w:w="4800"/>
            <w:tcBorders>
              <w:top w:val="single" w:color="B0C4DE" w:sz="1"/>
              <w:left w:val="single" w:color="B0C4DE" w:sz="1"/>
              <w:bottom w:val="single" w:color="B0C4DE" w:sz="1"/>
              <w:right w:val="single" w:color="B0C4DE" w:sz="1"/>
            </w:tcBorders>
            <w:shd w:fill="D6E4F0" w:val="clear"/>
            <w:tcMar>
              <w:top w:type="dxa" w:w="100"/>
              <w:left w:type="dxa" w:w="160"/>
              <w:bottom w:type="dxa" w:w="100"/>
              <w:right w:type="dxa" w:w="160"/>
            </w:tcMar>
          </w:tcPr>
          <w:p>
            <w:r>
              <w:rPr>
                <w:rFonts w:ascii="Arial" w:cs="Arial" w:eastAsia="Arial" w:hAnsi="Arial"/>
                <w:b/>
                <w:bCs/>
                <w:color w:val="CC0000"/>
                <w:sz w:val="20"/>
                <w:szCs w:val="20"/>
              </w:rPr>
              <w:t xml:space="preserve">EXAMPLE DOCUMENT — FOR ILLUSTRATIVE PURPOSES ONLY | Version 1.0</w:t>
            </w:r>
          </w:p>
        </w:tc>
      </w:tr>
      <w:tr>
        <w:tc>
          <w:tcPr>
            <w:tcW w:type="dxa" w:w="2400"/>
            <w:tcBorders>
              <w:top w:val="single" w:color="B0C4DE" w:sz="1"/>
              <w:left w:val="single" w:color="B0C4DE" w:sz="1"/>
              <w:bottom w:val="single" w:color="B0C4DE" w:sz="1"/>
              <w:right w:val="single" w:color="B0C4DE"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Date Prepared</w:t>
            </w:r>
          </w:p>
        </w:tc>
        <w:tc>
          <w:tcPr>
            <w:tcW w:type="dxa" w:w="4800"/>
            <w:tcBorders>
              <w:top w:val="single" w:color="B0C4DE" w:sz="1"/>
              <w:left w:val="single" w:color="B0C4DE" w:sz="1"/>
              <w:bottom w:val="single" w:color="B0C4DE" w:sz="1"/>
              <w:right w:val="single" w:color="B0C4DE" w:sz="1"/>
            </w:tcBorders>
            <w:shd w:fill="D6E4F0" w:val="clear"/>
            <w:tcMar>
              <w:top w:type="dxa" w:w="100"/>
              <w:left w:type="dxa" w:w="160"/>
              <w:bottom w:type="dxa" w:w="100"/>
              <w:right w:type="dxa" w:w="160"/>
            </w:tcMar>
          </w:tcPr>
          <w:p>
            <w:r>
              <w:rPr>
                <w:rFonts w:ascii="Arial" w:cs="Arial" w:eastAsia="Arial" w:hAnsi="Arial"/>
                <w:sz w:val="20"/>
                <w:szCs w:val="20"/>
              </w:rPr>
              <w:t xml:space="preserve">March 2026</w:t>
            </w:r>
          </w:p>
        </w:tc>
      </w:tr>
    </w:tbl>
    <w:p>
      <w:r>
        <w:br w:type="page"/>
      </w:r>
    </w:p>
    <w:p>
      <w:pPr>
        <w:pStyle w:val="Heading1"/>
      </w:pPr>
      <w:r>
        <w:rPr>
          <w:rFonts w:ascii="Arial" w:cs="Arial" w:eastAsia="Arial" w:hAnsi="Arial"/>
          <w:b/>
          <w:bCs/>
          <w:sz w:val="32"/>
          <w:szCs w:val="32"/>
        </w:rPr>
        <w:t xml:space="preserve">3.2.S DRUG SUBSTANCE — CERVIMAB</w:t>
      </w:r>
    </w:p>
    <w:p>
      <w:pPr>
        <w:pBdr>
          <w:bottom w:val="single" w:color="2E5FA3" w:sz="6" w:space="1"/>
        </w:pBdr>
        <w:spacing w:after="240"/>
      </w:pPr>
    </w:p>
    <w:p>
      <w:pPr>
        <w:pStyle w:val="Heading2"/>
      </w:pPr>
      <w:r>
        <w:rPr>
          <w:rFonts w:ascii="Arial" w:cs="Arial" w:eastAsia="Arial" w:hAnsi="Arial"/>
          <w:b/>
          <w:bCs/>
          <w:sz w:val="28"/>
          <w:szCs w:val="28"/>
        </w:rPr>
        <w:t xml:space="preserve">3.2.S.1 General Information</w:t>
      </w:r>
    </w:p>
    <w:p>
      <w:pPr>
        <w:pStyle w:val="Heading3"/>
      </w:pPr>
      <w:r>
        <w:rPr>
          <w:rFonts w:ascii="Arial" w:cs="Arial" w:eastAsia="Arial" w:hAnsi="Arial"/>
          <w:b/>
          <w:bCs/>
          <w:sz w:val="24"/>
          <w:szCs w:val="24"/>
        </w:rPr>
        <w:t xml:space="preserve">3.2.S.1.1 Nomenclature</w:t>
      </w:r>
    </w:p>
    <w:p>
      <w:pPr>
        <w:spacing w:after="100"/>
      </w:pPr>
      <w:r>
        <w:rPr>
          <w:rFonts w:ascii="Arial" w:cs="Arial" w:eastAsia="Arial" w:hAnsi="Arial"/>
          <w:b/>
          <w:bCs/>
          <w:sz w:val="20"/>
          <w:szCs w:val="20"/>
        </w:rPr>
        <w:t xml:space="preserve">INN (Proposed): </w:t>
      </w:r>
      <w:r>
        <w:rPr>
          <w:rFonts w:ascii="Arial" w:cs="Arial" w:eastAsia="Arial" w:hAnsi="Arial"/>
          <w:sz w:val="20"/>
          <w:szCs w:val="20"/>
        </w:rPr>
        <w:t xml:space="preserve">Cervimab</w:t>
      </w:r>
    </w:p>
    <w:p>
      <w:pPr>
        <w:spacing w:after="100"/>
      </w:pPr>
      <w:r>
        <w:rPr>
          <w:rFonts w:ascii="Arial" w:cs="Arial" w:eastAsia="Arial" w:hAnsi="Arial"/>
          <w:b/>
          <w:bCs/>
          <w:sz w:val="20"/>
          <w:szCs w:val="20"/>
        </w:rPr>
        <w:t xml:space="preserve">Chemical Name: </w:t>
      </w:r>
      <w:r>
        <w:rPr>
          <w:rFonts w:ascii="Arial" w:cs="Arial" w:eastAsia="Arial" w:hAnsi="Arial"/>
          <w:sz w:val="20"/>
          <w:szCs w:val="20"/>
        </w:rPr>
        <w:t xml:space="preserve">Anti-human programmed cell death protein 1 (PD-1) fully human IgG4 monoclonal antibody</w:t>
      </w:r>
    </w:p>
    <w:p>
      <w:pPr>
        <w:spacing w:after="100"/>
      </w:pPr>
      <w:r>
        <w:rPr>
          <w:rFonts w:ascii="Arial" w:cs="Arial" w:eastAsia="Arial" w:hAnsi="Arial"/>
          <w:b/>
          <w:bCs/>
          <w:sz w:val="20"/>
          <w:szCs w:val="20"/>
        </w:rPr>
        <w:t xml:space="preserve">CAS Registry Number: </w:t>
      </w:r>
      <w:r>
        <w:rPr>
          <w:rFonts w:ascii="Arial" w:cs="Arial" w:eastAsia="Arial" w:hAnsi="Arial"/>
          <w:sz w:val="20"/>
          <w:szCs w:val="20"/>
        </w:rPr>
        <w:t xml:space="preserve">[Pending Assignment]</w:t>
      </w:r>
    </w:p>
    <w:p>
      <w:pPr>
        <w:spacing w:after="100"/>
      </w:pPr>
      <w:r>
        <w:rPr>
          <w:rFonts w:ascii="Arial" w:cs="Arial" w:eastAsia="Arial" w:hAnsi="Arial"/>
          <w:b/>
          <w:bCs/>
          <w:sz w:val="20"/>
          <w:szCs w:val="20"/>
        </w:rPr>
        <w:t xml:space="preserve">Company Code: </w:t>
      </w:r>
      <w:r>
        <w:rPr>
          <w:rFonts w:ascii="Arial" w:cs="Arial" w:eastAsia="Arial" w:hAnsi="Arial"/>
          <w:sz w:val="20"/>
          <w:szCs w:val="20"/>
        </w:rPr>
        <w:t xml:space="preserve">CVM-001</w:t>
      </w:r>
    </w:p>
    <w:p>
      <w:pPr>
        <w:spacing w:after="100"/>
      </w:pPr>
      <w:r>
        <w:rPr>
          <w:rFonts w:ascii="Arial" w:cs="Arial" w:eastAsia="Arial" w:hAnsi="Arial"/>
          <w:b/>
          <w:bCs/>
          <w:sz w:val="20"/>
          <w:szCs w:val="20"/>
        </w:rPr>
        <w:t xml:space="preserve">Other Names: </w:t>
      </w:r>
      <w:r>
        <w:rPr>
          <w:rFonts w:ascii="Arial" w:cs="Arial" w:eastAsia="Arial" w:hAnsi="Arial"/>
          <w:sz w:val="20"/>
          <w:szCs w:val="20"/>
        </w:rPr>
        <w:t xml:space="preserve">Cervimab-gflx (proposed USAN suffix)</w:t>
      </w:r>
    </w:p>
    <w:p>
      <w:pPr>
        <w:spacing w:after="160" w:line="276"/>
        <w:jc w:val="left"/>
      </w:pPr>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sz w:val="24"/>
          <w:szCs w:val="24"/>
        </w:rPr>
        <w:t xml:space="preserve">3.2.S.1.2 Structure</w:t>
      </w:r>
    </w:p>
    <w:p>
      <w:pPr>
        <w:spacing w:after="160" w:line="276"/>
        <w:jc w:val="left"/>
      </w:pPr>
      <w:r>
        <w:rPr>
          <w:rFonts w:ascii="Arial" w:cs="Arial" w:eastAsia="Arial" w:hAnsi="Arial"/>
          <w:b w:val="false"/>
          <w:bCs w:val="false"/>
          <w:i w:val="false"/>
          <w:iCs w:val="false"/>
          <w:sz w:val="20"/>
          <w:szCs w:val="20"/>
        </w:rPr>
        <w:t xml:space="preserve">Cervimab is a fully human immunoglobulin G4 (IgG4) monoclonal antibody targeting the extracellular domain of human Programmed Cell Death Protein 1 (PD-1; CD279). The molecule consists of two identical heavy chains (gamma-4 isotype) and two identical light chains (kappa isotype) linked by inter-chain disulfide bonds.</w:t>
      </w:r>
    </w:p>
    <w:p>
      <w:pPr>
        <w:spacing w:after="160" w:line="276"/>
        <w:jc w:val="left"/>
      </w:pPr>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Parameter</w:t>
            </w:r>
          </w:p>
        </w:tc>
        <w:tc>
          <w:tcPr>
            <w:tcW w:type="dxa" w:w="312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Value</w:t>
            </w:r>
          </w:p>
        </w:tc>
        <w:tc>
          <w:tcPr>
            <w:tcW w:type="dxa" w:w="312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Method</w:t>
            </w:r>
          </w:p>
        </w:tc>
      </w:tr>
      <w:tr>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Molecular Formula</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C6466H9976N1720O2020S46</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Sequence analysis / MS</w:t>
            </w:r>
          </w:p>
        </w:tc>
      </w:tr>
      <w:tr>
        <w:tc>
          <w:tcPr>
            <w:tcW w:type="dxa" w:w="31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bCs/>
                <w:sz w:val="18"/>
                <w:szCs w:val="18"/>
              </w:rPr>
              <w:t xml:space="preserve">Approximate Molecular Weight</w:t>
            </w:r>
          </w:p>
        </w:tc>
        <w:tc>
          <w:tcPr>
            <w:tcW w:type="dxa" w:w="31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~146.5 kDa (non-glycosylated)</w:t>
            </w:r>
          </w:p>
        </w:tc>
        <w:tc>
          <w:tcPr>
            <w:tcW w:type="dxa" w:w="31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SEC-MALS</w:t>
            </w:r>
          </w:p>
        </w:tc>
      </w:tr>
      <w:tr>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Isoelectric Point (pI)</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8.2 – 8.9 (major isoforms)</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cIEF</w:t>
            </w:r>
          </w:p>
        </w:tc>
      </w:tr>
      <w:tr>
        <w:tc>
          <w:tcPr>
            <w:tcW w:type="dxa" w:w="31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bCs/>
                <w:sz w:val="18"/>
                <w:szCs w:val="18"/>
              </w:rPr>
              <w:t xml:space="preserve">Heavy Chain</w:t>
            </w:r>
          </w:p>
        </w:tc>
        <w:tc>
          <w:tcPr>
            <w:tcW w:type="dxa" w:w="31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IgG4 gamma-4; 447 amino acids</w:t>
            </w:r>
          </w:p>
        </w:tc>
        <w:tc>
          <w:tcPr>
            <w:tcW w:type="dxa" w:w="31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Peptide mapping</w:t>
            </w:r>
          </w:p>
        </w:tc>
      </w:tr>
      <w:tr>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Light Chain</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Kappa; 214 amino acids</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Peptide mapping</w:t>
            </w:r>
          </w:p>
        </w:tc>
      </w:tr>
      <w:tr>
        <w:tc>
          <w:tcPr>
            <w:tcW w:type="dxa" w:w="31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bCs/>
                <w:sz w:val="18"/>
                <w:szCs w:val="18"/>
              </w:rPr>
              <w:t xml:space="preserve">Glycosylation Site</w:t>
            </w:r>
          </w:p>
        </w:tc>
        <w:tc>
          <w:tcPr>
            <w:tcW w:type="dxa" w:w="31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Asn-301 (HC); complex biantennary N-glycans</w:t>
            </w:r>
          </w:p>
        </w:tc>
        <w:tc>
          <w:tcPr>
            <w:tcW w:type="dxa" w:w="31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Glycan analysis (HILIC-FLD)</w:t>
            </w:r>
          </w:p>
        </w:tc>
      </w:tr>
      <w:tr>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Disulfide Bonds</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 inter-chain; 12 intra-chain</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Peptide mapping (non-reduced)</w:t>
            </w:r>
          </w:p>
        </w:tc>
      </w:tr>
    </w:tbl>
    <w:p>
      <w:pPr>
        <w:spacing w:after="160" w:line="276"/>
        <w:jc w:val="left"/>
      </w:pPr>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sz w:val="24"/>
          <w:szCs w:val="24"/>
        </w:rPr>
        <w:t xml:space="preserve">3.2.S.1.3 General Properties</w:t>
      </w:r>
    </w:p>
    <w:p>
      <w:pPr>
        <w:spacing w:after="160" w:line="276"/>
        <w:jc w:val="left"/>
      </w:pPr>
      <w:r>
        <w:rPr>
          <w:rFonts w:ascii="Arial" w:cs="Arial" w:eastAsia="Arial" w:hAnsi="Arial"/>
          <w:b w:val="false"/>
          <w:bCs w:val="false"/>
          <w:i w:val="false"/>
          <w:iCs w:val="false"/>
          <w:sz w:val="20"/>
          <w:szCs w:val="20"/>
        </w:rPr>
        <w:t xml:space="preserve">Cervimab is supplied as a sterile, preservative-free, clear to slightly opalescent, colorless to pale yellow solution for injection. The drug substance is stored at 2–8°C. Key physicochemical properties are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Property</w:t>
            </w:r>
          </w:p>
        </w:tc>
        <w:tc>
          <w:tcPr>
            <w:tcW w:type="dxa" w:w="468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Result / Specification</w:t>
            </w:r>
          </w:p>
        </w:tc>
      </w:tr>
      <w:tr>
        <w:tc>
          <w:tcPr>
            <w:tcW w:type="dxa" w:w="4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Appearance</w:t>
            </w:r>
          </w:p>
        </w:tc>
        <w:tc>
          <w:tcPr>
            <w:tcW w:type="dxa" w:w="4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Clear to slightly opalescent; colorless to pale yellow</w:t>
            </w:r>
          </w:p>
        </w:tc>
      </w:tr>
      <w:tr>
        <w:tc>
          <w:tcPr>
            <w:tcW w:type="dxa" w:w="46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bCs/>
                <w:sz w:val="18"/>
                <w:szCs w:val="18"/>
              </w:rPr>
              <w:t xml:space="preserve">pH (drug substance)</w:t>
            </w:r>
          </w:p>
        </w:tc>
        <w:tc>
          <w:tcPr>
            <w:tcW w:type="dxa" w:w="46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5.8 ± 0.3</w:t>
            </w:r>
          </w:p>
        </w:tc>
      </w:tr>
      <w:tr>
        <w:tc>
          <w:tcPr>
            <w:tcW w:type="dxa" w:w="4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Osmolality</w:t>
            </w:r>
          </w:p>
        </w:tc>
        <w:tc>
          <w:tcPr>
            <w:tcW w:type="dxa" w:w="4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280 – 330 mOsmol/kg</w:t>
            </w:r>
          </w:p>
        </w:tc>
      </w:tr>
      <w:tr>
        <w:tc>
          <w:tcPr>
            <w:tcW w:type="dxa" w:w="46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bCs/>
                <w:sz w:val="18"/>
                <w:szCs w:val="18"/>
              </w:rPr>
              <w:t xml:space="preserve">Extinction coefficient (A280, 1 mg/mL, 1 cm)</w:t>
            </w:r>
          </w:p>
        </w:tc>
        <w:tc>
          <w:tcPr>
            <w:tcW w:type="dxa" w:w="46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1.49 mL·mg⁻¹·cm⁻¹</w:t>
            </w:r>
          </w:p>
        </w:tc>
      </w:tr>
      <w:tr>
        <w:tc>
          <w:tcPr>
            <w:tcW w:type="dxa" w:w="4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Solubility</w:t>
            </w:r>
          </w:p>
        </w:tc>
        <w:tc>
          <w:tcPr>
            <w:tcW w:type="dxa" w:w="4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&gt; 40 mg/mL in formulation buffer</w:t>
            </w:r>
          </w:p>
        </w:tc>
      </w:tr>
    </w:tbl>
    <w:p>
      <w:pPr>
        <w:spacing w:after="160" w:line="276"/>
        <w:jc w:val="left"/>
      </w:pPr>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sz w:val="28"/>
          <w:szCs w:val="28"/>
        </w:rPr>
        <w:t xml:space="preserve">3.2.S.2 Manufacture</w:t>
      </w:r>
    </w:p>
    <w:p>
      <w:pPr>
        <w:pStyle w:val="Heading3"/>
      </w:pPr>
      <w:r>
        <w:rPr>
          <w:rFonts w:ascii="Arial" w:cs="Arial" w:eastAsia="Arial" w:hAnsi="Arial"/>
          <w:b/>
          <w:bCs/>
          <w:sz w:val="24"/>
          <w:szCs w:val="24"/>
        </w:rPr>
        <w:t xml:space="preserve">3.2.S.2.1 Manufacturer(s)</w:t>
      </w:r>
    </w:p>
    <w:p>
      <w:pPr>
        <w:spacing w:after="160" w:line="276"/>
        <w:jc w:val="left"/>
      </w:pPr>
      <w:r>
        <w:rPr>
          <w:rFonts w:ascii="Arial" w:cs="Arial" w:eastAsia="Arial" w:hAnsi="Arial"/>
          <w:b w:val="false"/>
          <w:bCs w:val="false"/>
          <w:i w:val="false"/>
          <w:iCs w:val="false"/>
          <w:sz w:val="20"/>
          <w:szCs w:val="20"/>
        </w:rPr>
        <w:t xml:space="preserve">Drug substance is manufactured at:</w:t>
      </w:r>
    </w:p>
    <w:p>
      <w:pPr>
        <w:pStyle w:val="ListParagraph"/>
        <w:numPr>
          <w:ilvl w:val="0"/>
          <w:numId w:val="2"/>
        </w:numPr>
        <w:spacing w:after="100"/>
      </w:pPr>
      <w:r>
        <w:rPr>
          <w:rFonts w:ascii="Arial" w:cs="Arial" w:eastAsia="Arial" w:hAnsi="Arial"/>
          <w:sz w:val="20"/>
          <w:szCs w:val="20"/>
        </w:rPr>
        <w:t xml:space="preserve">Acme Biologics Manufacturing Inc., 1200 Biopharm Drive, Research Triangle Park, NC 27709, USA (DS Manufacturing, Site A)</w:t>
      </w:r>
    </w:p>
    <w:p>
      <w:pPr>
        <w:pStyle w:val="ListParagraph"/>
        <w:numPr>
          <w:ilvl w:val="0"/>
          <w:numId w:val="2"/>
        </w:numPr>
        <w:spacing w:after="100"/>
      </w:pPr>
      <w:r>
        <w:rPr>
          <w:rFonts w:ascii="Arial" w:cs="Arial" w:eastAsia="Arial" w:hAnsi="Arial"/>
          <w:sz w:val="20"/>
          <w:szCs w:val="20"/>
        </w:rPr>
        <w:t xml:space="preserve">Continuum BioProcess LLC, 4500 Innovation Blvd, Thousand Oaks, CA 91320, USA (DS Manufacturing, Site B – backup)</w:t>
      </w:r>
    </w:p>
    <w:p>
      <w:pPr>
        <w:spacing w:after="160" w:line="276"/>
        <w:jc w:val="left"/>
      </w:pPr>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sz w:val="24"/>
          <w:szCs w:val="24"/>
        </w:rPr>
        <w:t xml:space="preserve">3.2.S.2.2 Description of Manufacturing Process and Process Controls</w:t>
      </w:r>
    </w:p>
    <w:p>
      <w:pPr>
        <w:spacing w:after="160" w:line="276"/>
        <w:jc w:val="left"/>
      </w:pPr>
      <w:r>
        <w:rPr>
          <w:rFonts w:ascii="Arial" w:cs="Arial" w:eastAsia="Arial" w:hAnsi="Arial"/>
          <w:b w:val="false"/>
          <w:bCs w:val="false"/>
          <w:i w:val="false"/>
          <w:iCs w:val="false"/>
          <w:sz w:val="20"/>
          <w:szCs w:val="20"/>
        </w:rPr>
        <w:t xml:space="preserve">Cervimab drug substance is produced by recombinant DNA technology in a Chinese Hamster Ovary (CHO-K1) cell line. The manufacturing process consists of the following major unit operations:</w:t>
      </w:r>
    </w:p>
    <w:p>
      <w:pPr>
        <w:spacing w:after="160" w:line="276"/>
        <w:jc w:val="left"/>
      </w:pPr>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800"/>
        <w:gridCol w:w="3060"/>
      </w:tblGrid>
      <w:tr>
        <w:tc>
          <w:tcPr>
            <w:tcW w:type="dxa" w:w="7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Step</w:t>
            </w:r>
          </w:p>
        </w:tc>
        <w:tc>
          <w:tcPr>
            <w:tcW w:type="dxa" w:w="28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Unit Operation</w:t>
            </w:r>
          </w:p>
        </w:tc>
        <w:tc>
          <w:tcPr>
            <w:tcW w:type="dxa" w:w="28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Key Process Parameters (KPPs)</w:t>
            </w:r>
          </w:p>
        </w:tc>
        <w:tc>
          <w:tcPr>
            <w:tcW w:type="dxa" w:w="30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Critical Quality Attributes (CQAs) Controlled</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Cell Banking (MCB / WCB)</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Cell viability ≥ 85%; passage number</w:t>
            </w:r>
          </w:p>
        </w:tc>
        <w:tc>
          <w:tcPr>
            <w:tcW w:type="dxa" w:w="30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Genetic stability; adventitious agent testing</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w:t>
            </w:r>
          </w:p>
        </w:tc>
        <w:tc>
          <w:tcPr>
            <w:tcW w:type="dxa" w:w="2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Cell Expansion (N-2 / N-1 Seed Train)</w:t>
            </w:r>
          </w:p>
        </w:tc>
        <w:tc>
          <w:tcPr>
            <w:tcW w:type="dxa" w:w="2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Temperature (37 ± 0.5°C); DO (40 ± 5%); pH (7.0 ± 0.2)</w:t>
            </w:r>
          </w:p>
        </w:tc>
        <w:tc>
          <w:tcPr>
            <w:tcW w:type="dxa" w:w="30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Cell density, viability</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Production Bioreactor (2,000 L fed-batch)</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Temperature; pH; DO; agitation; nutrient feeds; culture duration (12–14 days)</w:t>
            </w:r>
          </w:p>
        </w:tc>
        <w:tc>
          <w:tcPr>
            <w:tcW w:type="dxa" w:w="30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Titer (≥ 2 g/L); product quality attributes; N-glycan profile</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w:t>
            </w:r>
          </w:p>
        </w:tc>
        <w:tc>
          <w:tcPr>
            <w:tcW w:type="dxa" w:w="2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Harvest / Clarification (centrifugation + depth filtration)</w:t>
            </w:r>
          </w:p>
        </w:tc>
        <w:tc>
          <w:tcPr>
            <w:tcW w:type="dxa" w:w="2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Centrifuge speed; filter loading; flux</w:t>
            </w:r>
          </w:p>
        </w:tc>
        <w:tc>
          <w:tcPr>
            <w:tcW w:type="dxa" w:w="30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Turbidity; HCP; DNA</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Protein A Affinity Chromatography</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Load challenge; pH of elution (3.5 ± 0.1); strip conditions</w:t>
            </w:r>
          </w:p>
        </w:tc>
        <w:tc>
          <w:tcPr>
            <w:tcW w:type="dxa" w:w="30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Purity; HCP; leached Protein A; aggregate removal</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w:t>
            </w:r>
          </w:p>
        </w:tc>
        <w:tc>
          <w:tcPr>
            <w:tcW w:type="dxa" w:w="2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Low pH Viral Inactivation (pH 3.5, 60 min)</w:t>
            </w:r>
          </w:p>
        </w:tc>
        <w:tc>
          <w:tcPr>
            <w:tcW w:type="dxa" w:w="2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pH; hold time; temperature (15–25°C)</w:t>
            </w:r>
          </w:p>
        </w:tc>
        <w:tc>
          <w:tcPr>
            <w:tcW w:type="dxa" w:w="30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Virus clearance (≥ 4 log10 reduction); product integrity</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Cation Exchange Chromatography (CEX)</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Load density; gradient profile; conductivity</w:t>
            </w:r>
          </w:p>
        </w:tc>
        <w:tc>
          <w:tcPr>
            <w:tcW w:type="dxa" w:w="30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Charge variants (acidic/basic); HCP</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w:t>
            </w:r>
          </w:p>
        </w:tc>
        <w:tc>
          <w:tcPr>
            <w:tcW w:type="dxa" w:w="2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Anion Exchange Chromatography (AEX, flow-through)</w:t>
            </w:r>
          </w:p>
        </w:tc>
        <w:tc>
          <w:tcPr>
            <w:tcW w:type="dxa" w:w="2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Load density; pH; conductivity</w:t>
            </w:r>
          </w:p>
        </w:tc>
        <w:tc>
          <w:tcPr>
            <w:tcW w:type="dxa" w:w="30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HCP; DNA; endotoxin; virus clearance contribution</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Nanofiltration (20 nm filter)</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Pressure; flux; filter loading</w:t>
            </w:r>
          </w:p>
        </w:tc>
        <w:tc>
          <w:tcPr>
            <w:tcW w:type="dxa" w:w="30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Virus clearance (≥ 4 log10 for parvovirus)</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2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Ultrafiltration/Diafiltration (UF/DF)</w:t>
            </w:r>
          </w:p>
        </w:tc>
        <w:tc>
          <w:tcPr>
            <w:tcW w:type="dxa" w:w="2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TMP; flux; diavolumes (≥ 6); target concentration</w:t>
            </w:r>
          </w:p>
        </w:tc>
        <w:tc>
          <w:tcPr>
            <w:tcW w:type="dxa" w:w="30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Concentration (target 20 mg/mL); formulation exchange; aggregate levels</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Bulk Formulation &amp; Sterile Filtration (0.22 µm)</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Excipient addition sequence; final concentration; filter integrity</w:t>
            </w:r>
          </w:p>
        </w:tc>
        <w:tc>
          <w:tcPr>
            <w:tcW w:type="dxa" w:w="30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Target concentration; pH; osmolality; bioburden (≤ 10 CFU/100 mL)</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2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DS Bulk Fill &amp; Storage (2–8°C or ≤ −70°C)</w:t>
            </w:r>
          </w:p>
        </w:tc>
        <w:tc>
          <w:tcPr>
            <w:tcW w:type="dxa" w:w="2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Fill volume; container closure integrity; storage temperature</w:t>
            </w:r>
          </w:p>
        </w:tc>
        <w:tc>
          <w:tcPr>
            <w:tcW w:type="dxa" w:w="30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Integrity; stability; appearance</w:t>
            </w:r>
          </w:p>
        </w:tc>
      </w:tr>
    </w:tbl>
    <w:p>
      <w:pPr>
        <w:spacing w:after="160" w:line="276"/>
        <w:jc w:val="left"/>
      </w:pPr>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sz w:val="24"/>
          <w:szCs w:val="24"/>
        </w:rPr>
        <w:t xml:space="preserve">3.2.S.2.3 Control of Materials</w:t>
      </w:r>
    </w:p>
    <w:p>
      <w:pPr>
        <w:spacing w:after="160" w:line="276"/>
        <w:jc w:val="left"/>
      </w:pPr>
      <w:r>
        <w:rPr>
          <w:rFonts w:ascii="Arial" w:cs="Arial" w:eastAsia="Arial" w:hAnsi="Arial"/>
          <w:b w:val="false"/>
          <w:bCs w:val="false"/>
          <w:i w:val="false"/>
          <w:iCs w:val="false"/>
          <w:sz w:val="20"/>
          <w:szCs w:val="20"/>
        </w:rPr>
        <w:t xml:space="preserve">All raw materials, reagents, and excipients used in manufacture are controlled by approved specifications and are sourced from qualified suppliers. Animal-derived materials are of non-TSE-relevant species or otherwise compliant with applicable guidelines (ICH Q5A, EMA/410/01 Rev. 3). Cell culture media components are either chemically defined or subject to viral safety testing. A complete list of materials, suppliers, grades, and compendial compliance is provided in the registered CTD (confidential commercial information redacted from this example).</w:t>
      </w:r>
    </w:p>
    <w:p>
      <w:pPr>
        <w:spacing w:after="160" w:line="276"/>
        <w:jc w:val="left"/>
      </w:pPr>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sz w:val="24"/>
          <w:szCs w:val="24"/>
        </w:rPr>
        <w:t xml:space="preserve">3.2.S.2.4 Controls of Critical Steps and Intermediates</w:t>
      </w:r>
    </w:p>
    <w:p>
      <w:pPr>
        <w:spacing w:after="160" w:line="276"/>
        <w:jc w:val="left"/>
      </w:pPr>
      <w:r>
        <w:rPr>
          <w:rFonts w:ascii="Arial" w:cs="Arial" w:eastAsia="Arial" w:hAnsi="Arial"/>
          <w:b w:val="false"/>
          <w:bCs w:val="false"/>
          <w:i w:val="false"/>
          <w:iCs w:val="false"/>
          <w:sz w:val="20"/>
          <w:szCs w:val="20"/>
        </w:rPr>
        <w:t xml:space="preserve">In-process controls (IPCs) are defined for each unit operation. Critical steps identified through process characterization studies are monitored at defined frequencies. Acceptance criteria for critical intermediates are based on process knowledge, development data, and risk assessment. Representative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Critical Intermediate</w:t>
            </w:r>
          </w:p>
        </w:tc>
        <w:tc>
          <w:tcPr>
            <w:tcW w:type="dxa" w:w="328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IPC Parameter</w:t>
            </w:r>
          </w:p>
        </w:tc>
        <w:tc>
          <w:tcPr>
            <w:tcW w:type="dxa" w:w="328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Acceptance Criterion</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Post-Protein A Eluate</w:t>
            </w:r>
          </w:p>
        </w:tc>
        <w:tc>
          <w:tcPr>
            <w:tcW w:type="dxa" w:w="32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IgG concentration (A280); purity (SEC-HPLC); leached Protein A</w:t>
            </w:r>
          </w:p>
        </w:tc>
        <w:tc>
          <w:tcPr>
            <w:tcW w:type="dxa" w:w="32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90% monomer; Protein A ≤ 5 ppm</w:t>
            </w:r>
          </w:p>
        </w:tc>
      </w:tr>
      <w:tr>
        <w:tc>
          <w:tcPr>
            <w:tcW w:type="dxa" w:w="2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Post-Low pH VI</w:t>
            </w:r>
          </w:p>
        </w:tc>
        <w:tc>
          <w:tcPr>
            <w:tcW w:type="dxa" w:w="32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pH; hold time log; product titer (A280)</w:t>
            </w:r>
          </w:p>
        </w:tc>
        <w:tc>
          <w:tcPr>
            <w:tcW w:type="dxa" w:w="32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pH 3.4–3.6; time 60–70 min; no significant loss</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Post-CEX</w:t>
            </w:r>
          </w:p>
        </w:tc>
        <w:tc>
          <w:tcPr>
            <w:tcW w:type="dxa" w:w="32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Charge variant profile (cIEF); HCP (ELISA)</w:t>
            </w:r>
          </w:p>
        </w:tc>
        <w:tc>
          <w:tcPr>
            <w:tcW w:type="dxa" w:w="32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Acidic variants ≤ 15%; basic variants ≤ 10%; HCP ≤ 100 ppm</w:t>
            </w:r>
          </w:p>
        </w:tc>
      </w:tr>
      <w:tr>
        <w:tc>
          <w:tcPr>
            <w:tcW w:type="dxa" w:w="2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Bulk DS (Pre-Fill)</w:t>
            </w:r>
          </w:p>
        </w:tc>
        <w:tc>
          <w:tcPr>
            <w:tcW w:type="dxa" w:w="32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Concentration; bioburden; appearance; pH; aggregates (DLS)</w:t>
            </w:r>
          </w:p>
        </w:tc>
        <w:tc>
          <w:tcPr>
            <w:tcW w:type="dxa" w:w="32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Per DS specification; bioburden ≤ 10 CFU/100 mL</w:t>
            </w:r>
          </w:p>
        </w:tc>
      </w:tr>
    </w:tbl>
    <w:p>
      <w:pPr>
        <w:spacing w:after="160" w:line="276"/>
        <w:jc w:val="left"/>
      </w:pPr>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sz w:val="24"/>
          <w:szCs w:val="24"/>
        </w:rPr>
        <w:t xml:space="preserve">3.2.S.2.5 Process Validation and Evaluation</w:t>
      </w:r>
    </w:p>
    <w:p>
      <w:pPr>
        <w:spacing w:after="160" w:line="276"/>
        <w:jc w:val="left"/>
      </w:pPr>
      <w:r>
        <w:rPr>
          <w:rFonts w:ascii="Arial" w:cs="Arial" w:eastAsia="Arial" w:hAnsi="Arial"/>
          <w:b w:val="false"/>
          <w:bCs w:val="false"/>
          <w:i w:val="false"/>
          <w:iCs w:val="false"/>
          <w:sz w:val="20"/>
          <w:szCs w:val="20"/>
        </w:rPr>
        <w:t xml:space="preserve">Process validation for commercial manufacture was conducted in accordance with ICH Q8(R2), Q9, Q10, and FDA Process Validation Guidance (2011). Three consecutive commercial-scale validation batches (PPQ Batches V01, V02, V03) were manufactured at the primary commercial site. Results demonstrated process consistency and the ability to reproducibly manufacture cervimab drug substance meeting all predefined acceptance criteria. Full validation data are presented in Section 3.2.S.2.5 of the registered CTD and summarized in the Process Validation Report (see Appendix PVR-001). Additionally, a continued process verification (CPV) program is in place per FDA guidance.</w:t>
      </w:r>
    </w:p>
    <w:p>
      <w:pPr>
        <w:spacing w:after="160" w:line="276"/>
        <w:jc w:val="left"/>
      </w:pPr>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sz w:val="24"/>
          <w:szCs w:val="24"/>
        </w:rPr>
        <w:t xml:space="preserve">3.2.S.2.6 Manufacturing Process Development</w:t>
      </w:r>
    </w:p>
    <w:p>
      <w:pPr>
        <w:spacing w:after="160" w:line="276"/>
        <w:jc w:val="left"/>
      </w:pPr>
      <w:r>
        <w:rPr>
          <w:rFonts w:ascii="Arial" w:cs="Arial" w:eastAsia="Arial" w:hAnsi="Arial"/>
          <w:b w:val="false"/>
          <w:bCs w:val="false"/>
          <w:i w:val="false"/>
          <w:iCs w:val="false"/>
          <w:sz w:val="20"/>
          <w:szCs w:val="20"/>
        </w:rPr>
        <w:t xml:space="preserve">Process development history, comparability assessments for process changes, and scale-up rationale are described in the development report (3.2.S.2.6). Key process changes between Phase 1, Phase 2, and Phase 3/commercial manufacturing are documented with supporting comparability data (see Comparability Protocol, Appendix CMP-001).</w:t>
      </w:r>
    </w:p>
    <w:p>
      <w:pPr>
        <w:spacing w:after="160" w:line="276"/>
        <w:jc w:val="left"/>
      </w:pPr>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sz w:val="28"/>
          <w:szCs w:val="28"/>
        </w:rPr>
        <w:t xml:space="preserve">3.2.S.3 Characterization</w:t>
      </w:r>
    </w:p>
    <w:p>
      <w:pPr>
        <w:pStyle w:val="Heading3"/>
      </w:pPr>
      <w:r>
        <w:rPr>
          <w:rFonts w:ascii="Arial" w:cs="Arial" w:eastAsia="Arial" w:hAnsi="Arial"/>
          <w:b/>
          <w:bCs/>
          <w:sz w:val="24"/>
          <w:szCs w:val="24"/>
        </w:rPr>
        <w:t xml:space="preserve">3.2.S.3.1 Elucidation of Structure and Other Characteristics</w:t>
      </w:r>
    </w:p>
    <w:p>
      <w:pPr>
        <w:spacing w:after="160" w:line="276"/>
        <w:jc w:val="left"/>
      </w:pPr>
      <w:r>
        <w:rPr>
          <w:rFonts w:ascii="Arial" w:cs="Arial" w:eastAsia="Arial" w:hAnsi="Arial"/>
          <w:b w:val="false"/>
          <w:bCs w:val="false"/>
          <w:i w:val="false"/>
          <w:iCs w:val="false"/>
          <w:sz w:val="20"/>
          <w:szCs w:val="20"/>
        </w:rPr>
        <w:t xml:space="preserve">Structural characterization of cervimab has been performed using a panel of orthogonal analytical techniques. The proposed primary and higher-order structure, post-translational modifications (PTMs), and biological activity are confirmed by the following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Attribute</w:t>
            </w:r>
          </w:p>
        </w:tc>
        <w:tc>
          <w:tcPr>
            <w:tcW w:type="dxa" w:w="312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Method(s)</w:t>
            </w:r>
          </w:p>
        </w:tc>
        <w:tc>
          <w:tcPr>
            <w:tcW w:type="dxa" w:w="312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Key Finding</w:t>
            </w:r>
          </w:p>
        </w:tc>
      </w:tr>
      <w:tr>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Primary Sequence</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Peptide mapping (tryptic/Lys-C); MS/MS</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Sequence confirmed; 100% sequence coverage</w:t>
            </w:r>
          </w:p>
        </w:tc>
      </w:tr>
      <w:tr>
        <w:tc>
          <w:tcPr>
            <w:tcW w:type="dxa" w:w="31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Disulfide Bond Map</w:t>
            </w:r>
          </w:p>
        </w:tc>
        <w:tc>
          <w:tcPr>
            <w:tcW w:type="dxa" w:w="31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Non-reduced peptide mapping; MS</w:t>
            </w:r>
          </w:p>
        </w:tc>
        <w:tc>
          <w:tcPr>
            <w:tcW w:type="dxa" w:w="31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All 16 disulfide bonds confirmed as expected</w:t>
            </w:r>
          </w:p>
        </w:tc>
      </w:tr>
      <w:tr>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N-Glycosylation</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HILIC-FLD; MALDI-TOF; LC-MS</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Complex biantennary at Asn-301 HC; G0F dominant species (~45%)</w:t>
            </w:r>
          </w:p>
        </w:tc>
      </w:tr>
      <w:tr>
        <w:tc>
          <w:tcPr>
            <w:tcW w:type="dxa" w:w="31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C-terminal Lysine Clipping</w:t>
            </w:r>
          </w:p>
        </w:tc>
        <w:tc>
          <w:tcPr>
            <w:tcW w:type="dxa" w:w="31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Peptide mapping; mass spec</w:t>
            </w:r>
          </w:p>
        </w:tc>
        <w:tc>
          <w:tcPr>
            <w:tcW w:type="dxa" w:w="31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&gt; 95% clipping; batch-consistent</w:t>
            </w:r>
          </w:p>
        </w:tc>
      </w:tr>
      <w:tr>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N-terminal Pyroglutamate</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Peptide mapping</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~60% conversion; consistent across batches</w:t>
            </w:r>
          </w:p>
        </w:tc>
      </w:tr>
      <w:tr>
        <w:tc>
          <w:tcPr>
            <w:tcW w:type="dxa" w:w="31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Deamidation (Asn-55 HC CDR2)</w:t>
            </w:r>
          </w:p>
        </w:tc>
        <w:tc>
          <w:tcPr>
            <w:tcW w:type="dxa" w:w="31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Peptide mapping; charge variant analysis</w:t>
            </w:r>
          </w:p>
        </w:tc>
        <w:tc>
          <w:tcPr>
            <w:tcW w:type="dxa" w:w="31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5% (controlled by CEX step)</w:t>
            </w:r>
          </w:p>
        </w:tc>
      </w:tr>
      <w:tr>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Higher Order Structure (HOS)</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CD spectroscopy; HDX-MS; DSC</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Alpha-helical and beta-sheet content confirmed; Tm1 = 72.3°C, Tm2 = 84.1°C</w:t>
            </w:r>
          </w:p>
        </w:tc>
      </w:tr>
      <w:tr>
        <w:tc>
          <w:tcPr>
            <w:tcW w:type="dxa" w:w="31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Aggregation / Particle Profile</w:t>
            </w:r>
          </w:p>
        </w:tc>
        <w:tc>
          <w:tcPr>
            <w:tcW w:type="dxa" w:w="31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SEC-HPLC; DLS; AUC; MFI; NTA</w:t>
            </w:r>
          </w:p>
        </w:tc>
        <w:tc>
          <w:tcPr>
            <w:tcW w:type="dxa" w:w="31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Monomer ≥ 98%; sub-visible particles within ICH Q6B guidance</w:t>
            </w:r>
          </w:p>
        </w:tc>
      </w:tr>
      <w:tr>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Binding Affinity (PD-1)</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SPR (Biacore); ELISA</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KD = 0.82 nM (SPR, 25°C); no binding to PD-L1 or other checkpoints</w:t>
            </w:r>
          </w:p>
        </w:tc>
      </w:tr>
      <w:tr>
        <w:tc>
          <w:tcPr>
            <w:tcW w:type="dxa" w:w="31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Biological Activity (PD-1/PD-L1 blockade)</w:t>
            </w:r>
          </w:p>
        </w:tc>
        <w:tc>
          <w:tcPr>
            <w:tcW w:type="dxa" w:w="31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Cell-based reporter assay (Jurkat/CHO co-culture)</w:t>
            </w:r>
          </w:p>
        </w:tc>
        <w:tc>
          <w:tcPr>
            <w:tcW w:type="dxa" w:w="31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EC50 = 0.18 nM; potency range 80–120% vs. reference standard</w:t>
            </w:r>
          </w:p>
        </w:tc>
      </w:tr>
      <w:tr>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Fc Effector Functions</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ADCC reporter assay; FcRn binding (SPR)</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Minimal ADCC (IgG4 isotype); FcRn KD = 158 nM (pH 6.0)</w:t>
            </w:r>
          </w:p>
        </w:tc>
      </w:tr>
    </w:tbl>
    <w:p>
      <w:pPr>
        <w:spacing w:after="160" w:line="276"/>
        <w:jc w:val="left"/>
      </w:pPr>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sz w:val="24"/>
          <w:szCs w:val="24"/>
        </w:rPr>
        <w:t xml:space="preserve">3.2.S.3.2 Impurities</w:t>
      </w:r>
    </w:p>
    <w:p>
      <w:pPr>
        <w:spacing w:after="160" w:line="276"/>
        <w:jc w:val="left"/>
      </w:pPr>
      <w:r>
        <w:rPr>
          <w:rFonts w:ascii="Arial" w:cs="Arial" w:eastAsia="Arial" w:hAnsi="Arial"/>
          <w:b w:val="false"/>
          <w:bCs w:val="false"/>
          <w:i w:val="false"/>
          <w:iCs w:val="false"/>
          <w:sz w:val="20"/>
          <w:szCs w:val="20"/>
        </w:rPr>
        <w:t xml:space="preserve">Process-related and product-related impurities have been characterized and controlled. Impurity profiles are consistent across commercial-scale batches. Safety assessment of impurities has been performed in accordance with ICH Q3A/Q3C principles and ICH Q6B.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Impurity Class</w:t>
            </w:r>
          </w:p>
        </w:tc>
        <w:tc>
          <w:tcPr>
            <w:tcW w:type="dxa" w:w="234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Specific Impurity</w:t>
            </w:r>
          </w:p>
        </w:tc>
        <w:tc>
          <w:tcPr>
            <w:tcW w:type="dxa" w:w="234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Typical Level (commercial)</w:t>
            </w:r>
          </w:p>
        </w:tc>
        <w:tc>
          <w:tcPr>
            <w:tcW w:type="dxa" w:w="234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Specification Limit</w:t>
            </w:r>
          </w:p>
        </w:tc>
      </w:tr>
      <w:tr>
        <w:tc>
          <w:tcPr>
            <w:tcW w:type="dxa" w:w="23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Process-related</w:t>
            </w:r>
          </w:p>
        </w:tc>
        <w:tc>
          <w:tcPr>
            <w:tcW w:type="dxa" w:w="23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Host Cell Protein (HCP)</w:t>
            </w:r>
          </w:p>
        </w:tc>
        <w:tc>
          <w:tcPr>
            <w:tcW w:type="dxa" w:w="23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&lt; 10 ppm</w:t>
            </w:r>
          </w:p>
        </w:tc>
        <w:tc>
          <w:tcPr>
            <w:tcW w:type="dxa" w:w="23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25 ppm</w:t>
            </w:r>
          </w:p>
        </w:tc>
      </w:tr>
      <w:tr>
        <w:tc>
          <w:tcPr>
            <w:tcW w:type="dxa" w:w="234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Process-related</w:t>
            </w:r>
          </w:p>
        </w:tc>
        <w:tc>
          <w:tcPr>
            <w:tcW w:type="dxa" w:w="234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Host Cell DNA</w:t>
            </w:r>
          </w:p>
        </w:tc>
        <w:tc>
          <w:tcPr>
            <w:tcW w:type="dxa" w:w="234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&lt; 2 pg/mg</w:t>
            </w:r>
          </w:p>
        </w:tc>
        <w:tc>
          <w:tcPr>
            <w:tcW w:type="dxa" w:w="234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10 pg/mg</w:t>
            </w:r>
          </w:p>
        </w:tc>
      </w:tr>
      <w:tr>
        <w:tc>
          <w:tcPr>
            <w:tcW w:type="dxa" w:w="23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Process-related</w:t>
            </w:r>
          </w:p>
        </w:tc>
        <w:tc>
          <w:tcPr>
            <w:tcW w:type="dxa" w:w="23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Leached Protein A</w:t>
            </w:r>
          </w:p>
        </w:tc>
        <w:tc>
          <w:tcPr>
            <w:tcW w:type="dxa" w:w="23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&lt; 1 ppm</w:t>
            </w:r>
          </w:p>
        </w:tc>
        <w:tc>
          <w:tcPr>
            <w:tcW w:type="dxa" w:w="23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2 ppm</w:t>
            </w:r>
          </w:p>
        </w:tc>
      </w:tr>
      <w:tr>
        <w:tc>
          <w:tcPr>
            <w:tcW w:type="dxa" w:w="234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Process-related</w:t>
            </w:r>
          </w:p>
        </w:tc>
        <w:tc>
          <w:tcPr>
            <w:tcW w:type="dxa" w:w="234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Residual Polysorbate 80 (if used)</w:t>
            </w:r>
          </w:p>
        </w:tc>
        <w:tc>
          <w:tcPr>
            <w:tcW w:type="dxa" w:w="234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detected</w:t>
            </w:r>
          </w:p>
        </w:tc>
        <w:tc>
          <w:tcPr>
            <w:tcW w:type="dxa" w:w="234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50 ppm</w:t>
            </w:r>
          </w:p>
        </w:tc>
      </w:tr>
      <w:tr>
        <w:tc>
          <w:tcPr>
            <w:tcW w:type="dxa" w:w="23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Product-related</w:t>
            </w:r>
          </w:p>
        </w:tc>
        <w:tc>
          <w:tcPr>
            <w:tcW w:type="dxa" w:w="23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Aggregates (SEC-HPLC)</w:t>
            </w:r>
          </w:p>
        </w:tc>
        <w:tc>
          <w:tcPr>
            <w:tcW w:type="dxa" w:w="23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0.5%</w:t>
            </w:r>
          </w:p>
        </w:tc>
        <w:tc>
          <w:tcPr>
            <w:tcW w:type="dxa" w:w="23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2.0%</w:t>
            </w:r>
          </w:p>
        </w:tc>
      </w:tr>
      <w:tr>
        <w:tc>
          <w:tcPr>
            <w:tcW w:type="dxa" w:w="234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Product-related</w:t>
            </w:r>
          </w:p>
        </w:tc>
        <w:tc>
          <w:tcPr>
            <w:tcW w:type="dxa" w:w="234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Fragments (SEC-HPLC)</w:t>
            </w:r>
          </w:p>
        </w:tc>
        <w:tc>
          <w:tcPr>
            <w:tcW w:type="dxa" w:w="234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0.3%</w:t>
            </w:r>
          </w:p>
        </w:tc>
        <w:tc>
          <w:tcPr>
            <w:tcW w:type="dxa" w:w="234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1.0%</w:t>
            </w:r>
          </w:p>
        </w:tc>
      </w:tr>
      <w:tr>
        <w:tc>
          <w:tcPr>
            <w:tcW w:type="dxa" w:w="23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Product-related</w:t>
            </w:r>
          </w:p>
        </w:tc>
        <w:tc>
          <w:tcPr>
            <w:tcW w:type="dxa" w:w="23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Deamidated variants (Asn-55 HC)</w:t>
            </w:r>
          </w:p>
        </w:tc>
        <w:tc>
          <w:tcPr>
            <w:tcW w:type="dxa" w:w="23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3%</w:t>
            </w:r>
          </w:p>
        </w:tc>
        <w:tc>
          <w:tcPr>
            <w:tcW w:type="dxa" w:w="23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8%</w:t>
            </w:r>
          </w:p>
        </w:tc>
      </w:tr>
      <w:tr>
        <w:tc>
          <w:tcPr>
            <w:tcW w:type="dxa" w:w="234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Product-related</w:t>
            </w:r>
          </w:p>
        </w:tc>
        <w:tc>
          <w:tcPr>
            <w:tcW w:type="dxa" w:w="234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Oxidized variants (Met-254 HC)</w:t>
            </w:r>
          </w:p>
        </w:tc>
        <w:tc>
          <w:tcPr>
            <w:tcW w:type="dxa" w:w="234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1%</w:t>
            </w:r>
          </w:p>
        </w:tc>
        <w:tc>
          <w:tcPr>
            <w:tcW w:type="dxa" w:w="234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5%</w:t>
            </w:r>
          </w:p>
        </w:tc>
      </w:tr>
    </w:tbl>
    <w:p>
      <w:pPr>
        <w:spacing w:after="160" w:line="276"/>
        <w:jc w:val="left"/>
      </w:pPr>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sz w:val="28"/>
          <w:szCs w:val="28"/>
        </w:rPr>
        <w:t xml:space="preserve">3.2.S.4 Control of Drug Substance</w:t>
      </w:r>
    </w:p>
    <w:p>
      <w:pPr>
        <w:pStyle w:val="Heading3"/>
      </w:pPr>
      <w:r>
        <w:rPr>
          <w:rFonts w:ascii="Arial" w:cs="Arial" w:eastAsia="Arial" w:hAnsi="Arial"/>
          <w:b/>
          <w:bCs/>
          <w:sz w:val="24"/>
          <w:szCs w:val="24"/>
        </w:rPr>
        <w:t xml:space="preserve">3.2.S.4.1 Specification</w:t>
      </w:r>
    </w:p>
    <w:p>
      <w:pPr>
        <w:spacing w:after="160" w:line="276"/>
        <w:jc w:val="left"/>
      </w:pPr>
      <w:r>
        <w:rPr>
          <w:rFonts w:ascii="Arial" w:cs="Arial" w:eastAsia="Arial" w:hAnsi="Arial"/>
          <w:b w:val="false"/>
          <w:bCs w:val="false"/>
          <w:i w:val="false"/>
          <w:iCs w:val="false"/>
          <w:sz w:val="20"/>
          <w:szCs w:val="20"/>
        </w:rPr>
        <w:t xml:space="preserve">The release and shelf life specification for cervimab drug substance is presented below. The specification was developed in accordance with ICH Q6B and is based on process knowledge, batch data from clinical and commercial-scale production, characterization studies, and a thorough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2160"/>
        <w:gridCol w:w="2040"/>
      </w:tblGrid>
      <w:tr>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Test</w:t>
            </w:r>
          </w:p>
        </w:tc>
        <w:tc>
          <w:tcPr>
            <w:tcW w:type="dxa" w:w="27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Method</w:t>
            </w:r>
          </w:p>
        </w:tc>
        <w:tc>
          <w:tcPr>
            <w:tcW w:type="dxa" w:w="21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Release Acceptance Criteria</w:t>
            </w:r>
          </w:p>
        </w:tc>
        <w:tc>
          <w:tcPr>
            <w:tcW w:type="dxa" w:w="204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Shelf Life Acceptance Criteria</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Appearance</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Visual inspection (EP 2.9.20)</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Clear to opalescent; colorless to pale yellow; no visible particles</w:t>
            </w:r>
          </w:p>
        </w:tc>
        <w:tc>
          <w:tcPr>
            <w:tcW w:type="dxa" w:w="20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Same as release</w:t>
            </w:r>
          </w:p>
        </w:tc>
      </w:tr>
      <w:tr>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Identity (PD-1 binding)</w:t>
            </w:r>
          </w:p>
        </w:tc>
        <w:tc>
          <w:tcPr>
            <w:tcW w:type="dxa" w:w="27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ELISA (in-house method)</w:t>
            </w:r>
          </w:p>
        </w:tc>
        <w:tc>
          <w:tcPr>
            <w:tcW w:type="dxa" w:w="21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Positive (≥ 70% binding vs. reference)</w:t>
            </w:r>
          </w:p>
        </w:tc>
        <w:tc>
          <w:tcPr>
            <w:tcW w:type="dxa" w:w="204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Same as release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Protein Concentration</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UV-Vis (A280)</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18.0 – 22.0 mg/mL</w:t>
            </w:r>
          </w:p>
        </w:tc>
        <w:tc>
          <w:tcPr>
            <w:tcW w:type="dxa" w:w="20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18.0 – 22.0 mg/mL</w:t>
            </w:r>
          </w:p>
        </w:tc>
      </w:tr>
      <w:tr>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Purity — Monomer (SEC-HPLC)</w:t>
            </w:r>
          </w:p>
        </w:tc>
        <w:tc>
          <w:tcPr>
            <w:tcW w:type="dxa" w:w="27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SEC-HPLC (in-house)</w:t>
            </w:r>
          </w:p>
        </w:tc>
        <w:tc>
          <w:tcPr>
            <w:tcW w:type="dxa" w:w="21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98.0%</w:t>
            </w:r>
          </w:p>
        </w:tc>
        <w:tc>
          <w:tcPr>
            <w:tcW w:type="dxa" w:w="204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97.0%</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Purity — Reduced CE-SDS (HC + LC)</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CE-SDS (reduced)</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HC: 50 ± 5%; LC: 25 ± 5%</w:t>
            </w:r>
          </w:p>
        </w:tc>
        <w:tc>
          <w:tcPr>
            <w:tcW w:type="dxa" w:w="20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Same as release</w:t>
            </w:r>
          </w:p>
        </w:tc>
      </w:tr>
      <w:tr>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Purity — Non-reduced CE-SDS</w:t>
            </w:r>
          </w:p>
        </w:tc>
        <w:tc>
          <w:tcPr>
            <w:tcW w:type="dxa" w:w="27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CE-SDS (non-reduced)</w:t>
            </w:r>
          </w:p>
        </w:tc>
        <w:tc>
          <w:tcPr>
            <w:tcW w:type="dxa" w:w="21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Intact IgG ≥ 95%</w:t>
            </w:r>
          </w:p>
        </w:tc>
        <w:tc>
          <w:tcPr>
            <w:tcW w:type="dxa" w:w="204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Same as release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Charge Variant Profile (cIEF)</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cIEF (in-house)</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Main peak ≥ 75%; acidic ≤ 15%; basic ≤ 10%</w:t>
            </w:r>
          </w:p>
        </w:tc>
        <w:tc>
          <w:tcPr>
            <w:tcW w:type="dxa" w:w="20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Main peak ≥ 70%; acidic ≤ 20%; basic ≤ 12%</w:t>
            </w:r>
          </w:p>
        </w:tc>
      </w:tr>
      <w:tr>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Biological Potency</w:t>
            </w:r>
          </w:p>
        </w:tc>
        <w:tc>
          <w:tcPr>
            <w:tcW w:type="dxa" w:w="27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PD-1/PD-L1 blockade cell assay</w:t>
            </w:r>
          </w:p>
        </w:tc>
        <w:tc>
          <w:tcPr>
            <w:tcW w:type="dxa" w:w="21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70 – 130% of reference standard</w:t>
            </w:r>
          </w:p>
        </w:tc>
        <w:tc>
          <w:tcPr>
            <w:tcW w:type="dxa" w:w="204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70 – 130% of reference standard</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pH</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Potentiometry (USP &lt;791&gt;)</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5.5 – 6.1</w:t>
            </w:r>
          </w:p>
        </w:tc>
        <w:tc>
          <w:tcPr>
            <w:tcW w:type="dxa" w:w="20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5.5 – 6.1</w:t>
            </w:r>
          </w:p>
        </w:tc>
      </w:tr>
      <w:tr>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Osmolality</w:t>
            </w:r>
          </w:p>
        </w:tc>
        <w:tc>
          <w:tcPr>
            <w:tcW w:type="dxa" w:w="27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Freezing point depression (USP &lt;785&gt;)</w:t>
            </w:r>
          </w:p>
        </w:tc>
        <w:tc>
          <w:tcPr>
            <w:tcW w:type="dxa" w:w="21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280 – 330 mOsmol/kg</w:t>
            </w:r>
          </w:p>
        </w:tc>
        <w:tc>
          <w:tcPr>
            <w:tcW w:type="dxa" w:w="204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280 – 330 mOsmol/kg</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Particulate Matter</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Light obscuration / visual (USP &lt;788&gt;)</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10 µm: ≤ 6,000/container; ≥ 25 µm: ≤ 600/container</w:t>
            </w:r>
          </w:p>
        </w:tc>
        <w:tc>
          <w:tcPr>
            <w:tcW w:type="dxa" w:w="20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Same as release</w:t>
            </w:r>
          </w:p>
        </w:tc>
      </w:tr>
      <w:tr>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Sterility</w:t>
            </w:r>
          </w:p>
        </w:tc>
        <w:tc>
          <w:tcPr>
            <w:tcW w:type="dxa" w:w="27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USP &lt;71&gt; (membrane filtration)</w:t>
            </w:r>
          </w:p>
        </w:tc>
        <w:tc>
          <w:tcPr>
            <w:tcW w:type="dxa" w:w="21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 growth</w:t>
            </w:r>
          </w:p>
        </w:tc>
        <w:tc>
          <w:tcPr>
            <w:tcW w:type="dxa" w:w="204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tested at shelf life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Endotoxin (Bacterial)</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LAL (USP &lt;85&gt;)</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1.0 EU/mg</w:t>
            </w:r>
          </w:p>
        </w:tc>
        <w:tc>
          <w:tcPr>
            <w:tcW w:type="dxa" w:w="20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tested at shelf life</w:t>
            </w:r>
          </w:p>
        </w:tc>
      </w:tr>
      <w:tr>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Host Cell Protein (HCP)</w:t>
            </w:r>
          </w:p>
        </w:tc>
        <w:tc>
          <w:tcPr>
            <w:tcW w:type="dxa" w:w="27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CHO HCP ELISA (in-house validated)</w:t>
            </w:r>
          </w:p>
        </w:tc>
        <w:tc>
          <w:tcPr>
            <w:tcW w:type="dxa" w:w="216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25 ppm</w:t>
            </w:r>
          </w:p>
        </w:tc>
        <w:tc>
          <w:tcPr>
            <w:tcW w:type="dxa" w:w="204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 tested at shelf life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Host Cell DNA</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qPCR (CHO residual DNA assay)</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10 pg/mg</w:t>
            </w:r>
          </w:p>
        </w:tc>
        <w:tc>
          <w:tcPr>
            <w:tcW w:type="dxa" w:w="20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tested at shelf life</w:t>
            </w:r>
          </w:p>
        </w:tc>
      </w:tr>
    </w:tbl>
    <w:p>
      <w:pPr>
        <w:spacing w:after="160" w:line="276"/>
        <w:jc w:val="left"/>
      </w:pPr>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sz w:val="24"/>
          <w:szCs w:val="24"/>
        </w:rPr>
        <w:t xml:space="preserve">3.2.S.4.2 Analytical Procedures</w:t>
      </w:r>
    </w:p>
    <w:p>
      <w:pPr>
        <w:spacing w:after="160" w:line="276"/>
        <w:jc w:val="left"/>
      </w:pPr>
      <w:r>
        <w:rPr>
          <w:rFonts w:ascii="Arial" w:cs="Arial" w:eastAsia="Arial" w:hAnsi="Arial"/>
          <w:b w:val="false"/>
          <w:bCs w:val="false"/>
          <w:i w:val="false"/>
          <w:iCs w:val="false"/>
          <w:sz w:val="20"/>
          <w:szCs w:val="20"/>
        </w:rPr>
        <w:t xml:space="preserve">All analytical procedures used for release and stability testing of cervimab drug substance are described in detail in the Analytical Methods Package (CTD Section 3.2.S.4.2). Each method has been validated in accordance with ICH Q2(R2) for the intended purpose (identification, assay, purity, and other characteristics). Compendial methods (USP &lt;71&gt;, &lt;85&gt;, &lt;788&gt;, &lt;791&gt;, &lt;785&gt;) are used as applicable without additional validation, except where modifications have been made (see individual method validation reports).</w:t>
      </w:r>
    </w:p>
    <w:p>
      <w:pPr>
        <w:spacing w:after="160" w:line="276"/>
        <w:jc w:val="left"/>
      </w:pPr>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sz w:val="24"/>
          <w:szCs w:val="24"/>
        </w:rPr>
        <w:t xml:space="preserve">3.2.S.4.3 Validation of Analytical Procedures</w:t>
      </w:r>
    </w:p>
    <w:p>
      <w:pPr>
        <w:spacing w:after="160" w:line="276"/>
        <w:jc w:val="left"/>
      </w:pPr>
      <w:r>
        <w:rPr>
          <w:rFonts w:ascii="Arial" w:cs="Arial" w:eastAsia="Arial" w:hAnsi="Arial"/>
          <w:b w:val="false"/>
          <w:bCs w:val="false"/>
          <w:i w:val="false"/>
          <w:iCs w:val="false"/>
          <w:sz w:val="20"/>
          <w:szCs w:val="20"/>
        </w:rPr>
        <w:t xml:space="preserve">Method validation reports are provided for all in-house analytical procedures. The following validation parameters were assessed as applicable: specificity/selectivity, linearity, range, accuracy (spike-and-recover), precision (repeatability and intermediate precision), limit of detection (LOD), limit of quantitation (LOQ), and robustness (per ICH Q2(R2) and Q14). Summary validation data are presented in the CTD appendices. The biological potency assay (PD-1/PD-L1 blockade cell-based assay) was validated in accordance with USP &lt;1033&gt; including relative accuracy, precision, linearity, specificity, and system suitability criteria.</w:t>
      </w:r>
    </w:p>
    <w:p>
      <w:pPr>
        <w:spacing w:after="160" w:line="276"/>
        <w:jc w:val="left"/>
      </w:pPr>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sz w:val="24"/>
          <w:szCs w:val="24"/>
        </w:rPr>
        <w:t xml:space="preserve">3.2.S.4.4 Batch Analyses</w:t>
      </w:r>
    </w:p>
    <w:p>
      <w:pPr>
        <w:spacing w:after="160" w:line="276"/>
        <w:jc w:val="left"/>
      </w:pPr>
      <w:r>
        <w:rPr>
          <w:rFonts w:ascii="Arial" w:cs="Arial" w:eastAsia="Arial" w:hAnsi="Arial"/>
          <w:b w:val="false"/>
          <w:bCs w:val="false"/>
          <w:i w:val="false"/>
          <w:iCs w:val="false"/>
          <w:sz w:val="20"/>
          <w:szCs w:val="20"/>
        </w:rPr>
        <w:t xml:space="preserve">Analytical data for all Phase 3 clinical and commercial-scale process performance qualification (PPQ) batches of cervimab drug substance are summarized in the table below. All batches met the proposed release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080"/>
        <w:gridCol w:w="1200"/>
        <w:gridCol w:w="1080"/>
        <w:gridCol w:w="1200"/>
      </w:tblGrid>
      <w:tr>
        <w:tc>
          <w:tcPr>
            <w:tcW w:type="dxa" w:w="12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Batch No.</w:t>
            </w:r>
          </w:p>
        </w:tc>
        <w:tc>
          <w:tcPr>
            <w:tcW w:type="dxa" w:w="12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Scale</w:t>
            </w:r>
          </w:p>
        </w:tc>
        <w:tc>
          <w:tcPr>
            <w:tcW w:type="dxa" w:w="12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Mfg. Date</w:t>
            </w:r>
          </w:p>
        </w:tc>
        <w:tc>
          <w:tcPr>
            <w:tcW w:type="dxa" w:w="12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Conc. (mg/mL)</w:t>
            </w:r>
          </w:p>
        </w:tc>
        <w:tc>
          <w:tcPr>
            <w:tcW w:type="dxa" w:w="108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Monomer %</w:t>
            </w:r>
          </w:p>
        </w:tc>
        <w:tc>
          <w:tcPr>
            <w:tcW w:type="dxa" w:w="12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Potency (%RS)</w:t>
            </w:r>
          </w:p>
        </w:tc>
        <w:tc>
          <w:tcPr>
            <w:tcW w:type="dxa" w:w="108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HCP (ppm)</w:t>
            </w:r>
          </w:p>
        </w:tc>
        <w:tc>
          <w:tcPr>
            <w:tcW w:type="dxa" w:w="12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Compliant?</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CVM-DS-P3-001</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2,000 L</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Feb 2022</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20.1</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98.7%</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98%</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8.2</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1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CVM-DS-P3-002</w:t>
            </w:r>
          </w:p>
        </w:tc>
        <w:tc>
          <w:tcPr>
            <w:tcW w:type="dxa" w:w="1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2,000 L</w:t>
            </w:r>
          </w:p>
        </w:tc>
        <w:tc>
          <w:tcPr>
            <w:tcW w:type="dxa" w:w="1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May 2022</w:t>
            </w:r>
          </w:p>
        </w:tc>
        <w:tc>
          <w:tcPr>
            <w:tcW w:type="dxa" w:w="1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19.8</w:t>
            </w:r>
          </w:p>
        </w:tc>
        <w:tc>
          <w:tcPr>
            <w:tcW w:type="dxa" w:w="10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98.9%</w:t>
            </w:r>
          </w:p>
        </w:tc>
        <w:tc>
          <w:tcPr>
            <w:tcW w:type="dxa" w:w="1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105%</w:t>
            </w:r>
          </w:p>
        </w:tc>
        <w:tc>
          <w:tcPr>
            <w:tcW w:type="dxa" w:w="10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7.6</w:t>
            </w:r>
          </w:p>
        </w:tc>
        <w:tc>
          <w:tcPr>
            <w:tcW w:type="dxa" w:w="1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CVM-DS-P3-003</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2,000 L</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Aug 2022</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20.3</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99.1%</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102%</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9.1</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1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CVM-DS-PPQ-V01</w:t>
            </w:r>
          </w:p>
        </w:tc>
        <w:tc>
          <w:tcPr>
            <w:tcW w:type="dxa" w:w="1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2,000 L (PPQ)</w:t>
            </w:r>
          </w:p>
        </w:tc>
        <w:tc>
          <w:tcPr>
            <w:tcW w:type="dxa" w:w="1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Jan 2023</w:t>
            </w:r>
          </w:p>
        </w:tc>
        <w:tc>
          <w:tcPr>
            <w:tcW w:type="dxa" w:w="1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20.0</w:t>
            </w:r>
          </w:p>
        </w:tc>
        <w:tc>
          <w:tcPr>
            <w:tcW w:type="dxa" w:w="10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99.2%</w:t>
            </w:r>
          </w:p>
        </w:tc>
        <w:tc>
          <w:tcPr>
            <w:tcW w:type="dxa" w:w="1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99%</w:t>
            </w:r>
          </w:p>
        </w:tc>
        <w:tc>
          <w:tcPr>
            <w:tcW w:type="dxa" w:w="10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7.9</w:t>
            </w:r>
          </w:p>
        </w:tc>
        <w:tc>
          <w:tcPr>
            <w:tcW w:type="dxa" w:w="1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CVM-DS-PPQ-V02</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2,000 L (PPQ)</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Mar 2023</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19.9</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98.8%</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103%</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8.5</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1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CVM-DS-PPQ-V03</w:t>
            </w:r>
          </w:p>
        </w:tc>
        <w:tc>
          <w:tcPr>
            <w:tcW w:type="dxa" w:w="1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2,000 L (PPQ)</w:t>
            </w:r>
          </w:p>
        </w:tc>
        <w:tc>
          <w:tcPr>
            <w:tcW w:type="dxa" w:w="1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May 2023</w:t>
            </w:r>
          </w:p>
        </w:tc>
        <w:tc>
          <w:tcPr>
            <w:tcW w:type="dxa" w:w="1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20.2</w:t>
            </w:r>
          </w:p>
        </w:tc>
        <w:tc>
          <w:tcPr>
            <w:tcW w:type="dxa" w:w="10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99.0%</w:t>
            </w:r>
          </w:p>
        </w:tc>
        <w:tc>
          <w:tcPr>
            <w:tcW w:type="dxa" w:w="1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101%</w:t>
            </w:r>
          </w:p>
        </w:tc>
        <w:tc>
          <w:tcPr>
            <w:tcW w:type="dxa" w:w="10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7.3</w:t>
            </w:r>
          </w:p>
        </w:tc>
        <w:tc>
          <w:tcPr>
            <w:tcW w:type="dxa" w:w="12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bl>
    <w:p>
      <w:pPr>
        <w:spacing w:after="160" w:line="276"/>
        <w:jc w:val="left"/>
      </w:pPr>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sz w:val="24"/>
          <w:szCs w:val="24"/>
        </w:rPr>
        <w:t xml:space="preserve">3.2.S.4.5 Justification of Specification</w:t>
      </w:r>
    </w:p>
    <w:p>
      <w:pPr>
        <w:spacing w:after="160" w:line="276"/>
        <w:jc w:val="left"/>
      </w:pPr>
      <w:r>
        <w:rPr>
          <w:rFonts w:ascii="Arial" w:cs="Arial" w:eastAsia="Arial" w:hAnsi="Arial"/>
          <w:b w:val="false"/>
          <w:bCs w:val="false"/>
          <w:i w:val="false"/>
          <w:iCs w:val="false"/>
          <w:sz w:val="20"/>
          <w:szCs w:val="20"/>
        </w:rPr>
        <w:t xml:space="preserve">The cervimab drug substance specification was established based on: (1) data from Phase 1/2 clinical batches used to establish initial specifications; (2) expanded dataset from Phase 3 clinical and PPQ batches; (3) correlation of product quality attributes with biological activity and clinical safety/efficacy data; and (4) regulatory precedent for comparable PD-1 inhibitor IgG4 monoclonal antibodies (e.g., pembrolizumab, nivolumab). Specification justification is provided in Section 3.2.S.4.5 of the CTD.</w:t>
      </w:r>
    </w:p>
    <w:p>
      <w:pPr>
        <w:spacing w:after="160" w:line="276"/>
        <w:jc w:val="left"/>
      </w:pPr>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sz w:val="28"/>
          <w:szCs w:val="28"/>
        </w:rPr>
        <w:t xml:space="preserve">3.2.S.5 Reference Standards or Materials</w:t>
      </w:r>
    </w:p>
    <w:p>
      <w:pPr>
        <w:spacing w:after="160" w:line="276"/>
        <w:jc w:val="left"/>
      </w:pPr>
      <w:r>
        <w:rPr>
          <w:rFonts w:ascii="Arial" w:cs="Arial" w:eastAsia="Arial" w:hAnsi="Arial"/>
          <w:b w:val="false"/>
          <w:bCs w:val="false"/>
          <w:i w:val="false"/>
          <w:iCs w:val="false"/>
          <w:sz w:val="20"/>
          <w:szCs w:val="20"/>
        </w:rPr>
        <w:t xml:space="preserve">A Primary Reference Standard (PRS) and Working Reference Standard (WRS) program has been established for cervimab. The PRS was manufactured from a single representative PPQ batch (CVM-DS-PPQ-V01), characterized by the full panel of physicochemical and biological assays, and stored in single-use aliquots at ≤ −70°C. WRS lots are qualified against the PRS using a side-by-side testing protocol. Procedures for reference standard establishment, qualification, storage, and retirement are described in SOP CVM-RS-001.</w:t>
      </w:r>
    </w:p>
    <w:p>
      <w:pPr>
        <w:spacing w:after="160" w:line="276"/>
        <w:jc w:val="left"/>
      </w:pPr>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sz w:val="28"/>
          <w:szCs w:val="28"/>
        </w:rPr>
        <w:t xml:space="preserve">3.2.S.6 Container Closure System</w:t>
      </w:r>
    </w:p>
    <w:p>
      <w:pPr>
        <w:spacing w:after="160" w:line="276"/>
        <w:jc w:val="left"/>
      </w:pPr>
      <w:r>
        <w:rPr>
          <w:rFonts w:ascii="Arial" w:cs="Arial" w:eastAsia="Arial" w:hAnsi="Arial"/>
          <w:b w:val="false"/>
          <w:bCs w:val="false"/>
          <w:i w:val="false"/>
          <w:iCs w:val="false"/>
          <w:sz w:val="20"/>
          <w:szCs w:val="20"/>
        </w:rPr>
        <w:t xml:space="preserve">Cervimab drug substance is stored in PETG or Type I borosilicate glass bottles with fluoropolymer-lined closures, or in single-use bioprocess bags (polyethylene, USP &lt;661&gt; compliant), depending on storage volume. Container closure integrity is assessed by visual inspection and dye ingress testing per USP &lt;1207&gt;. Extractables/leachables studies have been conducted and levels are within acceptable limits (ICH Q3D, EMA guideline on plastic containers).</w:t>
      </w:r>
    </w:p>
    <w:p>
      <w:pPr>
        <w:spacing w:after="160" w:line="276"/>
        <w:jc w:val="left"/>
      </w:pPr>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sz w:val="28"/>
          <w:szCs w:val="28"/>
        </w:rPr>
        <w:t xml:space="preserve">3.2.S.7 Stability</w:t>
      </w:r>
    </w:p>
    <w:p>
      <w:pPr>
        <w:pStyle w:val="Heading3"/>
      </w:pPr>
      <w:r>
        <w:rPr>
          <w:rFonts w:ascii="Arial" w:cs="Arial" w:eastAsia="Arial" w:hAnsi="Arial"/>
          <w:b/>
          <w:bCs/>
          <w:sz w:val="24"/>
          <w:szCs w:val="24"/>
        </w:rPr>
        <w:t xml:space="preserve">3.2.S.7.1 Stability Summary and Conclusions</w:t>
      </w:r>
    </w:p>
    <w:p>
      <w:pPr>
        <w:spacing w:after="160" w:line="276"/>
        <w:jc w:val="left"/>
      </w:pPr>
      <w:r>
        <w:rPr>
          <w:rFonts w:ascii="Arial" w:cs="Arial" w:eastAsia="Arial" w:hAnsi="Arial"/>
          <w:b w:val="false"/>
          <w:bCs w:val="false"/>
          <w:i w:val="false"/>
          <w:iCs w:val="false"/>
          <w:sz w:val="20"/>
          <w:szCs w:val="20"/>
        </w:rPr>
        <w:t xml:space="preserve">Stability studies for cervimab drug substance have been conducted in accordance with ICH Q5C and FDA Guidance for Industry: Stability Testing of Biological/Biotechnological Products. The proposed shelf life for cervimab drug substance is 24 months when stored at 2–8°C. Supporting stability data are summarized in Section 3.2.S.7.3 and presented in full in the Shelf Life Determination Report (Appendix SLD-001). Real-time/real-condition data through 24 months at 2–8°C fully support the proposed shelf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800"/>
        <w:gridCol w:w="1800"/>
      </w:tblGrid>
      <w:tr>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Storage Condition</w:t>
            </w:r>
          </w:p>
        </w:tc>
        <w:tc>
          <w:tcPr>
            <w:tcW w:type="dxa" w:w="168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Container</w:t>
            </w:r>
          </w:p>
        </w:tc>
        <w:tc>
          <w:tcPr>
            <w:tcW w:type="dxa" w:w="168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 of Batches</w:t>
            </w:r>
          </w:p>
        </w:tc>
        <w:tc>
          <w:tcPr>
            <w:tcW w:type="dxa" w:w="18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Time Points Tested</w:t>
            </w:r>
          </w:p>
        </w:tc>
        <w:tc>
          <w:tcPr>
            <w:tcW w:type="dxa" w:w="18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Conclusion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2–8°C (real time)</w:t>
            </w:r>
          </w:p>
        </w:tc>
        <w:tc>
          <w:tcPr>
            <w:tcW w:type="dxa" w:w="1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PETG bottle</w:t>
            </w:r>
          </w:p>
        </w:tc>
        <w:tc>
          <w:tcPr>
            <w:tcW w:type="dxa" w:w="1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 Phase 3 + 3 PPQ</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 3, 6, 9, 12, 18, 24 months</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Supports 24-month shelf life</w:t>
            </w:r>
          </w:p>
        </w:tc>
      </w:tr>
      <w:tr>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25°C/60% RH (accelerated)</w:t>
            </w:r>
          </w:p>
        </w:tc>
        <w:tc>
          <w:tcPr>
            <w:tcW w:type="dxa" w:w="16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PETG bottle</w:t>
            </w:r>
          </w:p>
        </w:tc>
        <w:tc>
          <w:tcPr>
            <w:tcW w:type="dxa" w:w="16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3 Phase 3</w:t>
            </w:r>
          </w:p>
        </w:tc>
        <w:tc>
          <w:tcPr>
            <w:tcW w:type="dxa" w:w="1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0, 1, 3, 6 months</w:t>
            </w:r>
          </w:p>
        </w:tc>
        <w:tc>
          <w:tcPr>
            <w:tcW w:type="dxa" w:w="1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Increased degradants; supports stress testing</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40°C/75% RH (stress)</w:t>
            </w:r>
          </w:p>
        </w:tc>
        <w:tc>
          <w:tcPr>
            <w:tcW w:type="dxa" w:w="1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PETG bottle</w:t>
            </w:r>
          </w:p>
        </w:tc>
        <w:tc>
          <w:tcPr>
            <w:tcW w:type="dxa" w:w="1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 Phase 3</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 1, 3 months</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Significant degradation observed; stress condition only</w:t>
            </w:r>
          </w:p>
        </w:tc>
      </w:tr>
      <w:tr>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−70°C (long-term frozen DS)</w:t>
            </w:r>
          </w:p>
        </w:tc>
        <w:tc>
          <w:tcPr>
            <w:tcW w:type="dxa" w:w="16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Bioprocess bag</w:t>
            </w:r>
          </w:p>
        </w:tc>
        <w:tc>
          <w:tcPr>
            <w:tcW w:type="dxa" w:w="16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 Phase 3</w:t>
            </w:r>
          </w:p>
        </w:tc>
        <w:tc>
          <w:tcPr>
            <w:tcW w:type="dxa" w:w="1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0, 6, 12, 24 months</w:t>
            </w:r>
          </w:p>
        </w:tc>
        <w:tc>
          <w:tcPr>
            <w:tcW w:type="dxa" w:w="1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 significant change; extended frozen storage supported</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Freeze-thaw cycles</w:t>
            </w:r>
          </w:p>
        </w:tc>
        <w:tc>
          <w:tcPr>
            <w:tcW w:type="dxa" w:w="1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PETG bottle</w:t>
            </w:r>
          </w:p>
        </w:tc>
        <w:tc>
          <w:tcPr>
            <w:tcW w:type="dxa" w:w="1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representative batch</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Up to 5 cycles</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3 cycles acceptable; no significant impact on quality</w:t>
            </w:r>
          </w:p>
        </w:tc>
      </w:tr>
    </w:tbl>
    <w:p>
      <w:r>
        <w:br w:type="page"/>
      </w:r>
    </w:p>
    <w:p>
      <w:pPr>
        <w:pStyle w:val="Heading1"/>
      </w:pPr>
      <w:r>
        <w:rPr>
          <w:rFonts w:ascii="Arial" w:cs="Arial" w:eastAsia="Arial" w:hAnsi="Arial"/>
          <w:b/>
          <w:bCs/>
          <w:sz w:val="32"/>
          <w:szCs w:val="32"/>
        </w:rPr>
        <w:t xml:space="preserve">3.2.P DRUG PRODUCT — CERVIMAB INJECTION 200 mg/10 mL</w:t>
      </w:r>
    </w:p>
    <w:p>
      <w:pPr>
        <w:pBdr>
          <w:bottom w:val="single" w:color="2E5FA3" w:sz="6" w:space="1"/>
        </w:pBdr>
        <w:spacing w:after="240"/>
      </w:pPr>
    </w:p>
    <w:p>
      <w:pPr>
        <w:pStyle w:val="Heading2"/>
      </w:pPr>
      <w:r>
        <w:rPr>
          <w:rFonts w:ascii="Arial" w:cs="Arial" w:eastAsia="Arial" w:hAnsi="Arial"/>
          <w:b/>
          <w:bCs/>
          <w:sz w:val="28"/>
          <w:szCs w:val="28"/>
        </w:rPr>
        <w:t xml:space="preserve">3.2.P.1 Description and Composition</w:t>
      </w:r>
    </w:p>
    <w:p>
      <w:pPr>
        <w:spacing w:after="160" w:line="276"/>
        <w:jc w:val="left"/>
      </w:pPr>
      <w:r>
        <w:rPr>
          <w:rFonts w:ascii="Arial" w:cs="Arial" w:eastAsia="Arial" w:hAnsi="Arial"/>
          <w:b w:val="false"/>
          <w:bCs w:val="false"/>
          <w:i w:val="false"/>
          <w:iCs w:val="false"/>
          <w:sz w:val="20"/>
          <w:szCs w:val="20"/>
        </w:rPr>
        <w:t xml:space="preserve">Cervimab Injection is supplied as a sterile, preservative-free, clear to slightly opalescent, colorless to pale yellow solution for intravenous (IV) infusion, in a single-use 15 mL Type I borosilicate glass vial containing 200 mg cervimab in 10 mL (20 mg/mL).</w:t>
      </w:r>
    </w:p>
    <w:p>
      <w:pPr>
        <w:spacing w:after="160" w:line="276"/>
        <w:jc w:val="left"/>
      </w:pPr>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20"/>
        <w:gridCol w:w="2000"/>
        <w:gridCol w:w="2240"/>
      </w:tblGrid>
      <w:tr>
        <w:tc>
          <w:tcPr>
            <w:tcW w:type="dxa" w:w="28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Component</w:t>
            </w:r>
          </w:p>
        </w:tc>
        <w:tc>
          <w:tcPr>
            <w:tcW w:type="dxa" w:w="232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Function</w:t>
            </w:r>
          </w:p>
        </w:tc>
        <w:tc>
          <w:tcPr>
            <w:tcW w:type="dxa" w:w="20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Quantity (per mL)</w:t>
            </w:r>
          </w:p>
        </w:tc>
        <w:tc>
          <w:tcPr>
            <w:tcW w:type="dxa" w:w="224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Compendial Grade</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Cervimab (drug substance)</w:t>
            </w:r>
          </w:p>
        </w:tc>
        <w:tc>
          <w:tcPr>
            <w:tcW w:type="dxa" w:w="23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Active ingredient</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 mg</w:t>
            </w:r>
          </w:p>
        </w:tc>
        <w:tc>
          <w:tcPr>
            <w:tcW w:type="dxa" w:w="2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N/A (proprietary biologic)</w:t>
            </w:r>
          </w:p>
        </w:tc>
      </w:tr>
      <w:tr>
        <w:tc>
          <w:tcPr>
            <w:tcW w:type="dxa" w:w="2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Histidine</w:t>
            </w:r>
          </w:p>
        </w:tc>
        <w:tc>
          <w:tcPr>
            <w:tcW w:type="dxa" w:w="23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Buffer</w:t>
            </w:r>
          </w:p>
        </w:tc>
        <w:tc>
          <w:tcPr>
            <w:tcW w:type="dxa" w:w="20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0.97 mg (6.25 mM)</w:t>
            </w:r>
          </w:p>
        </w:tc>
        <w:tc>
          <w:tcPr>
            <w:tcW w:type="dxa" w:w="224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USP/EP/JP</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Histidine HCl monohydrate</w:t>
            </w:r>
          </w:p>
        </w:tc>
        <w:tc>
          <w:tcPr>
            <w:tcW w:type="dxa" w:w="23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Buffer (pH adjustment)</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0.77 mg (3.75 mM)</w:t>
            </w:r>
          </w:p>
        </w:tc>
        <w:tc>
          <w:tcPr>
            <w:tcW w:type="dxa" w:w="2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USP/EP/JP</w:t>
            </w:r>
          </w:p>
        </w:tc>
      </w:tr>
      <w:tr>
        <w:tc>
          <w:tcPr>
            <w:tcW w:type="dxa" w:w="2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Sucrose</w:t>
            </w:r>
          </w:p>
        </w:tc>
        <w:tc>
          <w:tcPr>
            <w:tcW w:type="dxa" w:w="23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Tonicity modifier / cryoprotectant</w:t>
            </w:r>
          </w:p>
        </w:tc>
        <w:tc>
          <w:tcPr>
            <w:tcW w:type="dxa" w:w="20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85.6 mg (250 mM)</w:t>
            </w:r>
          </w:p>
        </w:tc>
        <w:tc>
          <w:tcPr>
            <w:tcW w:type="dxa" w:w="224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USP/EP/JP</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Polysorbate 20 (Tween 20)</w:t>
            </w:r>
          </w:p>
        </w:tc>
        <w:tc>
          <w:tcPr>
            <w:tcW w:type="dxa" w:w="23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Surfactant / stabilizer</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 mg (0.02% w/v)</w:t>
            </w:r>
          </w:p>
        </w:tc>
        <w:tc>
          <w:tcPr>
            <w:tcW w:type="dxa" w:w="2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USP/NF</w:t>
            </w:r>
          </w:p>
        </w:tc>
      </w:tr>
      <w:tr>
        <w:tc>
          <w:tcPr>
            <w:tcW w:type="dxa" w:w="28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Water for Injection (WFI)</w:t>
            </w:r>
          </w:p>
        </w:tc>
        <w:tc>
          <w:tcPr>
            <w:tcW w:type="dxa" w:w="232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Vehicle</w:t>
            </w:r>
          </w:p>
        </w:tc>
        <w:tc>
          <w:tcPr>
            <w:tcW w:type="dxa" w:w="20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q.s. to 1 mL</w:t>
            </w:r>
          </w:p>
        </w:tc>
        <w:tc>
          <w:tcPr>
            <w:tcW w:type="dxa" w:w="224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USP/EP/JP</w:t>
            </w:r>
          </w:p>
        </w:tc>
      </w:tr>
    </w:tbl>
    <w:p>
      <w:pPr>
        <w:spacing w:after="160" w:line="276"/>
        <w:jc w:val="left"/>
      </w:pPr>
      <w:r>
        <w:rPr>
          <w:rFonts w:ascii="Arial" w:cs="Arial" w:eastAsia="Arial" w:hAnsi="Arial"/>
          <w:b w:val="false"/>
          <w:bCs w:val="false"/>
          <w:i w:val="false"/>
          <w:iCs w:val="false"/>
          <w:sz w:val="20"/>
          <w:szCs w:val="20"/>
        </w:rPr>
        <w:t xml:space="preserve">Target pH: 5.8 ± 0.3. Target osmolality: 295 ± 25 mOsmol/kg.</w:t>
      </w:r>
    </w:p>
    <w:p>
      <w:pPr>
        <w:spacing w:after="160" w:line="276"/>
        <w:jc w:val="left"/>
      </w:pPr>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sz w:val="28"/>
          <w:szCs w:val="28"/>
        </w:rPr>
        <w:t xml:space="preserve">3.2.P.2 Pharmaceutical Development</w:t>
      </w:r>
    </w:p>
    <w:p>
      <w:pPr>
        <w:pStyle w:val="Heading3"/>
      </w:pPr>
      <w:r>
        <w:rPr>
          <w:rFonts w:ascii="Arial" w:cs="Arial" w:eastAsia="Arial" w:hAnsi="Arial"/>
          <w:b/>
          <w:bCs/>
          <w:sz w:val="24"/>
          <w:szCs w:val="24"/>
        </w:rPr>
        <w:t xml:space="preserve">3.2.P.2.1 Components of the Drug Product</w:t>
      </w:r>
    </w:p>
    <w:p>
      <w:pPr>
        <w:spacing w:after="160" w:line="276"/>
        <w:jc w:val="left"/>
      </w:pPr>
      <w:r>
        <w:rPr>
          <w:rFonts w:ascii="Arial" w:cs="Arial" w:eastAsia="Arial" w:hAnsi="Arial"/>
          <w:b w:val="false"/>
          <w:bCs w:val="false"/>
          <w:i w:val="false"/>
          <w:iCs w:val="false"/>
          <w:sz w:val="20"/>
          <w:szCs w:val="20"/>
        </w:rPr>
        <w:t xml:space="preserve">Formulation development studies evaluated the impact of buffer type and concentration (histidine, citrate, acetate at 10–50 mM), tonicity agents (sucrose, mannitol, trehalose), surfactant type and concentration (polysorbate 20 vs. 80 at 0.01–0.04% w/v), and pH (5.0–6.5) on cervimab stability. The final formulation (histidine/sucrose/polysorbate 20, pH 5.8) was selected based on optimal colloidal stability (DLS, SEC-HPLC), chemical stability (icIEF, peptide mapping), and compatibility with IV administration. Forced degradation studies confirmed the formulation's robustness under thermal, oxidative, freeze-thaw, and mechanical stress conditions.</w:t>
      </w:r>
    </w:p>
    <w:p>
      <w:pPr>
        <w:spacing w:after="160" w:line="276"/>
        <w:jc w:val="left"/>
      </w:pPr>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sz w:val="24"/>
          <w:szCs w:val="24"/>
        </w:rPr>
        <w:t xml:space="preserve">3.2.P.2.2 Drug Product (Formulation Design)</w:t>
      </w:r>
    </w:p>
    <w:p>
      <w:pPr>
        <w:spacing w:after="160" w:line="276"/>
        <w:jc w:val="left"/>
      </w:pPr>
      <w:r>
        <w:rPr>
          <w:rFonts w:ascii="Arial" w:cs="Arial" w:eastAsia="Arial" w:hAnsi="Arial"/>
          <w:b w:val="false"/>
          <w:bCs w:val="false"/>
          <w:i w:val="false"/>
          <w:iCs w:val="false"/>
          <w:sz w:val="20"/>
          <w:szCs w:val="20"/>
        </w:rPr>
        <w:t xml:space="preserve">No preservatives are included in the formulation. The 200 mg/10 mL single-use vial configuration was selected based on clinical dose-finding results (fixed dose 400 mg Q3W) and minimizes multi-dose manipulation risk consistent with USP &lt;1&gt; guidelines for parenterals. Overfill of 0.5 mL (10 mL nominal fill; 10.5 mL actual fill) is included to ensure extractable volume ≥ 10 mL.</w:t>
      </w:r>
    </w:p>
    <w:p>
      <w:pPr>
        <w:spacing w:after="160" w:line="276"/>
        <w:jc w:val="left"/>
      </w:pPr>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sz w:val="28"/>
          <w:szCs w:val="28"/>
        </w:rPr>
        <w:t xml:space="preserve">3.2.P.3 Manufacture</w:t>
      </w:r>
    </w:p>
    <w:p>
      <w:pPr>
        <w:pStyle w:val="Heading3"/>
      </w:pPr>
      <w:r>
        <w:rPr>
          <w:rFonts w:ascii="Arial" w:cs="Arial" w:eastAsia="Arial" w:hAnsi="Arial"/>
          <w:b/>
          <w:bCs/>
          <w:sz w:val="24"/>
          <w:szCs w:val="24"/>
        </w:rPr>
        <w:t xml:space="preserve">3.2.P.3.1 Manufacturer(s)</w:t>
      </w:r>
    </w:p>
    <w:p>
      <w:pPr>
        <w:pStyle w:val="ListParagraph"/>
        <w:numPr>
          <w:ilvl w:val="0"/>
          <w:numId w:val="2"/>
        </w:numPr>
        <w:spacing w:after="100"/>
      </w:pPr>
      <w:r>
        <w:rPr>
          <w:rFonts w:ascii="Arial" w:cs="Arial" w:eastAsia="Arial" w:hAnsi="Arial"/>
          <w:sz w:val="20"/>
          <w:szCs w:val="20"/>
        </w:rPr>
        <w:t xml:space="preserve">Acme Biologics Manufacturing Inc., Research Triangle Park, NC 27709, USA (DP Formulation, Fill, Finish)</w:t>
      </w:r>
    </w:p>
    <w:p>
      <w:pPr>
        <w:pStyle w:val="ListParagraph"/>
        <w:numPr>
          <w:ilvl w:val="0"/>
          <w:numId w:val="2"/>
        </w:numPr>
        <w:spacing w:after="100"/>
      </w:pPr>
      <w:r>
        <w:rPr>
          <w:rFonts w:ascii="Arial" w:cs="Arial" w:eastAsia="Arial" w:hAnsi="Arial"/>
          <w:sz w:val="20"/>
          <w:szCs w:val="20"/>
        </w:rPr>
        <w:t xml:space="preserve">Cardinal Health Pharma Services, 2570 General Armistead Ave., Audubon, PA 19403, USA (Secondary Packaging, Release Testing)</w:t>
      </w:r>
    </w:p>
    <w:p>
      <w:pPr>
        <w:spacing w:after="160" w:line="276"/>
        <w:jc w:val="left"/>
      </w:pPr>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sz w:val="24"/>
          <w:szCs w:val="24"/>
        </w:rPr>
        <w:t xml:space="preserve">3.2.P.3.2 Batch Formula</w:t>
      </w:r>
    </w:p>
    <w:p>
      <w:pPr>
        <w:spacing w:after="160" w:line="276"/>
        <w:jc w:val="left"/>
      </w:pPr>
      <w:r>
        <w:rPr>
          <w:rFonts w:ascii="Arial" w:cs="Arial" w:eastAsia="Arial" w:hAnsi="Arial"/>
          <w:b w:val="false"/>
          <w:bCs w:val="false"/>
          <w:i w:val="false"/>
          <w:iCs w:val="false"/>
          <w:sz w:val="20"/>
          <w:szCs w:val="20"/>
        </w:rPr>
        <w:t xml:space="preserve">A representative batch formula for cervimab injection (nominal batch size: 25 kg DS → ~1,150 filled vials [200 mg/10 mL]) is provided in CTD Section 3.2.P.3.2 (confidential commercial information). The batch formula includes all components, quantities, overage justification, and mixing sequences.</w:t>
      </w:r>
    </w:p>
    <w:p>
      <w:pPr>
        <w:spacing w:after="160" w:line="276"/>
        <w:jc w:val="left"/>
      </w:pPr>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sz w:val="24"/>
          <w:szCs w:val="24"/>
        </w:rPr>
        <w:t xml:space="preserve">3.2.P.3.3 Description of Manufacturing Process and Process Controls</w:t>
      </w:r>
    </w:p>
    <w:p>
      <w:pPr>
        <w:spacing w:after="160" w:line="276"/>
        <w:jc w:val="left"/>
      </w:pPr>
      <w:r>
        <w:rPr>
          <w:rFonts w:ascii="Arial" w:cs="Arial" w:eastAsia="Arial" w:hAnsi="Arial"/>
          <w:b w:val="false"/>
          <w:bCs w:val="false"/>
          <w:i w:val="false"/>
          <w:iCs w:val="false"/>
          <w:sz w:val="20"/>
          <w:szCs w:val="20"/>
        </w:rPr>
        <w:t xml:space="preserve">Drug product manufacturing consists of: (1) formulation compounding (buffer preparation, DS thaw and pool, excipient addition, concentration adjustment); (2) 0.22 µm sterile filtration (Millipore Durapore PES, validated); (3) automated aseptic fill-finish (isolator-based RABS; 10.5 mL fill volume; nitrogen overlay); (4) stopper/crimp sealing; (5) 100% automated visual inspection (Brevetti automated + manual reconciliation); (6) labeling and packaging. All critical process steps are conducted under ISO 5 (Grade A) conditions within an ISO 7 (Grade B) environment per EU GMP Annex 1 / FDA aseptic processing guidance.</w:t>
      </w:r>
    </w:p>
    <w:p>
      <w:pPr>
        <w:spacing w:after="160" w:line="276"/>
        <w:jc w:val="left"/>
      </w:pPr>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sz w:val="28"/>
          <w:szCs w:val="28"/>
        </w:rPr>
        <w:t xml:space="preserve">3.2.P.4 Control of Excipients</w:t>
      </w:r>
    </w:p>
    <w:p>
      <w:pPr>
        <w:spacing w:after="160" w:line="276"/>
        <w:jc w:val="left"/>
      </w:pPr>
      <w:r>
        <w:rPr>
          <w:rFonts w:ascii="Arial" w:cs="Arial" w:eastAsia="Arial" w:hAnsi="Arial"/>
          <w:b w:val="false"/>
          <w:bCs w:val="false"/>
          <w:i w:val="false"/>
          <w:iCs w:val="false"/>
          <w:sz w:val="20"/>
          <w:szCs w:val="20"/>
        </w:rPr>
        <w:t xml:space="preserve">All excipients are compendially controlled (USP/NF, EP, JP) and sourced from qualified vendors. Polysorbate 20 is additionally tested for peroxide content (≤ 3 mEq/kg). No novel excipients are used. Excipient specifications, certificates of analysis, and vendor qualification documentation are provided in CTD 3.2.P.4.</w:t>
      </w:r>
    </w:p>
    <w:p>
      <w:pPr>
        <w:spacing w:after="160" w:line="276"/>
        <w:jc w:val="left"/>
      </w:pPr>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sz w:val="28"/>
          <w:szCs w:val="28"/>
        </w:rPr>
        <w:t xml:space="preserve">3.2.P.5 Control of Drug Product</w:t>
      </w:r>
    </w:p>
    <w:p>
      <w:pPr>
        <w:pStyle w:val="Heading3"/>
      </w:pPr>
      <w:r>
        <w:rPr>
          <w:rFonts w:ascii="Arial" w:cs="Arial" w:eastAsia="Arial" w:hAnsi="Arial"/>
          <w:b/>
          <w:bCs/>
          <w:sz w:val="24"/>
          <w:szCs w:val="24"/>
        </w:rPr>
        <w:t xml:space="preserve">3.2.P.5.1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Test</w:t>
            </w:r>
          </w:p>
        </w:tc>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Method Reference</w:t>
            </w:r>
          </w:p>
        </w:tc>
        <w:tc>
          <w:tcPr>
            <w:tcW w:type="dxa" w:w="228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Release Acceptance Criteria</w:t>
            </w:r>
          </w:p>
        </w:tc>
        <w:tc>
          <w:tcPr>
            <w:tcW w:type="dxa" w:w="228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Shelf Life Acceptance Criteria</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Appearance (Solution)</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Visual / EP 2.9.20</w:t>
            </w:r>
          </w:p>
        </w:tc>
        <w:tc>
          <w:tcPr>
            <w:tcW w:type="dxa" w:w="22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Clear to opalescent; colorless to pale yellow; no visible particles</w:t>
            </w:r>
          </w:p>
        </w:tc>
        <w:tc>
          <w:tcPr>
            <w:tcW w:type="dxa" w:w="22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Same</w:t>
            </w:r>
          </w:p>
        </w:tc>
      </w:tr>
      <w:tr>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Appearance (Container)</w:t>
            </w:r>
          </w:p>
        </w:tc>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Visual inspection (100% AVI)</w:t>
            </w:r>
          </w:p>
        </w:tc>
        <w:tc>
          <w:tcPr>
            <w:tcW w:type="dxa" w:w="22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 visible particles; intact seal; no cracks</w:t>
            </w:r>
          </w:p>
        </w:tc>
        <w:tc>
          <w:tcPr>
            <w:tcW w:type="dxa" w:w="22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Same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Identity (PD-1 ELISA)</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In-house ELISA</w:t>
            </w:r>
          </w:p>
        </w:tc>
        <w:tc>
          <w:tcPr>
            <w:tcW w:type="dxa" w:w="22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Positive (≥ 70% binding)</w:t>
            </w:r>
          </w:p>
        </w:tc>
        <w:tc>
          <w:tcPr>
            <w:tcW w:type="dxa" w:w="22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Same</w:t>
            </w:r>
          </w:p>
        </w:tc>
      </w:tr>
      <w:tr>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Protein Concentration (A280)</w:t>
            </w:r>
          </w:p>
        </w:tc>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UV-Vis (A280)</w:t>
            </w:r>
          </w:p>
        </w:tc>
        <w:tc>
          <w:tcPr>
            <w:tcW w:type="dxa" w:w="22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18.0 – 22.0 mg/mL</w:t>
            </w:r>
          </w:p>
        </w:tc>
        <w:tc>
          <w:tcPr>
            <w:tcW w:type="dxa" w:w="22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18.0 – 22.0 mg/mL</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Biological Potency</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Cell-based PD-1/PD-L1 blockade assay</w:t>
            </w:r>
          </w:p>
        </w:tc>
        <w:tc>
          <w:tcPr>
            <w:tcW w:type="dxa" w:w="22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70 – 130% relative potency</w:t>
            </w:r>
          </w:p>
        </w:tc>
        <w:tc>
          <w:tcPr>
            <w:tcW w:type="dxa" w:w="22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70 – 130% relative potency</w:t>
            </w:r>
          </w:p>
        </w:tc>
      </w:tr>
      <w:tr>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Purity (SEC-HPLC, monomer)</w:t>
            </w:r>
          </w:p>
        </w:tc>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SEC-HPLC</w:t>
            </w:r>
          </w:p>
        </w:tc>
        <w:tc>
          <w:tcPr>
            <w:tcW w:type="dxa" w:w="22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98.0%</w:t>
            </w:r>
          </w:p>
        </w:tc>
        <w:tc>
          <w:tcPr>
            <w:tcW w:type="dxa" w:w="22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97.0%</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Purity (CE-SDS, non-reduced)</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CE-SDS (NR)</w:t>
            </w:r>
          </w:p>
        </w:tc>
        <w:tc>
          <w:tcPr>
            <w:tcW w:type="dxa" w:w="22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Intact IgG ≥ 95%</w:t>
            </w:r>
          </w:p>
        </w:tc>
        <w:tc>
          <w:tcPr>
            <w:tcW w:type="dxa" w:w="22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Same</w:t>
            </w:r>
          </w:p>
        </w:tc>
      </w:tr>
      <w:tr>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Charge Variant Profile (cIEF)</w:t>
            </w:r>
          </w:p>
        </w:tc>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cIEF</w:t>
            </w:r>
          </w:p>
        </w:tc>
        <w:tc>
          <w:tcPr>
            <w:tcW w:type="dxa" w:w="22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Main peak ≥ 75%</w:t>
            </w:r>
          </w:p>
        </w:tc>
        <w:tc>
          <w:tcPr>
            <w:tcW w:type="dxa" w:w="22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Main peak ≥ 70%</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pH</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USP &lt;791&gt;</w:t>
            </w:r>
          </w:p>
        </w:tc>
        <w:tc>
          <w:tcPr>
            <w:tcW w:type="dxa" w:w="22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5.5 – 6.1</w:t>
            </w:r>
          </w:p>
        </w:tc>
        <w:tc>
          <w:tcPr>
            <w:tcW w:type="dxa" w:w="22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5.5 – 6.1</w:t>
            </w:r>
          </w:p>
        </w:tc>
      </w:tr>
      <w:tr>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Osmolality</w:t>
            </w:r>
          </w:p>
        </w:tc>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USP &lt;785&gt;</w:t>
            </w:r>
          </w:p>
        </w:tc>
        <w:tc>
          <w:tcPr>
            <w:tcW w:type="dxa" w:w="22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280 – 330 mOsmol/kg</w:t>
            </w:r>
          </w:p>
        </w:tc>
        <w:tc>
          <w:tcPr>
            <w:tcW w:type="dxa" w:w="22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280 – 330 mOsmol/kg</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Extractable Volume</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USP &lt;1&gt;</w:t>
            </w:r>
          </w:p>
        </w:tc>
        <w:tc>
          <w:tcPr>
            <w:tcW w:type="dxa" w:w="22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10.0 mL per vial</w:t>
            </w:r>
          </w:p>
        </w:tc>
        <w:tc>
          <w:tcPr>
            <w:tcW w:type="dxa" w:w="22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10.0 mL per vial</w:t>
            </w:r>
          </w:p>
        </w:tc>
      </w:tr>
      <w:tr>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Particulate Matter</w:t>
            </w:r>
          </w:p>
        </w:tc>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USP &lt;788&gt; / &lt;789&gt;</w:t>
            </w:r>
          </w:p>
        </w:tc>
        <w:tc>
          <w:tcPr>
            <w:tcW w:type="dxa" w:w="22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≥10 µm: ≤ 6,000/container; ≥25 µm: ≤ 600/container</w:t>
            </w:r>
          </w:p>
        </w:tc>
        <w:tc>
          <w:tcPr>
            <w:tcW w:type="dxa" w:w="22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Same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Sub-visible Particles (MFI)</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MFI (in-house)</w:t>
            </w:r>
          </w:p>
        </w:tc>
        <w:tc>
          <w:tcPr>
            <w:tcW w:type="dxa" w:w="22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2 µm: ≤ 6,000/mL; ≥ 10 µm: ≤ 600/mL</w:t>
            </w:r>
          </w:p>
        </w:tc>
        <w:tc>
          <w:tcPr>
            <w:tcW w:type="dxa" w:w="22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Same</w:t>
            </w:r>
          </w:p>
        </w:tc>
      </w:tr>
      <w:tr>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Sterility</w:t>
            </w:r>
          </w:p>
        </w:tc>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USP &lt;71&gt; (membrane filtration)</w:t>
            </w:r>
          </w:p>
        </w:tc>
        <w:tc>
          <w:tcPr>
            <w:tcW w:type="dxa" w:w="22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 growth</w:t>
            </w:r>
          </w:p>
        </w:tc>
        <w:tc>
          <w:tcPr>
            <w:tcW w:type="dxa" w:w="22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N/A</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Bacterial Endotoxin</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LAL (USP &lt;85&gt;)</w:t>
            </w:r>
          </w:p>
        </w:tc>
        <w:tc>
          <w:tcPr>
            <w:tcW w:type="dxa" w:w="22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0.05 EU/mL (≤ 0.5 EU/mg)</w:t>
            </w:r>
          </w:p>
        </w:tc>
        <w:tc>
          <w:tcPr>
            <w:tcW w:type="dxa" w:w="22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N/A</w:t>
            </w:r>
          </w:p>
        </w:tc>
      </w:tr>
      <w:tr>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Container Closure Integrity</w:t>
            </w:r>
          </w:p>
        </w:tc>
        <w:tc>
          <w:tcPr>
            <w:tcW w:type="dxa" w:w="240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USP &lt;1207&gt; (HVLD)</w:t>
            </w:r>
          </w:p>
        </w:tc>
        <w:tc>
          <w:tcPr>
            <w:tcW w:type="dxa" w:w="22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 leakage (pass)</w:t>
            </w:r>
          </w:p>
        </w:tc>
        <w:tc>
          <w:tcPr>
            <w:tcW w:type="dxa" w:w="2280"/>
            <w:tcBorders>
              <w:top w:val="single" w:color="B0C4DE" w:sz="1"/>
              <w:left w:val="single" w:color="B0C4DE" w:sz="1"/>
              <w:bottom w:val="single" w:color="B0C4DE" w:sz="1"/>
              <w:right w:val="single" w:color="B0C4DE"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Pass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8"/>
                <w:szCs w:val="18"/>
              </w:rPr>
              <w:t xml:space="preserve">Polysorbate 20 Content</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HPLC-CAD (in-house)</w:t>
            </w:r>
          </w:p>
        </w:tc>
        <w:tc>
          <w:tcPr>
            <w:tcW w:type="dxa" w:w="22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0.15 – 0.25 mg/mL</w:t>
            </w:r>
          </w:p>
        </w:tc>
        <w:tc>
          <w:tcPr>
            <w:tcW w:type="dxa" w:w="22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0.10 – 0.25 mg/mL</w:t>
            </w:r>
          </w:p>
        </w:tc>
      </w:tr>
    </w:tbl>
    <w:p>
      <w:pPr>
        <w:spacing w:after="160" w:line="276"/>
        <w:jc w:val="left"/>
      </w:pPr>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sz w:val="28"/>
          <w:szCs w:val="28"/>
        </w:rPr>
        <w:t xml:space="preserve">3.2.P.7 Container Closure System</w:t>
      </w:r>
    </w:p>
    <w:p>
      <w:pPr>
        <w:spacing w:after="160" w:line="276"/>
        <w:jc w:val="left"/>
      </w:pPr>
      <w:r>
        <w:rPr>
          <w:rFonts w:ascii="Arial" w:cs="Arial" w:eastAsia="Arial" w:hAnsi="Arial"/>
          <w:b w:val="false"/>
          <w:bCs w:val="false"/>
          <w:i w:val="false"/>
          <w:iCs w:val="false"/>
          <w:sz w:val="20"/>
          <w:szCs w:val="20"/>
        </w:rPr>
        <w:t xml:space="preserve">Cervimab Injection 200 mg/10 mL is packaged in a 15 mL Type I borosilicate glass vial (EP/USP compliant; Schott Fiolax clear) with a 20 mm bromobutyl rubber stopper (West Pharmaceuticals 4432/50 Gray, fluoropolymer-coated) and an aluminum flip-off seal. The container closure system has been qualified per USP &lt;1&gt; and &lt;1207&gt;. Container/closure compatibility and extractables/leachables studies demonstrate compliance with ICH Q3D (parenteral route; PDEs not exceeded) and applicable FDA/EMA guidance. Compatibility of the drug product with IV administration materials (PVC/non-PVC infusion bags and tubing) was confirmed in in-use studies (0.9% NaCl and D5W dilution to 1–10 mg/mL, 25°C, up to 24 hours).</w:t>
      </w:r>
    </w:p>
    <w:p>
      <w:pPr>
        <w:spacing w:after="160" w:line="276"/>
        <w:jc w:val="left"/>
      </w:pPr>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sz w:val="28"/>
          <w:szCs w:val="28"/>
        </w:rPr>
        <w:t xml:space="preserve">3.2.P.8 Stability</w:t>
      </w:r>
    </w:p>
    <w:p>
      <w:pPr>
        <w:spacing w:after="160" w:line="276"/>
        <w:jc w:val="left"/>
      </w:pPr>
      <w:r>
        <w:rPr>
          <w:rFonts w:ascii="Arial" w:cs="Arial" w:eastAsia="Arial" w:hAnsi="Arial"/>
          <w:b w:val="false"/>
          <w:bCs w:val="false"/>
          <w:i w:val="false"/>
          <w:iCs w:val="false"/>
          <w:sz w:val="20"/>
          <w:szCs w:val="20"/>
        </w:rPr>
        <w:t xml:space="preserve">Stability studies for cervimab drug product are conducted in accordance with ICH Q5C. The proposed shelf life is 24 months at 2–8°C in the commercial container closure system. In-use stability: diluted cervimab (in 0.9% NaCl, 1–10 mg/mL) is stable for up to 24 hours at 2–8°C or 8 hours at room temperature (25°C). Full stability data and statistical analysis are presented in the Shelf Life Determination Report (Appendix SLD-001).</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tabs>
        <w:tab w:val="right" w:pos="9026"/>
      </w:tabs>
      <w:spacing w:before="80"/>
    </w:pPr>
    <w:r>
      <w:rPr>
        <w:rFonts w:ascii="Arial" w:cs="Arial" w:eastAsia="Arial" w:hAnsi="Arial"/>
        <w:color w:val="888888"/>
        <w:sz w:val="16"/>
        <w:szCs w:val="16"/>
      </w:rPr>
      <w:t xml:space="preserve">NDA/BLA [PENDING] | Cervimab (CVM-001) | dMMR/MSI-H mCRC</w:t>
    </w:r>
    <w:r>
      <w:rPr>
        <w:rFonts w:ascii="Arial" w:cs="Arial" w:eastAsia="Arial" w:hAnsi="Arial"/>
        <w:color w:val="888888"/>
        <w:sz w:val="16"/>
        <w:szCs w:val="16"/>
      </w:rPr>
      <w:t xml:space="preserve">	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tabs>
        <w:tab w:val="right" w:pos="9026"/>
      </w:tabs>
      <w:spacing w:after="120"/>
    </w:pPr>
    <w:r>
      <w:rPr>
        <w:rFonts w:ascii="Arial" w:cs="Arial" w:eastAsia="Arial" w:hAnsi="Arial"/>
        <w:b/>
        <w:bCs/>
        <w:color w:val="1F3864"/>
        <w:sz w:val="18"/>
        <w:szCs w:val="18"/>
      </w:rPr>
      <w:t xml:space="preserve">CERVIMAB — CTD Module 3: Quality</w:t>
    </w:r>
    <w:r>
      <w:rPr>
        <w:rFonts w:ascii="Arial" w:cs="Arial" w:eastAsia="Arial" w:hAnsi="Arial"/>
        <w:color w:val="888888"/>
        <w:sz w:val="16"/>
        <w:szCs w:val="16"/>
      </w:rPr>
      <w:t xml:space="preserve">	CONFIDENTIAL — FOR REGULATORY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FA3"/>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5FA3"/>
      <w:sz w:val="22"/>
      <w:szCs w:val="22"/>
    </w:rPr>
  </w:style>
  <w:style w:type="paragraph" w:styleId="Heading4">
    <w:name w:val="Heading 4"/>
    <w:basedOn w:val="Normal"/>
    <w:next w:val="Normal"/>
    <w:qFormat/>
    <w:pPr>
      <w:spacing w:before="160" w:after="100"/>
      <w:outlineLvl w:val="3"/>
    </w:pPr>
    <w:rPr>
      <w:rFonts w:ascii="Arial" w:cs="Arial" w:eastAsia="Arial" w:hAnsi="Arial"/>
      <w:b/>
      <w:bCs/>
      <w:i/>
      <w:iCs/>
      <w:color w:val="44444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2026-03-16T14:10:43.390Z</dcterms:created>
  <dcterms:modified xsi:type="dcterms:W3CDTF">2026-03-16T14:10:43.391Z</dcterms:modified>
</cp:coreProperties>
</file>

<file path=docProps/custom.xml><?xml version="1.0" encoding="utf-8"?>
<Properties xmlns="http://schemas.openxmlformats.org/officeDocument/2006/custom-properties" xmlns:vt="http://schemas.openxmlformats.org/officeDocument/2006/docPropsVTypes"/>
</file>