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PROCESS VALIDATION REPORT</w:t>
      </w:r>
    </w:p>
    <w:p>
      <w:pPr>
        <w:spacing w:after="12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Cervimab Drug Substance - Commercial Manufacturing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2E5FA3"/>
          <w:sz w:val="24"/>
          <w:szCs w:val="24"/>
        </w:rPr>
        <w:t xml:space="preserve">Process Performance Qualification (PPQ) - Stages 1 &amp; 2</w:t>
      </w:r>
    </w:p>
    <w:p>
      <w:pPr>
        <w:pBdr>
          <w:bottom w:val="single" w:color="2E5FA3" w:sz="6" w:space="1"/>
        </w:pBdr>
        <w:spacing w:after="24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400"/>
      </w:tblGrid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 No.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PVR-001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Drug Substance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Cervimab (CVM-001) - Anti-PD-1 IgG4 Monoclonal Antibody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Manufacturing Site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Acme Biologics Manufacturing Inc., Research Triangle Park, NC 27709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 Scale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2,000 L fed-batch bioreactor (commercial scale)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PPQ Batches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CVM-DS-PPQ-V01, CVM-DS-PPQ-V02, CVM-DS-PPQ-V03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PPQ Execution Period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January 2023 - June 2023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Regulatory Framework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FDA Process Validation Guidance (2011); ICH Q8(R2), Q9, Q10; 21 CFR 211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 Validation Team, CerviGen Therapeutics / Acme Biologics</w:t>
            </w:r>
          </w:p>
        </w:tc>
      </w:tr>
      <w:tr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5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5700"/>
                <w:sz w:val="18"/>
                <w:szCs w:val="18"/>
              </w:rPr>
              <w:t xml:space="preserve">EXAMPLE DOCUMENT - ILLUSTRATIVE PURPOSES ONLY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PURPOSE AND SCOPE</w:t>
      </w:r>
    </w:p>
    <w:p>
      <w:pPr>
        <w:pBdr>
          <w:bottom w:val="single" w:color="2E5FA3" w:sz="6" w:space="1"/>
        </w:pBdr>
        <w:spacing w:after="240"/>
      </w:pPr>
    </w:p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Process Validation Report (PVR-001) documents the execution and results of the Process Performance Qualification (PPQ) for the commercial manufacturing process of cervimab drug substance at Acme Biologics Manufacturing Inc. This report fulfills Stage 2 of the three-stage process validation lifecycle as defined in the FDA Guidance for Industry: Process Validation: General Principles and Practices (January 2011).</w:t>
      </w:r>
    </w:p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PPQ demonstrates that the commercial-scale manufacturing process consistently produces cervimab drug substance of predefined quality, consistent with results from process development and Stage 1 (process design) activities documented in the Process Design Report (PDR-001) and Process Characterization Report (PCR-001).</w:t>
      </w:r>
    </w:p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scope of this report encompasses the following process operations performed at the commercial scale (2,000 L bioreactor):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Cell banking through 2,000 L fed-batch production bioreactor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Harvest, clarification, and purification (Protein A, Low pH VI, CEX, AEX, nanofiltration)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UF/DF concentration and formulation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Bulk drug substance sterile filtration, fill, and storage</w:t>
      </w:r>
    </w:p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Stage 3 (Continued Process Verification, CPV) is described in the CPV Protocol (CPVP-001) and is ongoing.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REGULATORY AND SCIENTIFIC BASIS</w:t>
      </w:r>
    </w:p>
    <w:p>
      <w:pPr>
        <w:pBdr>
          <w:bottom w:val="single" w:color="2E5FA3" w:sz="6" w:space="1"/>
        </w:pBd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Regulatory Reference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Relevance to This Validation</w:t>
            </w:r>
          </w:p>
        </w:tc>
      </w:tr>
      <w:tr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FDA Process Validation Guidance, Jan 2011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Three-stage lifecycle framework; PPQ design and execution; CPV requirements</w:t>
            </w:r>
          </w:p>
        </w:tc>
      </w:tr>
      <w:tr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ICH Q8(R2) - Pharmaceutical Development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 space; enhanced development approach; QbD elements</w:t>
            </w:r>
          </w:p>
        </w:tc>
      </w:tr>
      <w:tr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ICH Q9 - Quality Risk Management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Risk-based approach to identifying CQAs and CPPs; PPQ acceptance criteria</w:t>
            </w:r>
          </w:p>
        </w:tc>
      </w:tr>
      <w:tr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ICH Q10 - Pharmaceutical Quality System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 performance monitoring; management review; CAPA</w:t>
            </w:r>
          </w:p>
        </w:tc>
      </w:tr>
      <w:tr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ICH Q5A(R2) - Viral Safety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Viral clearance validation incorporated into process validation</w:t>
            </w:r>
          </w:p>
        </w:tc>
      </w:tr>
      <w:tr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 CFR Part 211 - cGMP for Finished Pharmaceuticals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Equipment qualification, written procedures, batch record review</w:t>
            </w:r>
          </w:p>
        </w:tc>
      </w:tr>
      <w:tr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EMA/CHMP/BWP/187338/2014 - Biotech Process Validation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 requirements for biologics PPQ, CPV, and lifecycle management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PPQ DESIGN AND STRATEGY</w:t>
      </w:r>
    </w:p>
    <w:p>
      <w:pPr>
        <w:pBdr>
          <w:bottom w:val="single" w:color="2E5FA3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PPQ Strategy Overview</w:t>
      </w:r>
    </w:p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PPQ strategy was developed based on a comprehensive process characterization program (PCR-001) that identified Critical Quality Attributes (CQAs), Critical Process Parameters (CPPs), and their proven acceptable ranges (PARs). The PPQ protocol (PVPR-001) defined: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Number of PPQ batches: 3 consecutive commercial-scale batches (consistent with FDA guidance and industry precedent for biologics)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Acceptance criteria: predefined, scientifically justified, based on process characterization data and Phase 3 clinical batch historical data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Sampling and testing plan: enhanced testing at critical steps; full release testing of bulk 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Statistical approach: process capability (Ppk) analysis where applicable; graphical trend analysis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Predetermined success criteria per ICH Q8(R2) design space</w:t>
      </w:r>
    </w:p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Critical Quality Attributes (CQAs) and Critical Process Parameters (CPPs)</w:t>
      </w:r>
    </w:p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CQAs and CPPs were identified through a structured risk assessment (Failure Mode and Effects Analysis, FMEA) and confirmed by multivariate process characterization studies (Design of Experiments, DOE). Key CQAs monitored during PPQ: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560"/>
        <w:gridCol w:w="1800"/>
        <w:gridCol w:w="180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CQA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PPQ Acceptance Criterion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Tier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Purity (monomer, SEC-HPLC)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Purity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SEC-HPLC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&gt;=98.5%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Potency (PD-1/PD-L1 blockade)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Efficacy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Cell-based assay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80-120% RS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HCP (Host Cell Protein)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Safety/Purity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CHO HCP ELISA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&lt;=15 ppm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Host Cell DNA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Safety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qPCR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&lt;=5 pg/mg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Leached Protein A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 Impurity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ELISA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&lt;=1 ppm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Charge variants (acidic, cIEF)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variant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cIEF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Acidic &lt;=12%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Sub-visible particles (MFI)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Safety/Purity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MFI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&gt;=2um: &lt;=5000/mL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Concentration (A280)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Assay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UV-Vis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19.0-21.0 mg/mL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Bioburden (pre-final filtration)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Microbiological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USP &lt;61&gt;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&lt;=10 CFU/100 mL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Endotoxin (bulk DS)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Safety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LAL USP &lt;85&gt;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&lt;=0.5 EU/mg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PPQ EXECUTION - RESULTS SUMMARY</w:t>
      </w:r>
    </w:p>
    <w:p>
      <w:pPr>
        <w:pBdr>
          <w:bottom w:val="single" w:color="2E5FA3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PPQ Batch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1200"/>
        <w:gridCol w:w="1560"/>
      </w:tblGrid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CQA / Attribute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Criterion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PPQ V01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PPQ V02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PPQ V03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 Pass?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Ppk (n=9)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Titer (g/L, harvest)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&gt;=2.0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2.48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2.61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2.53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Monomer % (SEC-HPLC)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&gt;=98.5%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99.1%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99.3%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99.0%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2.18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Potency (% RS)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80-120%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99%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103%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101%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2.41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HCP (ppm)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&lt;=15 ppm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7.9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7.3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2.05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Host Cell DNA (pg/mg)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&lt;=5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Protein A leach (ppm)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&lt;=1.0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&lt;0.1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&lt;0.1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&lt;0.1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Acidic variants (cIEF, %)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&lt;=12%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8.1%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8.4%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8.2%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1.98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Concentration (mg/mL)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19.0-21.0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20.0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19.9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20.2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2.62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Bioburden (CFU/100mL)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&lt;=10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&lt;1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&lt;1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&lt;1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Endotoxin (EU/mg)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&lt;=0.5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&lt;0.1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&lt;0.1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&lt;0.1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</w:tr>
    </w:tbl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Note: Ppk calculated using n=3 PPQ + 6 Phase 3 clinical batches (total n=9). Ppk &gt;= 1.67 target for high-risk CQAs. All applicable CQAs demonstrated Ppk &gt;= 1.67.</w:t>
      </w:r>
    </w:p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Bioreactor Performance (2,000 L PPQ)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680"/>
        <w:gridCol w:w="1440"/>
        <w:gridCol w:w="1440"/>
        <w:gridCol w:w="1440"/>
        <w:gridCol w:w="720"/>
      </w:tblGrid>
      <w:tr>
        <w:tc>
          <w:tcPr>
            <w:tcW w:type="dxa" w:w="26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/ PAR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PPQ V01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PPQ V02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PPQ V03</w:t>
            </w:r>
          </w:p>
        </w:tc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6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Culture Duration (days)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12-14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26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Peak Viable Cell Density (x10e6 cells/mL)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18-28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24.1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23.7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25.3</w:t>
            </w:r>
          </w:p>
        </w:tc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26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Final Viability (%)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&gt;=65%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71.2%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68.8%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70.1%</w:t>
            </w:r>
          </w:p>
        </w:tc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26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Harvest Titer (g/L)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&gt;=2.0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2.48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2.61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2.53</w:t>
            </w:r>
          </w:p>
        </w:tc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26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Dissolved Oxygen (% setpoint)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 +/- 5%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40.2%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39.9%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40.5%</w:t>
            </w:r>
          </w:p>
        </w:tc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26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 (mean culture pH)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7.0 +/- 0.2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7.02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6.98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7.01</w:t>
            </w:r>
          </w:p>
        </w:tc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26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Temperature (mean, deg C)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 +/- 0.5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37.0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37.1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36.9</w:t>
            </w:r>
          </w:p>
        </w:tc>
        <w:tc>
          <w:tcPr>
            <w:tcW w:type="dxa" w:w="7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Y</w:t>
            </w:r>
          </w:p>
        </w:tc>
      </w:tr>
    </w:tbl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Purification Step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1440"/>
        <w:gridCol w:w="1440"/>
        <w:gridCol w:w="1440"/>
      </w:tblGrid>
      <w:tr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Purification Step</w:t>
            </w:r>
          </w:p>
        </w:tc>
        <w:tc>
          <w:tcPr>
            <w:tcW w:type="dxa" w:w="28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IPC / Outcome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PPQ V01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PPQ V02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PPQ V03</w:t>
            </w:r>
          </w:p>
        </w:tc>
      </w:tr>
      <w:tr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Protein A Affinity</w:t>
            </w:r>
          </w:p>
        </w:tc>
        <w:tc>
          <w:tcPr>
            <w:tcW w:type="dxa" w:w="28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Purity (SEC-HPLC, % monomer)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97.2%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97.5%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97.1%</w:t>
            </w:r>
          </w:p>
        </w:tc>
      </w:tr>
      <w:tr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Protein A Affinity</w:t>
            </w:r>
          </w:p>
        </w:tc>
        <w:tc>
          <w:tcPr>
            <w:tcW w:type="dxa" w:w="28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Leached Protein A (ppm)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2.9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3.4</w:t>
            </w:r>
          </w:p>
        </w:tc>
      </w:tr>
      <w:tr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Low pH VI (pH 3.5, 60 min)</w:t>
            </w:r>
          </w:p>
        </w:tc>
        <w:tc>
          <w:tcPr>
            <w:tcW w:type="dxa" w:w="28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recovery (A280, %)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98.1%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97.8%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98.4%</w:t>
            </w:r>
          </w:p>
        </w:tc>
      </w:tr>
      <w:tr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CEX Chromatography</w:t>
            </w:r>
          </w:p>
        </w:tc>
        <w:tc>
          <w:tcPr>
            <w:tcW w:type="dxa" w:w="28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Acidic variants post-CEX (%)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8.1%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8.4%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8.2%</w:t>
            </w:r>
          </w:p>
        </w:tc>
      </w:tr>
      <w:tr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CEX Chromatography</w:t>
            </w:r>
          </w:p>
        </w:tc>
        <w:tc>
          <w:tcPr>
            <w:tcW w:type="dxa" w:w="28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HCP post-CEX (ppm)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11.2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12.1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10.8</w:t>
            </w:r>
          </w:p>
        </w:tc>
      </w:tr>
      <w:tr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AEX (flow-through)</w:t>
            </w:r>
          </w:p>
        </w:tc>
        <w:tc>
          <w:tcPr>
            <w:tcW w:type="dxa" w:w="28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HCP post-AEX (ppm)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8.1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8.8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7.8</w:t>
            </w:r>
          </w:p>
        </w:tc>
      </w:tr>
      <w:tr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Nanofiltration (20 nm)</w:t>
            </w:r>
          </w:p>
        </w:tc>
        <w:tc>
          <w:tcPr>
            <w:tcW w:type="dxa" w:w="28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Recovery (%); filter integrity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97.4%; Pass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98.0%; Pass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97.7%; Pass</w:t>
            </w:r>
          </w:p>
        </w:tc>
      </w:tr>
      <w:tr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UF/DF</w:t>
            </w:r>
          </w:p>
        </w:tc>
        <w:tc>
          <w:tcPr>
            <w:tcW w:type="dxa" w:w="28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 concentration (mg/mL post-UF/DF)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20.0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19.9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20.2</w:t>
            </w:r>
          </w:p>
        </w:tc>
      </w:tr>
      <w:tr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Final Bulk DS</w:t>
            </w:r>
          </w:p>
        </w:tc>
        <w:tc>
          <w:tcPr>
            <w:tcW w:type="dxa" w:w="28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HCP final (ppm)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7.9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7.3</w:t>
            </w:r>
          </w:p>
        </w:tc>
      </w:tr>
    </w:tbl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Viral Clearance Summary</w:t>
      </w:r>
    </w:p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Viral clearance validation was performed in accordance with ICH Q5A(R2). Four dedicated clearance steps were evaluated. Total clearance demonstrated is summarized below: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680"/>
        <w:gridCol w:w="1440"/>
        <w:gridCol w:w="1440"/>
        <w:gridCol w:w="1680"/>
        <w:gridCol w:w="960"/>
      </w:tblGrid>
      <w:tr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Clearance Step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Virus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Virus Type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Log10 Reduction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Criterion</w:t>
            </w:r>
          </w:p>
        </w:tc>
        <w:tc>
          <w:tcPr>
            <w:tcW w:type="dxa" w:w="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Protein A Affinity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MuLV (xenotropic)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Enveloped, ssRNA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&gt;=4.2 log10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&gt;=4.0</w:t>
            </w:r>
          </w:p>
        </w:tc>
        <w:tc>
          <w:tcPr>
            <w:tcW w:type="dxa" w:w="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pH Viral Inactivation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MuLV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Enveloped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&gt;=5.6 log10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&gt;=4.0</w:t>
            </w:r>
          </w:p>
        </w:tc>
        <w:tc>
          <w:tcPr>
            <w:tcW w:type="dxa" w:w="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Low pH Viral Inactivation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X-MuLV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Enveloped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&gt;=5.1 log10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&gt;=4.0</w:t>
            </w:r>
          </w:p>
        </w:tc>
        <w:tc>
          <w:tcPr>
            <w:tcW w:type="dxa" w:w="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AEX (flow-through)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MMV (parvovirus model)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Non-enveloped, ssDNA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&gt;=2.8 log10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&gt;=1.0 (contribution)</w:t>
            </w:r>
          </w:p>
        </w:tc>
        <w:tc>
          <w:tcPr>
            <w:tcW w:type="dxa" w:w="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Nanofiltration (20 nm)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PPV (parvovirus model)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Non-enveloped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&gt;=4.5 log10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&gt;=4.0</w:t>
            </w:r>
          </w:p>
        </w:tc>
        <w:tc>
          <w:tcPr>
            <w:tcW w:type="dxa" w:w="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Nanofiltration (20 nm)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Reo-3 (rota model)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Non-enveloped, dsRNA</w:t>
            </w:r>
          </w:p>
        </w:tc>
        <w:tc>
          <w:tcPr>
            <w:tcW w:type="dxa" w:w="144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&gt;=3.8 log10</w:t>
            </w:r>
          </w:p>
        </w:tc>
        <w:tc>
          <w:tcPr>
            <w:tcW w:type="dxa" w:w="1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&gt;=1.0 (contribution)</w:t>
            </w:r>
          </w:p>
        </w:tc>
        <w:tc>
          <w:tcPr>
            <w:tcW w:type="dxa" w:w="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Y</w:t>
            </w:r>
          </w:p>
        </w:tc>
      </w:tr>
    </w:tbl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Overall virus safety margin: &gt;= 9.8 log10 for enveloped viruses; &gt;= 7.3 log10 for non-enveloped small viruses. These margins are consistent with ICH Q5A(R2) and comparable to approved PD-1 inhibitor biologics.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PROCESS ROBUSTNESS AND DEVIATIONS</w:t>
      </w:r>
    </w:p>
    <w:p>
      <w:pPr>
        <w:pBdr>
          <w:bottom w:val="single" w:color="2E5FA3" w:sz="6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PPQ Deviations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80"/>
        <w:gridCol w:w="3000"/>
        <w:gridCol w:w="2880"/>
        <w:gridCol w:w="1200"/>
      </w:tblGrid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Dev. No.</w:t>
            </w:r>
          </w:p>
        </w:tc>
        <w:tc>
          <w:tcPr>
            <w:tcW w:type="dxa" w:w="10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Batch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Assessment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DEV-V01-001</w:t>
            </w:r>
          </w:p>
        </w:tc>
        <w:tc>
          <w:tcPr>
            <w:tcW w:type="dxa" w:w="10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PPQ V01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 probe sensor drift at day 7 of culture; corrected within 2 hours by manual adjustment</w:t>
            </w:r>
          </w:p>
        </w:tc>
        <w:tc>
          <w:tcPr>
            <w:tcW w:type="dxa" w:w="28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 maintained within PAR; no impact on titer or product quality attributes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Closed; sensor replaced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DEV-V02-001</w:t>
            </w:r>
          </w:p>
        </w:tc>
        <w:tc>
          <w:tcPr>
            <w:tcW w:type="dxa" w:w="10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PPQ V02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Protein A column backpressure transiently exceeded upper alert limit at 92% of purification cycle</w:t>
            </w:r>
          </w:p>
        </w:tc>
        <w:tc>
          <w:tcPr>
            <w:tcW w:type="dxa" w:w="28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completed successfully; eluate met all IPC criteria; no quality impact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Closed; column repacked</w:t>
            </w:r>
          </w:p>
        </w:tc>
      </w:tr>
    </w:tbl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deviations resulted in product failure or required batch disposition. Both deviations were classified as minor and closed without change to the process or batch record.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CONCLUSIONS AND PPQ SUMMARY STATEMENT</w:t>
      </w:r>
    </w:p>
    <w:p>
      <w:pPr>
        <w:pBdr>
          <w:bottom w:val="single" w:color="2E5FA3" w:sz="6" w:space="1"/>
        </w:pBdr>
        <w:spacing w:after="240"/>
      </w:pPr>
    </w:p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three PPQ batches (CVM-DS-PPQ-V01, V02, V03) met all predefined acceptance criteria as defined in the PPQ Protocol (PVPR-001). The commercial-scale manufacturing process for cervimab drug substance at Acme Biologics Manufacturing Inc. is validated and capable of reproducibly producing drug substance that meets all quality specifications.</w:t>
      </w:r>
    </w:p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6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Key conclusions: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CQA acceptance criteria met across all three PPQ batches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Process capability (Ppk) &gt;= 1.67 demonstrated for all quantitative CQAs with sufficient data (n &gt;= 9)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Process robustness confirmed across defined CPP ranges; no out-of-specification results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Viral clearance &gt;= 4 log10 demonstrated for all relevant virus classes per ICH Q5A(R2)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Minor deviations observed during PPQ; none impacted product quality; all formally closed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Stage 3 Continued Process Verification (CPV) program (CPVP-001) is in place and ongoing</w:t>
      </w:r>
    </w:p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report, together with the Analytical Method Validation Reports and Process Characterization Report (PCR-001), supports the regulatory submission for cervimab BLA in the indication of dMMR/MSI-H metastatic colorectal cancer.</w:t>
      </w:r>
    </w:p>
    <w:p>
      <w:pPr>
        <w:spacing w:after="1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APPROVALS</w:t>
      </w:r>
    </w:p>
    <w:p>
      <w:pPr>
        <w:pBdr>
          <w:bottom w:val="single" w:color="2E5FA3" w:sz="6" w:space="1"/>
        </w:pBd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/ Title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 / Date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 of Process Validation, CerviGen Therapeutics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_________________________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 Manufacturing Science, Acme Biologics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_________________________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 of Quality Assurance, Acme Biologics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_________________________</w:t>
            </w:r>
          </w:p>
        </w:tc>
      </w:tr>
      <w:tr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Chief Scientific Officer, CerviGen Therapeutics</w:t>
            </w:r>
          </w:p>
        </w:tc>
        <w:tc>
          <w:tcPr>
            <w:tcW w:type="dxa" w:w="312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_________________________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PVR-001 | Version 1.0 | March 2026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CERVIMAB - Process Validation Report PVR-001</w:t>
    </w:r>
    <w:r>
      <w:rPr>
        <w:rFonts w:ascii="Arial" w:cs="Arial" w:eastAsia="Arial" w:hAnsi="Arial"/>
        <w:color w:val="888888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5C38"/>
      <w:sz w:val="22"/>
      <w:szCs w:val="22"/>
    </w:rPr>
  </w:style>
  <w:style w:type="paragraph" w:styleId="Heading4">
    <w:name w:val="Heading 4"/>
    <w:basedOn w:val="Normal"/>
    <w:next w:val="Normal"/>
    <w:qFormat/>
    <w:pPr>
      <w:spacing w:before="160" w:after="100"/>
      <w:outlineLvl w:val="3"/>
    </w:pPr>
    <w:rPr>
      <w:rFonts w:ascii="Arial" w:cs="Arial" w:eastAsia="Arial" w:hAnsi="Arial"/>
      <w:b/>
      <w:bCs/>
      <w:i/>
      <w:iCs/>
      <w:color w:val="44444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2026-03-16T14:29:48.625Z</dcterms:created>
  <dcterms:modified xsi:type="dcterms:W3CDTF">2026-03-16T14:29:48.626Z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