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48"/>
          <w:szCs w:val="48"/>
        </w:rPr>
        <w:t xml:space="preserve">SHELF LIFE DETERMINATION REPORT</w:t>
      </w:r>
    </w:p>
    <w:p>
      <w:pPr>
        <w:spacing w:after="120"/>
        <w:jc w:val="center"/>
      </w:pPr>
      <w:r>
        <w:rPr>
          <w:rFonts w:ascii="Arial" w:cs="Arial" w:eastAsia="Arial" w:hAnsi="Arial"/>
          <w:color w:val="1A5C4B"/>
          <w:sz w:val="28"/>
          <w:szCs w:val="28"/>
        </w:rPr>
        <w:t xml:space="preserve">Cervimab (CVM-001) Drug Substance and Drug Product</w:t>
      </w:r>
    </w:p>
    <w:p>
      <w:pPr>
        <w:spacing w:after="600"/>
        <w:jc w:val="center"/>
      </w:pPr>
      <w:r>
        <w:rPr>
          <w:rFonts w:ascii="Arial" w:cs="Arial" w:eastAsia="Arial" w:hAnsi="Arial"/>
          <w:i/>
          <w:iCs/>
          <w:color w:val="444444"/>
          <w:sz w:val="22"/>
          <w:szCs w:val="22"/>
        </w:rPr>
        <w:t xml:space="preserve">ICH Q1A(R2), Q1E, Q5C Compliant Stability Program</w:t>
      </w:r>
    </w:p>
    <w:p>
      <w:pPr>
        <w:pBdr>
          <w:bottom w:val="single" w:color="1A5C4B" w:sz="6" w:space="1"/>
        </w:pBdr>
        <w:spacing w:after="2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Report No.</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SLD-001</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Drug Substance</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Cervimab Drug Substance, 20 mg/mL bulk in formulation buffer</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Drug Product</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Cervimab Injection, 200 mg/10 mL (20 mg/mL), Type I glass vial</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Proposed Shelf Life (DS)</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 months at 2-8 deg C (refrigerated)</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Proposed Shelf Life (DP)</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 months at 2-8 deg C (refrigerated)</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In-Use Stability (DP diluted)</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 hours at 2-8 deg C or 8 hours at 25 deg C after dilution in 0.9% NaCl (1-10 mg/mL)</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Regulatory Framework</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ICH Q1A(R2), Q1B, Q1D, Q1E, Q5C; FDA Guidance Stability Testing of Biotechnology/Biological Products (1996); 21 CFR 211.166</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Document Status</w:t>
            </w:r>
          </w:p>
        </w:tc>
        <w:tc>
          <w:tcPr>
            <w:tcW w:type="dxa" w:w="5400"/>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tcPr>
          <w:p>
            <w:r>
              <w:rPr>
                <w:rFonts w:ascii="Arial" w:cs="Arial" w:eastAsia="Arial" w:hAnsi="Arial"/>
                <w:b/>
                <w:bCs/>
                <w:color w:val="7B5700"/>
                <w:sz w:val="18"/>
                <w:szCs w:val="18"/>
              </w:rPr>
              <w:t xml:space="preserve">EXAMPLE DOCUMENT - ILLUSTRATIVE PURPOSES ONLY</w:t>
            </w:r>
          </w:p>
        </w:tc>
      </w:tr>
    </w:tbl>
    <w:p>
      <w:r>
        <w:br w:type="page"/>
      </w:r>
    </w:p>
    <w:p>
      <w:pPr>
        <w:pStyle w:val="Heading1"/>
      </w:pPr>
      <w:r>
        <w:rPr>
          <w:rFonts w:ascii="Arial" w:cs="Arial" w:eastAsia="Arial" w:hAnsi="Arial"/>
          <w:b/>
          <w:bCs/>
          <w:sz w:val="32"/>
          <w:szCs w:val="32"/>
        </w:rPr>
        <w:t xml:space="preserve">1. INTRODUCTION</w:t>
      </w:r>
    </w:p>
    <w:p>
      <w:pPr>
        <w:pBdr>
          <w:bottom w:val="single" w:color="1A5C4B" w:sz="6" w:space="1"/>
        </w:pBdr>
        <w:spacing w:after="240"/>
      </w:pPr>
    </w:p>
    <w:p>
      <w:pPr>
        <w:pStyle w:val="Heading2"/>
      </w:pPr>
      <w:r>
        <w:rPr>
          <w:rFonts w:ascii="Arial" w:cs="Arial" w:eastAsia="Arial" w:hAnsi="Arial"/>
          <w:b/>
          <w:bCs/>
          <w:sz w:val="26"/>
          <w:szCs w:val="26"/>
        </w:rPr>
        <w:t xml:space="preserve">1.1 Purpose</w:t>
      </w:r>
    </w:p>
    <w:p>
      <w:pPr>
        <w:spacing w:after="160" w:line="276"/>
        <w:jc w:val="left"/>
      </w:pPr>
      <w:r>
        <w:rPr>
          <w:rFonts w:ascii="Arial" w:cs="Arial" w:eastAsia="Arial" w:hAnsi="Arial"/>
          <w:b w:val="false"/>
          <w:bCs w:val="false"/>
          <w:i w:val="false"/>
          <w:iCs w:val="false"/>
          <w:color w:val="000000"/>
          <w:sz w:val="20"/>
          <w:szCs w:val="20"/>
        </w:rPr>
        <w:t xml:space="preserve">This Shelf Life Determination Report (SLD-001) summarizes the stability data generated for cervimab drug substance (DS) and drug product (DP) in support of the proposed 24-month shelf life at 2-8 deg C. Stability studies were conducted in accordance with ICH Q5C (Stability Testing of Biotechnological/Biological Products), ICH Q1A(R2), ICH Q1E (Evaluation of Stability Data), and FDA Guidance for Industry: Stability Testing of Biological/Biotechnological Products (1996).</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1.2 Stability Indicating Methods</w:t>
      </w:r>
    </w:p>
    <w:p>
      <w:pPr>
        <w:spacing w:after="160" w:line="276"/>
        <w:jc w:val="left"/>
      </w:pPr>
      <w:r>
        <w:rPr>
          <w:rFonts w:ascii="Arial" w:cs="Arial" w:eastAsia="Arial" w:hAnsi="Arial"/>
          <w:b w:val="false"/>
          <w:bCs w:val="false"/>
          <w:i w:val="false"/>
          <w:iCs w:val="false"/>
          <w:color w:val="000000"/>
          <w:sz w:val="20"/>
          <w:szCs w:val="20"/>
        </w:rPr>
        <w:t xml:space="preserve">Stability-indicating analytical methods were selected based on their sensitivity to detect product changes under stability conditions. Methods were validated per ICH Q2(R2) and demonstrated to be stability-indicating through forced degradation studies. Key stability-indicating methods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Parameter Detected</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Sensitivity</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Validated?</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SEC-HPLC</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Aggregates, fragments, monomer content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0.05% LOQ</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(ICH Q2(R2))</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CE-SDS (non-reduced)</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Non-covalent aggregates, intact IgG</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cIEF</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Charge variants (acidic/basic isoforms)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 peak +/-0.5%</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Potency assay (cell-based)</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Biological activity loss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 RS</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(USP &lt;1033&gt;)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Peptide mapping (LC-MS/MS)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Deamidation, oxidation, isomerization, clipping</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 per variant</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(site-specific)</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UV-Vis (A280)</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Protein concentration</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+/-0.3 mg/mL</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pH</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Buffer degradation/shift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 pH unit</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Compendial (USP &lt;791&gt;)</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 inspection</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Appearance, color, particles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Visible particles &gt;= 100 um</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Compendial (EP 2.9.20)</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Osmolality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Excipient stability</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mOsmol/kg</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Compendial (USP &lt;785&gt;)</w:t>
            </w:r>
          </w:p>
        </w:tc>
      </w:tr>
    </w:tbl>
    <w:p>
      <w:r>
        <w:br w:type="page"/>
      </w:r>
    </w:p>
    <w:p>
      <w:pPr>
        <w:pStyle w:val="Heading1"/>
      </w:pPr>
      <w:r>
        <w:rPr>
          <w:rFonts w:ascii="Arial" w:cs="Arial" w:eastAsia="Arial" w:hAnsi="Arial"/>
          <w:b/>
          <w:bCs/>
          <w:sz w:val="32"/>
          <w:szCs w:val="32"/>
        </w:rPr>
        <w:t xml:space="preserve">2. STABILITY STUDY DESIGN</w:t>
      </w:r>
    </w:p>
    <w:p>
      <w:pPr>
        <w:pBdr>
          <w:bottom w:val="single" w:color="1A5C4B" w:sz="6" w:space="1"/>
        </w:pBdr>
        <w:spacing w:after="240"/>
      </w:pPr>
    </w:p>
    <w:p>
      <w:pPr>
        <w:pStyle w:val="Heading2"/>
      </w:pPr>
      <w:r>
        <w:rPr>
          <w:rFonts w:ascii="Arial" w:cs="Arial" w:eastAsia="Arial" w:hAnsi="Arial"/>
          <w:b/>
          <w:bCs/>
          <w:sz w:val="26"/>
          <w:szCs w:val="26"/>
        </w:rPr>
        <w:t xml:space="preserve">2.1 Drug Substance Stability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2160"/>
        <w:gridCol w:w="2160"/>
      </w:tblGrid>
      <w:tr>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Storage Condition</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Batches</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Container</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 Points (months)</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Study Purpose</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2-8 deg C (real time, primary)</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(3 Ph3 + 3 PPQ)</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PETG bottle</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0, 3, 6, 9, 12, 18, 24</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Shelf life support (primary data)</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25 deg C / 60% RH (accelerated)</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 (Ph3 batches)</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PETG bottle</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0, 1, 3, 6</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Accelerated stability; trend detection</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40 deg C / 75% RH (stress)</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PETG bottle</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0, 1, 3</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Forced degradation; method validation support</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&lt;= -70 deg C (frozen DS storage)</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Bioprocess bag (PE)</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0, 6, 12, 24</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Long-term frozen DS stability</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Freeze-thaw (-70/RT, 3 cycles)</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PETG bottle</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each FT cycle</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FT stability; process support</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Photostability (ICH Q1B)</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PETG bottle (covered/uncovered)</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Pre- and post-exposure</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Photosensitivity assessment</w:t>
            </w:r>
          </w:p>
        </w:tc>
      </w:tr>
    </w:tbl>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2.2 Drug Product Stability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2160"/>
        <w:gridCol w:w="2160"/>
      </w:tblGrid>
      <w:tr>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Storage Condition</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 Batches</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Container</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Time Points (months)</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Study Purpose</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2-8 deg C (real time, primary)</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(3 Ph3 DP + 3 PPQ DP)</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mL Type I glass vial</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0, 3, 6, 9, 12, 18, 24</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Shelf life support (primary data)</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25 deg C / 60% RH (accelerated)</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 mL glass vial</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0, 1, 3, 6</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Accelerated stability</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40 deg C / 75% RH (stress)</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mL glass vial</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0, 1, 3</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Forced degradation</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In-use stability (2-8 deg C, diluted in 0.9% NaCl)</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PVC/non-PVC IV bag</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 4, 8, 24 hours</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In-use/in-bag stability</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In-use stability (25 deg C, diluted in 0.9% NaCl)</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PVC/non-PVC IV bag</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2, 4, 8 hours</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In-use/in-bag stability</w:t>
            </w:r>
          </w:p>
        </w:tc>
      </w:tr>
    </w:tbl>
    <w:p>
      <w:r>
        <w:br w:type="page"/>
      </w:r>
    </w:p>
    <w:p>
      <w:pPr>
        <w:pStyle w:val="Heading1"/>
      </w:pPr>
      <w:r>
        <w:rPr>
          <w:rFonts w:ascii="Arial" w:cs="Arial" w:eastAsia="Arial" w:hAnsi="Arial"/>
          <w:b/>
          <w:bCs/>
          <w:sz w:val="32"/>
          <w:szCs w:val="32"/>
        </w:rPr>
        <w:t xml:space="preserve">3. DRUG SUBSTANCE STABILITY RESULTS</w:t>
      </w:r>
    </w:p>
    <w:p>
      <w:pPr>
        <w:pBdr>
          <w:bottom w:val="single" w:color="1A5C4B" w:sz="6" w:space="1"/>
        </w:pBdr>
        <w:spacing w:after="240"/>
      </w:pPr>
    </w:p>
    <w:p>
      <w:pPr>
        <w:pStyle w:val="Heading2"/>
      </w:pPr>
      <w:r>
        <w:rPr>
          <w:rFonts w:ascii="Arial" w:cs="Arial" w:eastAsia="Arial" w:hAnsi="Arial"/>
          <w:b/>
          <w:bCs/>
          <w:sz w:val="26"/>
          <w:szCs w:val="26"/>
        </w:rPr>
        <w:t xml:space="preserve">3.1 Real-Time Stability (2-8 deg C) - Drug Substance</w:t>
      </w:r>
    </w:p>
    <w:p>
      <w:pPr>
        <w:spacing w:after="160" w:line="276"/>
        <w:jc w:val="left"/>
      </w:pPr>
      <w:r>
        <w:rPr>
          <w:rFonts w:ascii="Arial" w:cs="Arial" w:eastAsia="Arial" w:hAnsi="Arial"/>
          <w:b w:val="false"/>
          <w:bCs w:val="false"/>
          <w:i w:val="false"/>
          <w:iCs w:val="false"/>
          <w:color w:val="000000"/>
          <w:sz w:val="20"/>
          <w:szCs w:val="20"/>
        </w:rPr>
        <w:t xml:space="preserve">Stability data through 24 months at 2-8 deg C are available for all 6 batches (3 Phase 3 clinical + 3 commercial PPQ). Representative data from the 6-batch pool are summarized below. All batches remained within the proposed shelf life specification throughout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200"/>
        <w:gridCol w:w="1200"/>
        <w:gridCol w:w="1200"/>
        <w:gridCol w:w="1200"/>
        <w:gridCol w:w="1200"/>
        <w:gridCol w:w="1080"/>
      </w:tblGrid>
      <w:tr>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T=0</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T=3 mo</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T=6 mo</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T=12 mo</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T=18 mo</w:t>
            </w:r>
          </w:p>
        </w:tc>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T=24 mo</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w:t>
            </w:r>
          </w:p>
        </w:tc>
      </w:tr>
      <w:tr>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Monomer % (SEC)</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98.9%</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&gt;=97%</w:t>
            </w:r>
          </w:p>
        </w:tc>
      </w:tr>
      <w:tr>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Potency (% RS)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101%</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98%</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97%</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96%</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95%</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70-130%</w:t>
            </w:r>
          </w:p>
        </w:tc>
      </w:tr>
      <w:tr>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Acidic variants (cIEF, %)</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8.7%</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9.4%</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9.7%</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&lt;=20%</w:t>
            </w:r>
          </w:p>
        </w:tc>
      </w:tr>
      <w:tr>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Concentration (mg/mL)</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19.9</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18-22</w:t>
            </w:r>
          </w:p>
        </w:tc>
      </w:tr>
      <w:tr>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pH</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5.79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5.5-6.1</w:t>
            </w:r>
          </w:p>
        </w:tc>
      </w:tr>
      <w:tr>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Deamidation Asn-55 HC (%)</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3.6%</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3.8%</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&lt;=8%</w:t>
            </w:r>
          </w:p>
        </w:tc>
      </w:tr>
      <w:tr>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Oxidation Met-254 HC (%)</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&lt;=5%</w:t>
            </w:r>
          </w:p>
        </w:tc>
      </w:tr>
      <w:tr>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Appearance</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r>
    </w:tbl>
    <w:p>
      <w:pPr>
        <w:spacing w:after="160" w:line="276"/>
        <w:jc w:val="left"/>
      </w:pPr>
      <w:r>
        <w:rPr>
          <w:rFonts w:ascii="Arial" w:cs="Arial" w:eastAsia="Arial" w:hAnsi="Arial"/>
          <w:b w:val="false"/>
          <w:bCs w:val="false"/>
          <w:i/>
          <w:iCs/>
          <w:color w:val="000000"/>
          <w:sz w:val="20"/>
          <w:szCs w:val="20"/>
        </w:rPr>
        <w:t xml:space="preserve">Mean data from 6 batches (3 Phase 3 + 3 PPQ); all individual batches within specification at all time points tested.</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3.2 Accelerated Stability (25 deg C / 60% RH) - Drug Substance</w:t>
      </w:r>
    </w:p>
    <w:p>
      <w:pPr>
        <w:spacing w:after="160" w:line="276"/>
        <w:jc w:val="left"/>
      </w:pPr>
      <w:r>
        <w:rPr>
          <w:rFonts w:ascii="Arial" w:cs="Arial" w:eastAsia="Arial" w:hAnsi="Arial"/>
          <w:b w:val="false"/>
          <w:bCs w:val="false"/>
          <w:i w:val="false"/>
          <w:iCs w:val="false"/>
          <w:color w:val="000000"/>
          <w:sz w:val="20"/>
          <w:szCs w:val="20"/>
        </w:rPr>
        <w:t xml:space="preserve">Accelerated stability data at 25 deg C / 60% RH through 6 months show progressive but controlled degradation, confirming the stability-indicating nature of the methods. The rate of change is substantially slower at 2-8 deg C. No precipitation, turbidity, or appearance changes were observed through 6 months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204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T=0</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T=1 mo</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T=3 mo</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T=6 mo</w:t>
            </w:r>
          </w:p>
        </w:tc>
        <w:tc>
          <w:tcPr>
            <w:tcW w:type="dxa" w:w="20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 Limit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Monomer % (SEC)</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99.1%</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98.7%</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97.9%</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96.8%</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&gt;=97.0% (shelf)</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Potency (% RS)</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101%</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93%</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70-130% (shelf)</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Acidic variants (cIEF, %)</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9.3%</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11.8%</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14.2%</w:t>
            </w:r>
          </w:p>
        </w:tc>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&lt;=20% (shelf)</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Deamidation Asn-55 HC (%)</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6.8%</w:t>
            </w:r>
          </w:p>
        </w:tc>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&lt;=8% (shelf)</w:t>
            </w:r>
          </w:p>
        </w:tc>
      </w:tr>
    </w:tbl>
    <w:p>
      <w:pPr>
        <w:spacing w:after="160" w:line="276"/>
        <w:jc w:val="left"/>
      </w:pPr>
      <w:r>
        <w:rPr>
          <w:rFonts w:ascii="Arial" w:cs="Arial" w:eastAsia="Arial" w:hAnsi="Arial"/>
          <w:b w:val="false"/>
          <w:bCs w:val="false"/>
          <w:i/>
          <w:iCs/>
          <w:color w:val="000000"/>
          <w:sz w:val="20"/>
          <w:szCs w:val="20"/>
        </w:rPr>
        <w:t xml:space="preserve">Note: Monomer % exceeds shelf life spec limit at 6 months accelerated (25 deg C), consistent with expected degradation at elevated temperature. This does not affect the 2-8 deg C shelf life conclusion. The Arrhenius-estimated shelf life at 2-8 deg C based on accelerated data is &gt; 28 months, supportive of the 24-month claim.</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3.3 Freeze-Thaw Stability - Drug Substance</w:t>
      </w:r>
    </w:p>
    <w:p>
      <w:pPr>
        <w:spacing w:after="160" w:line="276"/>
        <w:jc w:val="left"/>
      </w:pPr>
      <w:r>
        <w:rPr>
          <w:rFonts w:ascii="Arial" w:cs="Arial" w:eastAsia="Arial" w:hAnsi="Arial"/>
          <w:b w:val="false"/>
          <w:bCs w:val="false"/>
          <w:i w:val="false"/>
          <w:iCs w:val="false"/>
          <w:color w:val="000000"/>
          <w:sz w:val="20"/>
          <w:szCs w:val="20"/>
        </w:rPr>
        <w:t xml:space="preserve">Freeze-thaw (FT) cycling studies (up to 5 cycles, -70 deg C to room temperature) demonstrated no significant impact on product quality through 3 cycles. A minor increase in sub-visible particles was noted after 4-5 cycles; therefore, the DS specification limits FT cycles to &lt;=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1560"/>
        <w:gridCol w:w="96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T=0 (fresh)</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After FT1</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After FT2</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After FT3</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After FT5</w:t>
            </w:r>
          </w:p>
        </w:tc>
        <w:tc>
          <w:tcPr>
            <w:tcW w:type="dxa" w:w="9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Pass FT3?</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Monomer % (SEC)</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99.1%</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99.0%</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98.9%</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98.9%</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98.5%</w:t>
            </w:r>
          </w:p>
        </w:tc>
        <w:tc>
          <w:tcPr>
            <w:tcW w:type="dxa" w:w="9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Sub-visible (&gt;=2 um/mL, MFI)</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1,240</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1,380</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1,510</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1,720</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3,980</w:t>
            </w:r>
          </w:p>
        </w:tc>
        <w:tc>
          <w:tcPr>
            <w:tcW w:type="dxa" w:w="9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Potency (% RS)</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101%</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9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bl>
    <w:p>
      <w:r>
        <w:br w:type="page"/>
      </w:r>
    </w:p>
    <w:p>
      <w:pPr>
        <w:pStyle w:val="Heading1"/>
      </w:pPr>
      <w:r>
        <w:rPr>
          <w:rFonts w:ascii="Arial" w:cs="Arial" w:eastAsia="Arial" w:hAnsi="Arial"/>
          <w:b/>
          <w:bCs/>
          <w:sz w:val="32"/>
          <w:szCs w:val="32"/>
        </w:rPr>
        <w:t xml:space="preserve">4. DRUG PRODUCT STABILITY RESULTS</w:t>
      </w:r>
    </w:p>
    <w:p>
      <w:pPr>
        <w:pBdr>
          <w:bottom w:val="single" w:color="1A5C4B" w:sz="6" w:space="1"/>
        </w:pBdr>
        <w:spacing w:after="240"/>
      </w:pPr>
    </w:p>
    <w:p>
      <w:pPr>
        <w:pStyle w:val="Heading2"/>
      </w:pPr>
      <w:r>
        <w:rPr>
          <w:rFonts w:ascii="Arial" w:cs="Arial" w:eastAsia="Arial" w:hAnsi="Arial"/>
          <w:b/>
          <w:bCs/>
          <w:sz w:val="26"/>
          <w:szCs w:val="26"/>
        </w:rPr>
        <w:t xml:space="preserve">4.1 Real-Time Stability (2-8 deg C) - Drug Product</w:t>
      </w:r>
    </w:p>
    <w:p>
      <w:pPr>
        <w:spacing w:after="160" w:line="276"/>
        <w:jc w:val="left"/>
      </w:pPr>
      <w:r>
        <w:rPr>
          <w:rFonts w:ascii="Arial" w:cs="Arial" w:eastAsia="Arial" w:hAnsi="Arial"/>
          <w:b w:val="false"/>
          <w:bCs w:val="false"/>
          <w:i w:val="false"/>
          <w:iCs w:val="false"/>
          <w:color w:val="000000"/>
          <w:sz w:val="20"/>
          <w:szCs w:val="20"/>
        </w:rPr>
        <w:t xml:space="preserve">Stability data through 24 months at 2-8 deg C are available for drug product (200 mg/10 mL, 15 mL Type I glass vial). The DP stability profile closely mirrors that of the DS. All batches met the proposed shelf life specification at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gridCol w:w="1080"/>
      </w:tblGrid>
      <w:tr>
        <w:tc>
          <w:tcPr>
            <w:tcW w:type="dxa" w:w="1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T=0</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T=3</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T=6</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T=9</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T=12</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T=18</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T=24</w:t>
            </w:r>
          </w:p>
        </w:tc>
        <w:tc>
          <w:tcPr>
            <w:tcW w:type="dxa" w:w="10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Monomer % (SEC)</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99.0%</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98.8%</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98.7%</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98.6%</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98.1%</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&gt;=97%</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Potency (% RS)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97%</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98%</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96%</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95%</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94%</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70-130%</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Acidic var. (cIEF, %)</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8.6%</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9.1%</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9.3%</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9.6%</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&lt;=20%</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Concentration (mg/mL)</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19.9</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19.9</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18-22</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pH</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5.82</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5.81</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5.82</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5.80</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5.81</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5.79</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5.80</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5.5-6.1</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Polysorbate 20 (mg/mL)</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0.201</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0.199</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0.197</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0.195</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0.194</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0.191</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0.189</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0.10-0.25</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Appearance</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r>
      <w:tr>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CCI (HVLD)</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0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r>
    </w:tbl>
    <w:p>
      <w:pPr>
        <w:spacing w:after="160" w:line="276"/>
        <w:jc w:val="left"/>
      </w:pPr>
      <w:r>
        <w:rPr>
          <w:rFonts w:ascii="Arial" w:cs="Arial" w:eastAsia="Arial" w:hAnsi="Arial"/>
          <w:b w:val="false"/>
          <w:bCs w:val="false"/>
          <w:i/>
          <w:iCs/>
          <w:color w:val="000000"/>
          <w:sz w:val="20"/>
          <w:szCs w:val="20"/>
        </w:rPr>
        <w:t xml:space="preserve">Mean data from 6 DP batches. All individual batches within specification. -- indicates time point not tested for that attribute.</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4.2 In-Use Stability - Drug Product (Diluted for IV Infusion)</w:t>
      </w:r>
    </w:p>
    <w:p>
      <w:pPr>
        <w:spacing w:after="160" w:line="276"/>
        <w:jc w:val="left"/>
      </w:pPr>
      <w:r>
        <w:rPr>
          <w:rFonts w:ascii="Arial" w:cs="Arial" w:eastAsia="Arial" w:hAnsi="Arial"/>
          <w:b w:val="false"/>
          <w:bCs w:val="false"/>
          <w:i w:val="false"/>
          <w:iCs w:val="false"/>
          <w:color w:val="000000"/>
          <w:sz w:val="20"/>
          <w:szCs w:val="20"/>
        </w:rPr>
        <w:t xml:space="preserve">In-use stability was assessed after dilution of cervimab from the commercial vial into 0.9% NaCl infusion bags (target 1 mg/mL and 10 mg/mL) in PVC and non-PVC bags. Studies evaluated chemical and physical stability as well as adsorption to bag/tubing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440"/>
        <w:gridCol w:w="1440"/>
        <w:gridCol w:w="1320"/>
        <w:gridCol w:w="1320"/>
        <w:gridCol w:w="1800"/>
      </w:tblGrid>
      <w:tr>
        <w:tc>
          <w:tcPr>
            <w:tcW w:type="dxa" w:w="20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Condition</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Concentration</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Container</w:t>
            </w:r>
          </w:p>
        </w:tc>
        <w:tc>
          <w:tcPr>
            <w:tcW w:type="dxa" w:w="13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2-8 deg C, 24h</w:t>
            </w:r>
          </w:p>
        </w:tc>
        <w:tc>
          <w:tcPr>
            <w:tcW w:type="dxa" w:w="13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25 deg C, 8h</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Finding</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Diluted in 0.9% NaCl</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mg/mL</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PVC bag</w:t>
            </w:r>
          </w:p>
        </w:tc>
        <w:tc>
          <w:tcPr>
            <w:tcW w:type="dxa" w:w="1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change in monomer, potency, or particles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Diluted in 0.9% NaCl</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 mg/mL</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non-PVC bag</w:t>
            </w:r>
          </w:p>
        </w:tc>
        <w:tc>
          <w:tcPr>
            <w:tcW w:type="dxa" w:w="13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3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adsorption to bag surfaces detected; comparable stability</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Diluted in 0.9% NaCl</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mg/mL</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PVC bag</w:t>
            </w:r>
          </w:p>
        </w:tc>
        <w:tc>
          <w:tcPr>
            <w:tcW w:type="dxa" w:w="1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3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change in quality attributes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Diluted in 0.9% NaCl</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 mg/mL</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non-PVC bag</w:t>
            </w:r>
          </w:p>
        </w:tc>
        <w:tc>
          <w:tcPr>
            <w:tcW w:type="dxa" w:w="13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3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Equivalent to PVC bag</w:t>
            </w:r>
          </w:p>
        </w:tc>
      </w:tr>
    </w:tbl>
    <w:p>
      <w:pPr>
        <w:spacing w:after="160" w:line="276"/>
        <w:jc w:val="left"/>
      </w:pPr>
      <w:r>
        <w:rPr>
          <w:rFonts w:ascii="Arial" w:cs="Arial" w:eastAsia="Arial" w:hAnsi="Arial"/>
          <w:b w:val="false"/>
          <w:bCs w:val="false"/>
          <w:i/>
          <w:iCs/>
          <w:color w:val="000000"/>
          <w:sz w:val="20"/>
          <w:szCs w:val="20"/>
        </w:rPr>
        <w:t xml:space="preserve">Conclusion: Cervimab diluted for IV infusion is stable for 24 hours at 2-8 deg C and 8 hours at 25 deg C. D5W was assessed as incompatible (pH-induced precipitation) and is not recommended as diluent.</w:t>
      </w:r>
    </w:p>
    <w:p>
      <w:r>
        <w:br w:type="page"/>
      </w:r>
    </w:p>
    <w:p>
      <w:pPr>
        <w:pStyle w:val="Heading1"/>
      </w:pPr>
      <w:r>
        <w:rPr>
          <w:rFonts w:ascii="Arial" w:cs="Arial" w:eastAsia="Arial" w:hAnsi="Arial"/>
          <w:b/>
          <w:bCs/>
          <w:sz w:val="32"/>
          <w:szCs w:val="32"/>
        </w:rPr>
        <w:t xml:space="preserve">5. STATISTICAL ANALYSIS AND SHELF LIFE DETERMINATION</w:t>
      </w:r>
    </w:p>
    <w:p>
      <w:pPr>
        <w:pBdr>
          <w:bottom w:val="single" w:color="1A5C4B" w:sz="6" w:space="1"/>
        </w:pBdr>
        <w:spacing w:after="240"/>
      </w:pPr>
    </w:p>
    <w:p>
      <w:pPr>
        <w:pStyle w:val="Heading2"/>
      </w:pPr>
      <w:r>
        <w:rPr>
          <w:rFonts w:ascii="Arial" w:cs="Arial" w:eastAsia="Arial" w:hAnsi="Arial"/>
          <w:b/>
          <w:bCs/>
          <w:sz w:val="26"/>
          <w:szCs w:val="26"/>
        </w:rPr>
        <w:t xml:space="preserve">5.1 Statistical Methodology</w:t>
      </w:r>
    </w:p>
    <w:p>
      <w:pPr>
        <w:spacing w:after="160" w:line="276"/>
        <w:jc w:val="left"/>
      </w:pPr>
      <w:r>
        <w:rPr>
          <w:rFonts w:ascii="Arial" w:cs="Arial" w:eastAsia="Arial" w:hAnsi="Arial"/>
          <w:b w:val="false"/>
          <w:bCs w:val="false"/>
          <w:i w:val="false"/>
          <w:iCs w:val="false"/>
          <w:color w:val="000000"/>
          <w:sz w:val="20"/>
          <w:szCs w:val="20"/>
        </w:rPr>
        <w:t xml:space="preserve">Shelf life was determined using a linear regression analysis of stability data per ICH Q1E. For each stability-indicating attribute, the rate of change was estimated by linear regression of the time-versus-response data pooled across batches (per ICH Q1E poolability testing). The shelf life was estimated as the time at which the 95% one-sided confidence interval of the regression line intersects the specification limit.</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5.2 Statistical Results - Drug Substance (2-8 deg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560"/>
        <w:gridCol w:w="1560"/>
        <w:gridCol w:w="1800"/>
        <w:gridCol w:w="160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Batches (n)</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Slope (per month)</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R-squared</w:t>
            </w:r>
          </w:p>
        </w:tc>
        <w:tc>
          <w:tcPr>
            <w:tcW w:type="dxa" w:w="1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Spec Limit</w:t>
            </w:r>
          </w:p>
        </w:tc>
        <w:tc>
          <w:tcPr>
            <w:tcW w:type="dxa" w:w="1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ICH Q1E Est. Shelf Life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Monomer % (SEC-HPLC)</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-0.037%/mo</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0.961</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&gt;=97.0%</w:t>
            </w:r>
          </w:p>
        </w:tc>
        <w:tc>
          <w:tcPr>
            <w:tcW w:type="dxa" w:w="160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&gt; 30 months</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Potency (% RS)</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-0.25%/mo</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0.944</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&gt;=70%</w:t>
            </w:r>
          </w:p>
        </w:tc>
        <w:tc>
          <w:tcPr>
            <w:tcW w:type="dxa" w:w="160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&gt; 30 months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Acidic variants (cIEF, %)</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+0.065%/mo</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0.988</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&lt;=20%</w:t>
            </w:r>
          </w:p>
        </w:tc>
        <w:tc>
          <w:tcPr>
            <w:tcW w:type="dxa" w:w="160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&gt; 30 months</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Deamidation Asn-55 HC (%)</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+0.052%/mo</w:t>
            </w:r>
          </w:p>
        </w:tc>
        <w:tc>
          <w:tcPr>
            <w:tcW w:type="dxa" w:w="15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0.976</w:t>
            </w:r>
          </w:p>
        </w:tc>
        <w:tc>
          <w:tcPr>
            <w:tcW w:type="dxa" w:w="1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&lt;=8%</w:t>
            </w:r>
          </w:p>
        </w:tc>
        <w:tc>
          <w:tcPr>
            <w:tcW w:type="dxa" w:w="160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&gt; 30 months</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Oxidation Met-254 HC (%)</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+0.032%/mo</w:t>
            </w:r>
          </w:p>
        </w:tc>
        <w:tc>
          <w:tcPr>
            <w:tcW w:type="dxa" w:w="1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0.955</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&lt;=5%</w:t>
            </w:r>
          </w:p>
        </w:tc>
        <w:tc>
          <w:tcPr>
            <w:tcW w:type="dxa" w:w="160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&gt; 30 months</w:t>
            </w:r>
          </w:p>
        </w:tc>
      </w:tr>
    </w:tbl>
    <w:p>
      <w:pPr>
        <w:spacing w:after="160" w:line="276"/>
        <w:jc w:val="left"/>
      </w:pPr>
      <w:r>
        <w:rPr>
          <w:rFonts w:ascii="Arial" w:cs="Arial" w:eastAsia="Arial" w:hAnsi="Arial"/>
          <w:b w:val="false"/>
          <w:bCs w:val="false"/>
          <w:i/>
          <w:iCs/>
          <w:color w:val="000000"/>
          <w:sz w:val="20"/>
          <w:szCs w:val="20"/>
        </w:rPr>
        <w:t xml:space="preserve">All primary stability-indicating attributes support a shelf life of &gt; 30 months at 2-8 deg C. The proposed 24-month shelf life is conservatively set within the statistically derived estimates, consistent with ICH Q1E guidance and consistent with shelf lives established for comparable approved PD-1 inhibitor biologics.</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5.3 Drug Product vs. Drug Substance Stability Comparison</w:t>
      </w:r>
    </w:p>
    <w:p>
      <w:pPr>
        <w:spacing w:after="160" w:line="276"/>
        <w:jc w:val="left"/>
      </w:pPr>
      <w:r>
        <w:rPr>
          <w:rFonts w:ascii="Arial" w:cs="Arial" w:eastAsia="Arial" w:hAnsi="Arial"/>
          <w:b w:val="false"/>
          <w:bCs w:val="false"/>
          <w:i w:val="false"/>
          <w:iCs w:val="false"/>
          <w:color w:val="000000"/>
          <w:sz w:val="20"/>
          <w:szCs w:val="20"/>
        </w:rPr>
        <w:t xml:space="preserve">Drug product stability at 2-8 deg C is comparable to drug substance stability under the same conditions. Minor differences in polysorbate 20 content (gradual decrease of ~0.006 mg/mL over 24 months, within specification throughout) were attributed to oxidation of polysorbate in the presence of residual peroxides and are not considered adverse. The rate of change in all other attributes is indistinguishable between DS and DP.</w:t>
      </w:r>
    </w:p>
    <w:p>
      <w:r>
        <w:br w:type="page"/>
      </w:r>
    </w:p>
    <w:p>
      <w:pPr>
        <w:pStyle w:val="Heading1"/>
      </w:pPr>
      <w:r>
        <w:rPr>
          <w:rFonts w:ascii="Arial" w:cs="Arial" w:eastAsia="Arial" w:hAnsi="Arial"/>
          <w:b/>
          <w:bCs/>
          <w:sz w:val="32"/>
          <w:szCs w:val="32"/>
        </w:rPr>
        <w:t xml:space="preserve">6. CONCLUSIONS AND PROPOSED LABELING</w:t>
      </w:r>
    </w:p>
    <w:p>
      <w:pPr>
        <w:pBdr>
          <w:bottom w:val="single" w:color="1A5C4B" w:sz="6" w:space="1"/>
        </w:pBdr>
        <w:spacing w:after="240"/>
      </w:pPr>
    </w:p>
    <w:p>
      <w:pPr>
        <w:pStyle w:val="Heading2"/>
      </w:pPr>
      <w:r>
        <w:rPr>
          <w:rFonts w:ascii="Arial" w:cs="Arial" w:eastAsia="Arial" w:hAnsi="Arial"/>
          <w:b/>
          <w:bCs/>
          <w:sz w:val="26"/>
          <w:szCs w:val="26"/>
        </w:rPr>
        <w:t xml:space="preserve">6.1 Drug Substance Shelf Life</w:t>
      </w:r>
    </w:p>
    <w:p>
      <w:pPr>
        <w:pStyle w:val="ListParagraph"/>
        <w:numPr>
          <w:ilvl w:val="0"/>
          <w:numId w:val="2"/>
        </w:numPr>
        <w:spacing w:after="100"/>
      </w:pPr>
      <w:r>
        <w:rPr>
          <w:rFonts w:ascii="Arial" w:cs="Arial" w:eastAsia="Arial" w:hAnsi="Arial"/>
          <w:sz w:val="20"/>
          <w:szCs w:val="20"/>
        </w:rPr>
        <w:t xml:space="preserve">Proposed shelf life: 24 months at 2-8 deg C (refrigerated; do not freeze)</w:t>
      </w:r>
    </w:p>
    <w:p>
      <w:pPr>
        <w:pStyle w:val="ListParagraph"/>
        <w:numPr>
          <w:ilvl w:val="0"/>
          <w:numId w:val="2"/>
        </w:numPr>
        <w:spacing w:after="100"/>
      </w:pPr>
      <w:r>
        <w:rPr>
          <w:rFonts w:ascii="Arial" w:cs="Arial" w:eastAsia="Arial" w:hAnsi="Arial"/>
          <w:sz w:val="20"/>
          <w:szCs w:val="20"/>
        </w:rPr>
        <w:t xml:space="preserve">Alternative storage: &lt;= -70 deg C for long-term bulk DS storage with &lt;= 3 freeze-thaw cycles permitted</w:t>
      </w:r>
    </w:p>
    <w:p>
      <w:pPr>
        <w:pStyle w:val="ListParagraph"/>
        <w:numPr>
          <w:ilvl w:val="0"/>
          <w:numId w:val="2"/>
        </w:numPr>
        <w:spacing w:after="100"/>
      </w:pPr>
      <w:r>
        <w:rPr>
          <w:rFonts w:ascii="Arial" w:cs="Arial" w:eastAsia="Arial" w:hAnsi="Arial"/>
          <w:sz w:val="20"/>
          <w:szCs w:val="20"/>
        </w:rPr>
        <w:t xml:space="preserve">Supported by: 24-month real-time stability data from 6 batches; accelerated data consistent with Arrhenius prediction of &gt; 28 months at 2-8 deg C</w:t>
      </w:r>
    </w:p>
    <w:p>
      <w:pPr>
        <w:pStyle w:val="ListParagraph"/>
        <w:numPr>
          <w:ilvl w:val="0"/>
          <w:numId w:val="2"/>
        </w:numPr>
        <w:spacing w:after="100"/>
      </w:pPr>
      <w:r>
        <w:rPr>
          <w:rFonts w:ascii="Arial" w:cs="Arial" w:eastAsia="Arial" w:hAnsi="Arial"/>
          <w:sz w:val="20"/>
          <w:szCs w:val="20"/>
        </w:rPr>
        <w:t xml:space="preserve">Photostability: cervimab DS is photosensitive; store in original container, protected from light</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6.2 Drug Product Shelf Life</w:t>
      </w:r>
    </w:p>
    <w:p>
      <w:pPr>
        <w:pStyle w:val="ListParagraph"/>
        <w:numPr>
          <w:ilvl w:val="0"/>
          <w:numId w:val="2"/>
        </w:numPr>
        <w:spacing w:after="100"/>
      </w:pPr>
      <w:r>
        <w:rPr>
          <w:rFonts w:ascii="Arial" w:cs="Arial" w:eastAsia="Arial" w:hAnsi="Arial"/>
          <w:sz w:val="20"/>
          <w:szCs w:val="20"/>
        </w:rPr>
        <w:t xml:space="preserve">Proposed shelf life: 24 months at 2-8 deg C (refrigerated; do not freeze)</w:t>
      </w:r>
    </w:p>
    <w:p>
      <w:pPr>
        <w:pStyle w:val="ListParagraph"/>
        <w:numPr>
          <w:ilvl w:val="0"/>
          <w:numId w:val="2"/>
        </w:numPr>
        <w:spacing w:after="100"/>
      </w:pPr>
      <w:r>
        <w:rPr>
          <w:rFonts w:ascii="Arial" w:cs="Arial" w:eastAsia="Arial" w:hAnsi="Arial"/>
          <w:sz w:val="20"/>
          <w:szCs w:val="20"/>
        </w:rPr>
        <w:t xml:space="preserve">In-use stability: diluted solution (0.9% NaCl, 1-10 mg/mL) is stable for 24 hours at 2-8 deg C or 8 hours at 25 deg C (room temperature); do not store diluted product beyond these time limits</w:t>
      </w:r>
    </w:p>
    <w:p>
      <w:pPr>
        <w:pStyle w:val="ListParagraph"/>
        <w:numPr>
          <w:ilvl w:val="0"/>
          <w:numId w:val="2"/>
        </w:numPr>
        <w:spacing w:after="100"/>
      </w:pPr>
      <w:r>
        <w:rPr>
          <w:rFonts w:ascii="Arial" w:cs="Arial" w:eastAsia="Arial" w:hAnsi="Arial"/>
          <w:sz w:val="20"/>
          <w:szCs w:val="20"/>
        </w:rPr>
        <w:t xml:space="preserve">Compatible diluents: 0.9% Sodium Chloride Injection, USP (normal saline); D5W is NOT compatible</w:t>
      </w:r>
    </w:p>
    <w:p>
      <w:pPr>
        <w:pStyle w:val="ListParagraph"/>
        <w:numPr>
          <w:ilvl w:val="0"/>
          <w:numId w:val="2"/>
        </w:numPr>
        <w:spacing w:after="100"/>
      </w:pPr>
      <w:r>
        <w:rPr>
          <w:rFonts w:ascii="Arial" w:cs="Arial" w:eastAsia="Arial" w:hAnsi="Arial"/>
          <w:sz w:val="20"/>
          <w:szCs w:val="20"/>
        </w:rPr>
        <w:t xml:space="preserve">Compatible containers: PVC and non-PVC IV bags and infusion sets</w:t>
      </w:r>
    </w:p>
    <w:p>
      <w:pPr>
        <w:pStyle w:val="ListParagraph"/>
        <w:numPr>
          <w:ilvl w:val="0"/>
          <w:numId w:val="2"/>
        </w:numPr>
        <w:spacing w:after="100"/>
      </w:pPr>
      <w:r>
        <w:rPr>
          <w:rFonts w:ascii="Arial" w:cs="Arial" w:eastAsia="Arial" w:hAnsi="Arial"/>
          <w:sz w:val="20"/>
          <w:szCs w:val="20"/>
        </w:rPr>
        <w:t xml:space="preserve">Photostability: store in outer carton until time of use; administer within 8 hours of preparation if stored at 25 deg C</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6.3 Proposed Labeling Statement</w:t>
      </w:r>
    </w:p>
    <w:p>
      <w:pPr>
        <w:spacing w:after="160" w:line="276"/>
        <w:jc w:val="left"/>
      </w:pPr>
      <w:r>
        <w:rPr>
          <w:rFonts w:ascii="Arial" w:cs="Arial" w:eastAsia="Arial" w:hAnsi="Arial"/>
          <w:b w:val="false"/>
          <w:bCs w:val="false"/>
          <w:i/>
          <w:iCs/>
          <w:color w:val="000000"/>
          <w:sz w:val="20"/>
          <w:szCs w:val="20"/>
        </w:rPr>
        <w:t xml:space="preserve">Store CERVIMAB at 2 degrees C to 8 degrees C (36 degrees F to 46 degrees F) in original carton until time of use to protect from light. Do not freeze or shake. Discard vial if frozen. After dilution, the infusion solution may be stored for up to 24 hours at 2 degrees C to 8 degrees C or for up to 8 hours at room temperature (up to 25 degrees C/77 degrees F), including infusion time. Discard any unused portion remaining in the vial.</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6.4 Commitment to Continue Stability Studies</w:t>
      </w:r>
    </w:p>
    <w:p>
      <w:pPr>
        <w:spacing w:after="160" w:line="276"/>
        <w:jc w:val="left"/>
      </w:pPr>
      <w:r>
        <w:rPr>
          <w:rFonts w:ascii="Arial" w:cs="Arial" w:eastAsia="Arial" w:hAnsi="Arial"/>
          <w:b w:val="false"/>
          <w:bCs w:val="false"/>
          <w:i w:val="false"/>
          <w:iCs w:val="false"/>
          <w:color w:val="000000"/>
          <w:sz w:val="20"/>
          <w:szCs w:val="20"/>
        </w:rPr>
        <w:t xml:space="preserve">Ongoing stability studies will continue through the proposed shelf life period and beyond, per the FDA and ICH commitments made at time of initial BLA submission. Annual stability reports will be submitted to the BLA. If any out-of-specification or unexpected trends are observed, an immediate notification will be filed with FDA per 21 CFR 314.81.</w:t>
      </w:r>
    </w:p>
    <w:p>
      <w:pPr>
        <w:spacing w:after="160" w:line="276"/>
        <w:jc w:val="left"/>
      </w:pPr>
      <w:r>
        <w:rPr>
          <w:rFonts w:ascii="Arial" w:cs="Arial" w:eastAsia="Arial" w:hAnsi="Arial"/>
          <w:b w:val="false"/>
          <w:bCs w:val="false"/>
          <w:i w:val="false"/>
          <w:iCs w:val="false"/>
          <w:color w:val="000000"/>
          <w:sz w:val="20"/>
          <w:szCs w:val="20"/>
        </w:rPr>
        <w:t xml:space="preserve"/>
      </w:r>
    </w:p>
    <w:p>
      <w:pPr>
        <w:spacing w:after="160" w:line="276"/>
        <w:jc w:val="left"/>
      </w:pPr>
      <w:r>
        <w:rPr>
          <w:rFonts w:ascii="Arial" w:cs="Arial" w:eastAsia="Arial" w:hAnsi="Arial"/>
          <w:b w:val="false"/>
          <w:bCs w:val="false"/>
          <w:i w:val="false"/>
          <w:iCs w:val="false"/>
          <w:color w:val="000000"/>
          <w:sz w:val="20"/>
          <w:szCs w:val="20"/>
        </w:rPr>
        <w:t xml:space="preserve">Stability studies are governed by the approved Stability Protocol (SP-CVM-001) and conducted in compliance with GMP and applicable FDA/ICH guidelines.</w:t>
      </w:r>
    </w:p>
    <w:p>
      <w:r>
        <w:br w:type="page"/>
      </w:r>
    </w:p>
    <w:p>
      <w:pPr>
        <w:pStyle w:val="Heading1"/>
      </w:pPr>
      <w:r>
        <w:rPr>
          <w:rFonts w:ascii="Arial" w:cs="Arial" w:eastAsia="Arial" w:hAnsi="Arial"/>
          <w:b/>
          <w:bCs/>
          <w:sz w:val="32"/>
          <w:szCs w:val="32"/>
        </w:rPr>
        <w:t xml:space="preserve">7. APPROVALS</w:t>
      </w:r>
    </w:p>
    <w:p>
      <w:pPr>
        <w:pBdr>
          <w:bottom w:val="single" w:color="1A5C4B"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Role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Name / Title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Signature / Date</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Prepared By</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Scientist, Formulation &amp; Stability, CerviGen Therapeutics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Reviewed By</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Analytical Development, CerviGen Therapeutics</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Reviewed By</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Vice President, CMC Regulatory Affairs, CerviGen Therapeutics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Approved By</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Chief Scientific Officer, CerviGen Therapeutics</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4B" w:sz="4" w:space="1"/>
      </w:pBdr>
      <w:tabs>
        <w:tab w:val="right" w:pos="9026"/>
      </w:tabs>
      <w:spacing w:before="80"/>
    </w:pPr>
    <w:r>
      <w:rPr>
        <w:rFonts w:ascii="Arial" w:cs="Arial" w:eastAsia="Arial" w:hAnsi="Arial"/>
        <w:color w:val="888888"/>
        <w:sz w:val="16"/>
        <w:szCs w:val="16"/>
      </w:rPr>
      <w:t xml:space="preserve">SLD-001 | Version 1.0 | March 2026</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4B" w:sz="6" w:space="1"/>
      </w:pBdr>
      <w:tabs>
        <w:tab w:val="right" w:pos="9026"/>
      </w:tabs>
      <w:spacing w:after="120"/>
    </w:pPr>
    <w:r>
      <w:rPr>
        <w:rFonts w:ascii="Arial" w:cs="Arial" w:eastAsia="Arial" w:hAnsi="Arial"/>
        <w:b/>
        <w:bCs/>
        <w:color w:val="1F3864"/>
        <w:sz w:val="18"/>
        <w:szCs w:val="18"/>
      </w:rPr>
      <w:t xml:space="preserve">CERVIMAB - Shelf Life Determination Report SLD-001</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C4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5FA3"/>
      <w:sz w:val="22"/>
      <w:szCs w:val="22"/>
    </w:rPr>
  </w:style>
  <w:style w:type="paragraph" w:styleId="Heading4">
    <w:name w:val="Heading 4"/>
    <w:basedOn w:val="Normal"/>
    <w:next w:val="Normal"/>
    <w:qFormat/>
    <w:pPr>
      <w:spacing w:before="160" w:after="100"/>
      <w:outlineLvl w:val="3"/>
    </w:pPr>
    <w:rPr>
      <w:rFonts w:ascii="Arial" w:cs="Arial" w:eastAsia="Arial" w:hAnsi="Arial"/>
      <w:b/>
      <w:bCs/>
      <w:i/>
      <w:i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2026-03-16T14:34:36.773Z</dcterms:created>
  <dcterms:modified xsi:type="dcterms:W3CDTF">2026-03-16T14:34:36.774Z</dcterms:modified>
</cp:coreProperties>
</file>

<file path=docProps/custom.xml><?xml version="1.0" encoding="utf-8"?>
<Properties xmlns="http://schemas.openxmlformats.org/officeDocument/2006/custom-properties" xmlns:vt="http://schemas.openxmlformats.org/officeDocument/2006/docPropsVTypes"/>
</file>