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pBdr>
          <w:bottom w:val="single" w:color="2E75B6" w:sz="12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CONFIDENTIAL — FOR REGULATORY PURPOSES ONLY</w:t>
      </w:r>
    </w:p>
    <w:p>
      <w:pPr>
        <w:spacing w:before="0" w:after="80"/>
      </w:pP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Nexagen Biotherapeutics, Inc.</w:t>
      </w:r>
    </w:p>
    <w:p>
      <w:pPr>
        <w:spacing w:before="0" w:after="80"/>
      </w:pP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CERVIMAB (cerviximab-dryx)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PD-1 Inhibitor for dMMR/MSI-H Metastatic Colorectal Cancer</w:t>
      </w: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ONCOLOGIC DRUGS ADVISORY COMMITTEE (ODAC) BRIEFING DOCUMENT
NDA 761XXX — Meeting Date: November 1, 2024</w:t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Version: 1.0 — Final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Date: October 4, 2024</w:t>
      </w:r>
    </w:p>
    <w:p>
      <w:pPr>
        <w:spacing w:before="0" w:after="80"/>
      </w:pP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IND Number: IND 123456  |  NDA Number: NDA 761XXX</w:t>
      </w:r>
    </w:p>
    <w:p>
      <w:pPr>
        <w:pBdr>
          <w:top w:val="single" w:color="2E75B6" w:sz="12"/>
        </w:pBdr>
        <w:spacing w:before="200" w:after="0"/>
        <w:jc w:val="center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 AND PURPOSE OF THIS DOCUMENT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Nexagen Biotherapeutics, Inc. submits this Briefing Document to the Oncologic Drugs Advisory Committee (ODAC) in support of NDA 761XXX for CERVIMAB (cerviximab-dryx) for the treatment of adult patients with unresectable or metastatic mismatch repair deficient (dMMR) or microsatellite instability-high (MSI-H) colorectal cancer (CRC) that has progressed following treatment with fluoropyrimidine-, oxaliplatin-, and irinotecan-based chemotherapy.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Committee is asked to consider whether the efficacy and safety data from the Phase 3 CERV-301 trial, in the context of the unmet need in this patient population, support a favorable benefit-risk assessment for CERVIMAB in this indication.</w:t>
      </w:r>
    </w:p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DISEASE BACKGROUND AND UNMET NEED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Colorectal Cancer Epidemiology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Colorectal cancer (CRC) is the third most common cancer and the second leading cause of cancer-related mortality in the United States, with an estimated 154,270 new cases and 52,180 deaths in 2023 (Siegel et al., 2023). Approximately 50% of patients ultimately develop metastatic disease, for which 5-year survival remains poor (~15%).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dMMR/MSI-H as a Distinct Molecular Subtype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Approximately 3.5–5% of mCRC tumors harbor dMMR/MSI-H status, representing approximately 5,000–7,000 patients per year in the United States. dMMR/MSI-H tumors are characterized by defects in the mismatch repair (MMR) system, resulting in high somatic mutation burden and neoantigen load — the molecular basis for immunotherapy responsiveness.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the first-line setting, pembrolizumab (KEYNOTE-177) has demonstrated superiority to chemotherapy in dMMR/MSI-H mCRC. However, following progression on or after first-line PD-1/PD-L1 therapy and standard chemotherapy, no approved immune checkpoint inhibitor therapy exists for this molecularly-defined population, representing a critical unmet medical need.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Current Standard of Care in Third-Line+ dMMR/MSI-H mCRC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Following progression on standard first- and second-line therapy (fluoropyrimidine/oxaliplatin + bevacizumab or cetuximab; irinotecan-based regimen), the standard of care consists of regorafenib or TAS-102 (trifluridine/tipiracil), both of which provide only modest clinical benefit (median OS ~7-9 months; ORR &lt;5%) and are associated with significant toxicity. Clinical outcomes are substantially worse in dMMR/MSI-H patients who have progressed on prior PD-1 therapy, reflecting both primary and acquired resistance mechanisms.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CERVIMAB: MECHANISM OF ACTION AND PRECLINICAL PROFILE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Mechanism of Action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Cerviximab-dryx (CERVIMAB) is a fully human IgG4 monoclonal antibody that binds to the programmed death-1 (PD-1) receptor on T cells, blocking the interaction between PD-1 and its ligands PD-L1 and PD-L2. This blockade releases PD-1 pathway-mediated inhibition of T cell function, restoring anti-tumor immune activity.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CERVIMAB is distinguished from marketed PD-1 inhibitors by a novel Fc-engineered variant (S228P stabilization mutation) and binding domain optimized for sub-nanomolar affinity (KD &lt; 0.2 nM) with reduced off-rate kinetics, resulting in sustained receptor occupancy in the tumor microenvironment at doses as low as 200 mg Q3W.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Summary of Preclinical and Phase 1/2 Data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1 dose-escalation (Study CERV-101; N=68) established the recommended Phase 2 dose (RP2D) of 200 mg Q3W IV. The Phase 2 basket study (CERV-201; N=124) demonstrated an ORR of 38.7% (95% CI: 29.9–48.0%) in dMMR/MSI-H mCRC patients, supporting advancement to Phase 3. PK/PD modeling confirmed target receptor occupancy &gt;97% at trough at 200 mg Q3W.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3 STUDY CERV-301: DESIGN AND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Study Feature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Design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Randomized, open-label, multicenter, Phase 3 study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Population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Adults with dMMR/MSI-H mCRC (IHC and/or PCR confirmed); ECOG PS 0-2; ≥2 prior lines of therapy (fluoropyrimidine, oxaliplatin, irinotecan)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Randomization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1:1; CERVIMAB 200 mg Q3W IV vs. investigator's choice chemotherapy (regorafenib 160 mg D1-21 Q28D OR TAS-102 35 mg/m² BID D1-5, D8-12 Q28D)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Sample Size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360 patients (180 per arm); 80% power to detect HR 0.65 in PFS at 2-sided α=0.01 (Bonferroni-adjusted)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Endpoint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Progression-free survival (PFS) per BICR (RECIST 1.1)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Secondary Endpoints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Overall survival (OS); Objective response rate (ORR) per BICR; Duration of response (DoR); Disease control rate (DCR); Safety and tolerability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Stratification Factors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 anti-PD-1/L1 therapy (yes/no); ECOG PS (0-1 vs. 2); Geographic region (NA/EU vs. Rest of World)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Sites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142 investigative sites across 18 countries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Enrollment Period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September 2020 – October 2022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PFS Data Cutoff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March 31, 2023</w:t>
            </w:r>
          </w:p>
        </w:tc>
      </w:tr>
    </w:tbl>
    <w:p>
      <w:pPr>
        <w:spacing w:before="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EFFICACY RESULTS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Primary Endpoint: Progression-Free Survival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endpoint analysis demonstrated a statistically significant and clinically meaningful improvement in PFS with CERVIMAB vs. ICC (Table 5.1). The Kaplan-Meier estimate of median PFS was 16.5 months for CERVIMAB vs. 5.4 months for ICC, with a hazard ratio of 0.43 (95% CI: 0.35–0.53; p&lt;0.0001).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PFS Parameter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CERVIMAB (N=180)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ICC (N=180)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PFS events, n (%)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132 (73.3%)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162 (90.0%)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Median PFS (months, 95% CI)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16.5 (13.2–21.4)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5.4 (3.9–7.1)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Hazard Ratio (95% CI)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0.43 (0.35–0.53)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Stratified log-rank p-value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&lt;0.0001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6-month PFS rate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62.3% (55.1–68.8%)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28.4% (22.1–35.0%)</w:t>
            </w:r>
          </w:p>
        </w:tc>
      </w:tr>
      <w:tr>
        <w:tc>
          <w:tcPr>
            <w:tcW w:type="dxa" w:w="4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12-month PFS rate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41.8% (34.7–48.7%)</w:t>
            </w:r>
          </w:p>
        </w:tc>
        <w:tc>
          <w:tcPr>
            <w:tcW w:type="dxa" w:w="2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8.3% (4.7–13.4%)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Secondary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CERVIMAB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ICC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ORR (BICR, RECIST 1.1)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41.1% (95% CI: 33.9–48.6%)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5.6% (95% CI: 2.8–9.8%)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Complete Response Rate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8.3%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0.6%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Partial Response Rate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32.8%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5.0%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Disease Control Rate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68.3%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40.6%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Median DoR (months)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NR (95% CI: 15.8–NE)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5.1 (3.9–7.2)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OS (interim, 32% events)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 0.71 (95% CI: 0.52–0.97)</w:t>
            </w:r>
          </w:p>
        </w:tc>
        <w:tc>
          <w:tcPr>
            <w:tcW w:type="dxa" w:w="31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Reference (p=0.032, ns at interim)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SAFETY RESULTS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Overall Safety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Safety Parameter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CERVIMAB (N=179)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ICC (N=177)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TRAE, n (%)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156 (87.2%)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163 (92.1%)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 3-4 TRAE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62 (34.6%)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94 (53.1%)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 5 TRAE (fatal)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(1.7%)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(2.8%)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TRAE leading to discontinuation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 (11.7%)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 (17.5%)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Immune-mediated AEs (any grade)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78 (43.6%)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(3.4%)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Immune-mediated AEs, Grade 3-4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 (17.3%)</w:t>
            </w:r>
          </w:p>
        </w:tc>
        <w:tc>
          <w:tcPr>
            <w:tcW w:type="dxa" w:w="27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(0.6%)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Immune-Mediated Adverse Events of Special Interest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Immune-mediated AEs (imAEs) are a known class effect of PD-1 inhibitors. In CERV-301, the most common imAEs by category were: hypothyroidism (12.8%), immune-mediated pneumonitis (8.4%), immune-mediated hepatitis (6.7%), immune-mediated colitis (5.6%), and skin toxicity (pruritus/rash) (14.5%). Grade 3-4 immune-mediated pneumonitis occurred in 2.8% of patients. Three fatal imAEs were observed: 2 cases of immune-mediated pneumonitis and 1 case of immune-mediated hepatic failure. All three fatal cases occurred in patients who experienced delayed medical evaluation (&gt;14 days from symptom onset). This finding underpins the REMS requirements for early recognition and management education.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BENEFIT-RISK ASSESSMENT AND COMMITTEE QUESTIONS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Summary Benefit-Risk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Assessment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Analysis of Condition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Unresectable/metastatic dMMR/MSI-H CRC post-chemotherapy failure: fatal disease with median OS ~7-9 months on available therapy; no approved immunotherapy option in this setting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Treatment Options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Regorafenib and TAS-102: modest benefit, significant toxicity, no durable responses; high unmet need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Benefits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Statistically significant PFS benefit (HR 0.43; median 16.5 vs. 5.4 months); ORR 41.1%; durable responses (median DoR NR); OS trend favorable; consistent across subgroups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Risks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Immune-mediated AEs (class effect); Grade 3-4 imAEs 17.3%; 3 fatal imAEs (1.7%); manageable with corticosteroids and immune-modulating therapy if detected early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Risk Management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Proposed REMS: HCP education on early recognition/management of imAEs; patient education; monitoring requirements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Overall B/R</w:t>
            </w:r>
          </w:p>
        </w:tc>
        <w:tc>
          <w:tcPr>
            <w:tcW w:type="dxa" w:w="7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FAVORABLE: magnitude of clinical benefit substantially outweighs risks in this molecularly-defined, poor-prognosis population with no viable immunotherapy options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Questions for the Advisory Committee</w:t>
      </w:r>
    </w:p>
    <w:p>
      <w:pPr>
        <w:spacing w:before="80"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FDA requests the Committee address the following questions: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Has the Sponsor adequately demonstrated the efficacy of CERVIMAB based on the PFS results from CERV-301 (HR 0.43; p&lt;0.0001)? If so, do the results represent a clinically meaningful benefit in the context of dMMR/MSI-H mCRC?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Is the safety profile of CERVIMAB, in particular the incidence and severity of immune-mediated adverse events, acceptable given the clinical benefit observed? Are there specific safety concerns that require additional evaluation or labeling?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Does the proposed REMS adequately mitigate the risks associated with immune-mediated AEs? Are there additional risk mitigation measures the Committee recommends?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context of the immature OS data at the time of NDA filing (32% events), does the Committee consider the totality of evidence (PFS, ORR, DoR, OS trend) sufficient to support a benefit-risk determination, or should full OS maturity be required prior to approval?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Are there specific post-marketing study commitments the Committee recommends to further characterize the long-term safety and efficacy of CERVIMAB?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FOR REGULATORY PURPOSES ONLY</w:t>
    </w:r>
    <w:r>
      <w:rPr>
        <w:rFonts w:ascii="Arial" w:cs="Arial" w:eastAsia="Arial" w:hAnsi="Arial"/>
        <w:sz w:val="16"/>
        <w:szCs w:val="16"/>
      </w:rPr>
      <w:t xml:space="preserve">	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  <w:spacing w:before="0" w:after="60"/>
    </w:pPr>
    <w:r>
      <w:rPr>
        <w:rFonts w:ascii="Arial" w:cs="Arial" w:eastAsia="Arial" w:hAnsi="Arial"/>
        <w:color w:val="2E75B6"/>
        <w:sz w:val="17"/>
        <w:szCs w:val="17"/>
      </w:rPr>
      <w:t xml:space="preserve">CERVIMAB (anti-PD-1) | dMMR/MSI-H mCRC</w:t>
    </w:r>
    <w:r>
      <w:rPr>
        <w:rFonts w:ascii="Arial" w:cs="Arial" w:eastAsia="Arial" w:hAnsi="Arial"/>
        <w:color w:val="777777"/>
        <w:sz w:val="17"/>
        <w:szCs w:val="17"/>
      </w:rPr>
      <w:t xml:space="preserve">	ODAC Briefing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2026-03-16T14:13:56.668Z</dcterms:created>
  <dcterms:modified xsi:type="dcterms:W3CDTF">2026-03-16T14:13:56.668Z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