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p>
    <w:p>
      <w:pPr>
        <w:spacing w:before="0" w:after="80"/>
      </w:pPr>
    </w:p>
    <w:p>
      <w:pPr>
        <w:spacing w:before="0" w:after="80"/>
      </w:pPr>
    </w:p>
    <w:p>
      <w:pPr>
        <w:spacing w:before="0" w:after="80"/>
      </w:pPr>
    </w:p>
    <w:p>
      <w:pPr>
        <w:pBdr>
          <w:bottom w:val="single" w:color="2E75B6" w:sz="12"/>
        </w:pBdr>
        <w:spacing w:before="0" w:after="240"/>
        <w:jc w:val="center"/>
      </w:pPr>
      <w:r>
        <w:rPr>
          <w:rFonts w:ascii="Arial" w:cs="Arial" w:eastAsia="Arial" w:hAnsi="Arial"/>
          <w:b/>
          <w:bCs/>
          <w:color w:val="2E75B6"/>
          <w:sz w:val="18"/>
          <w:szCs w:val="18"/>
        </w:rPr>
        <w:t xml:space="preserve">CONFIDENTIAL — FOR REGULATORY PURPOSES ONLY</w:t>
      </w:r>
    </w:p>
    <w:p>
      <w:pPr>
        <w:spacing w:before="0" w:after="80"/>
      </w:pPr>
    </w:p>
    <w:p>
      <w:pPr>
        <w:spacing w:before="0" w:after="80"/>
      </w:pPr>
    </w:p>
    <w:p>
      <w:pPr>
        <w:jc w:val="center"/>
      </w:pPr>
      <w:r>
        <w:rPr>
          <w:rFonts w:ascii="Arial" w:cs="Arial" w:eastAsia="Arial" w:hAnsi="Arial"/>
          <w:b/>
          <w:bCs/>
          <w:color w:val="444444"/>
          <w:sz w:val="22"/>
          <w:szCs w:val="22"/>
        </w:rPr>
        <w:t xml:space="preserve">Nexagen Biotherapeutics, Inc.</w:t>
      </w:r>
    </w:p>
    <w:p>
      <w:pPr>
        <w:spacing w:before="0" w:after="80"/>
      </w:pPr>
    </w:p>
    <w:p>
      <w:pPr>
        <w:spacing w:before="80" w:after="200"/>
        <w:jc w:val="center"/>
      </w:pPr>
      <w:r>
        <w:rPr>
          <w:rFonts w:ascii="Arial" w:cs="Arial" w:eastAsia="Arial" w:hAnsi="Arial"/>
          <w:b/>
          <w:bCs/>
          <w:color w:val="1F4E79"/>
          <w:sz w:val="40"/>
          <w:szCs w:val="40"/>
        </w:rPr>
        <w:t xml:space="preserve">CERVIMAB (cerviximab-dryx)</w:t>
      </w:r>
    </w:p>
    <w:p>
      <w:pPr>
        <w:spacing w:before="0" w:after="320"/>
        <w:jc w:val="center"/>
      </w:pPr>
      <w:r>
        <w:rPr>
          <w:rFonts w:ascii="Arial" w:cs="Arial" w:eastAsia="Arial" w:hAnsi="Arial"/>
          <w:color w:val="2E75B6"/>
          <w:sz w:val="26"/>
          <w:szCs w:val="26"/>
        </w:rPr>
        <w:t xml:space="preserve">PD-1 Inhibitor for dMMR/MSI-H Metastatic Colorectal Cancer</w:t>
      </w:r>
    </w:p>
    <w:p>
      <w:pPr>
        <w:spacing w:before="0" w:after="80"/>
      </w:pPr>
    </w:p>
    <w:p>
      <w:pPr>
        <w:jc w:val="center"/>
      </w:pPr>
      <w:r>
        <w:rPr>
          <w:rFonts w:ascii="Arial" w:cs="Arial" w:eastAsia="Arial" w:hAnsi="Arial"/>
          <w:b/>
          <w:bCs/>
          <w:color w:val="555555"/>
          <w:sz w:val="22"/>
          <w:szCs w:val="22"/>
        </w:rPr>
        <w:t xml:space="preserve">RISK EVALUATION AND MITIGATION STRATEGY (REMS) PROPOSAL
Revised Submission in Response to Complete Response Letter
NDA 761XXX — Module 1.11</w:t>
      </w:r>
    </w:p>
    <w:p>
      <w:pPr>
        <w:spacing w:before="0" w:after="80"/>
      </w:pPr>
    </w:p>
    <w:p>
      <w:pPr>
        <w:spacing w:before="0" w:after="80"/>
      </w:pPr>
    </w:p>
    <w:p>
      <w:pPr>
        <w:spacing w:before="0" w:after="80"/>
      </w:pPr>
    </w:p>
    <w:p>
      <w:pPr>
        <w:jc w:val="center"/>
      </w:pPr>
      <w:r>
        <w:rPr>
          <w:rFonts w:ascii="Arial" w:cs="Arial" w:eastAsia="Arial" w:hAnsi="Arial"/>
          <w:sz w:val="20"/>
          <w:szCs w:val="20"/>
        </w:rPr>
        <w:t xml:space="preserve">Version: 2.0 — Revised per CRL</w:t>
      </w:r>
    </w:p>
    <w:p>
      <w:pPr>
        <w:jc w:val="center"/>
      </w:pPr>
      <w:r>
        <w:rPr>
          <w:rFonts w:ascii="Arial" w:cs="Arial" w:eastAsia="Arial" w:hAnsi="Arial"/>
          <w:sz w:val="20"/>
          <w:szCs w:val="20"/>
        </w:rPr>
        <w:t xml:space="preserve">Date: March 16, 2026</w:t>
      </w:r>
    </w:p>
    <w:p>
      <w:pPr>
        <w:spacing w:before="0" w:after="80"/>
      </w:pPr>
    </w:p>
    <w:p>
      <w:pPr>
        <w:spacing w:before="0" w:after="80"/>
      </w:pPr>
    </w:p>
    <w:p>
      <w:pPr>
        <w:jc w:val="center"/>
      </w:pPr>
      <w:r>
        <w:rPr>
          <w:rFonts w:ascii="Arial" w:cs="Arial" w:eastAsia="Arial" w:hAnsi="Arial"/>
          <w:color w:val="555555"/>
          <w:sz w:val="19"/>
          <w:szCs w:val="19"/>
        </w:rPr>
        <w:t xml:space="preserve">IND Number: IND 123456  |  NDA Number: NDA 761XXX</w:t>
      </w:r>
    </w:p>
    <w:p>
      <w:pPr>
        <w:pBdr>
          <w:top w:val="single" w:color="2E75B6" w:sz="12"/>
        </w:pBdr>
        <w:spacing w:before="200" w:after="0"/>
        <w:jc w:val="center"/>
      </w:pPr>
      <w:r>
        <w:rPr>
          <w:sz w:val="20"/>
          <w:szCs w:val="20"/>
        </w:rPr>
        <w:t xml:space="preserve"/>
      </w:r>
    </w:p>
    <w:p>
      <w:r>
        <w:br w:type="page"/>
      </w:r>
    </w:p>
    <w:p>
      <w:pPr>
        <w:pStyle w:val="Heading1"/>
        <w:spacing w:before="320" w:after="120"/>
      </w:pPr>
      <w:r>
        <w:rPr>
          <w:rFonts w:ascii="Arial" w:cs="Arial" w:eastAsia="Arial" w:hAnsi="Arial"/>
          <w:b/>
          <w:bCs/>
          <w:color w:val="1F4E79"/>
          <w:sz w:val="36"/>
          <w:szCs w:val="36"/>
        </w:rPr>
        <w:t xml:space="preserve">1. EXECUTIVE SUMMARY</w:t>
      </w:r>
    </w:p>
    <w:p>
      <w:pPr>
        <w:spacing w:before="80" w:after="120" w:line="276"/>
        <w:jc w:val="both"/>
      </w:pPr>
      <w:r>
        <w:rPr>
          <w:rFonts w:ascii="Arial" w:cs="Arial" w:eastAsia="Arial" w:hAnsi="Arial"/>
          <w:b w:val="false"/>
          <w:bCs w:val="false"/>
          <w:i w:val="false"/>
          <w:iCs w:val="false"/>
          <w:color w:val="000000"/>
          <w:sz w:val="20"/>
          <w:szCs w:val="20"/>
        </w:rPr>
        <w:t xml:space="preserve">Nexagen Biotherapeutics, Inc. (the Sponsor) submits this revised Risk Evaluation and Mitigation Strategy (REMS) Proposal for CERVIMAB (cerviximab-dryx) in response to FDA's Complete Response Letter (CRL) deficiency regarding the adequacy of the initial REMS proposal. This revised REMS has been substantially redesigned in response to FDA's feedback and is consistent with existing PD-1/PD-L1 inhibitor REMS frameworks where applicable.</w:t>
      </w:r>
    </w:p>
    <w:p>
      <w:pPr>
        <w:spacing w:before="80" w:after="120" w:line="276"/>
        <w:jc w:val="both"/>
      </w:pPr>
      <w:r>
        <w:rPr>
          <w:rFonts w:ascii="Arial" w:cs="Arial" w:eastAsia="Arial" w:hAnsi="Arial"/>
          <w:b w:val="false"/>
          <w:bCs w:val="false"/>
          <w:i w:val="false"/>
          <w:iCs w:val="false"/>
          <w:color w:val="000000"/>
          <w:sz w:val="20"/>
          <w:szCs w:val="20"/>
        </w:rPr>
        <w:t xml:space="preserve">The primary risks addressed by this REMS are serious and potentially fatal immune-mediated adverse events (imAEs), particularly immune-mediated pneumonitis, immune-mediated hepatitis, and immune-mediated colitis, which require early recognition and prompt management by trained oncology healthcare providers. The REMS does not include a restricted distribution program (ETASU) given the established oncology prescribing infrastructure and the availability of management guidance through the proposed HCP training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REMS Component</w:t>
            </w:r>
          </w:p>
        </w:tc>
        <w:tc>
          <w:tcPr>
            <w:tcW w:type="dxa" w:w="63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Summary</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Goal</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Inform HCPs about the serious risks of immune-mediated AEs; ensure patients receive timely and accurate information about these risks and the importance of early reporting</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Elements</w:t>
            </w:r>
          </w:p>
        </w:tc>
        <w:tc>
          <w:tcPr>
            <w:tcW w:type="dxa" w:w="6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Medication Guide; Communication Plan (HCP-targeted); HCP Training and Education Program (voluntary); REMS Assessment Program</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No ETASU Required</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The Sponsor and FDA have agreed (per March 5, 2026 teleconference) that a Medication Guide and Communication Plan are sufficient without restricted distribution or other ETASU elements</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Administrator</w:t>
            </w:r>
          </w:p>
        </w:tc>
        <w:tc>
          <w:tcPr>
            <w:tcW w:type="dxa" w:w="6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Nexagen Biotherapeutics REMS Operations Center (contracted to [REMS Vendor])</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Implementation Date</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Within 60 days of NDA approval</w:t>
            </w:r>
          </w:p>
        </w:tc>
      </w:tr>
    </w:tbl>
    <w:p>
      <w:pPr>
        <w:spacing w:before="0" w:after="80"/>
      </w:pPr>
    </w:p>
    <w:p>
      <w:pPr>
        <w:pBdr>
          <w:bottom w:val="single" w:color="2E75B6" w:sz="6"/>
        </w:pBdr>
        <w:spacing w:before="160" w:after="160"/>
      </w:pPr>
    </w:p>
    <w:p>
      <w:pPr>
        <w:pStyle w:val="Heading1"/>
        <w:spacing w:before="320" w:after="120"/>
      </w:pPr>
      <w:r>
        <w:rPr>
          <w:rFonts w:ascii="Arial" w:cs="Arial" w:eastAsia="Arial" w:hAnsi="Arial"/>
          <w:b/>
          <w:bCs/>
          <w:color w:val="1F4E79"/>
          <w:sz w:val="36"/>
          <w:szCs w:val="36"/>
        </w:rPr>
        <w:t xml:space="preserve">2. REMS GOALS</w:t>
      </w:r>
    </w:p>
    <w:p>
      <w:pPr>
        <w:spacing w:before="80" w:after="120" w:line="276"/>
        <w:jc w:val="both"/>
      </w:pPr>
      <w:r>
        <w:rPr>
          <w:rFonts w:ascii="Arial" w:cs="Arial" w:eastAsia="Arial" w:hAnsi="Arial"/>
          <w:b w:val="false"/>
          <w:bCs w:val="false"/>
          <w:i w:val="false"/>
          <w:iCs w:val="false"/>
          <w:color w:val="000000"/>
          <w:sz w:val="20"/>
          <w:szCs w:val="20"/>
        </w:rPr>
        <w:t xml:space="preserve">This REMS is designed to achieve the following goals:</w:t>
      </w:r>
    </w:p>
    <w:p>
      <w:pPr>
        <w:pStyle w:val="ListParagraph"/>
        <w:numPr>
          <w:ilvl w:val="0"/>
          <w:numId w:val="2"/>
        </w:numPr>
        <w:spacing w:before="60" w:after="60"/>
      </w:pPr>
      <w:r>
        <w:rPr>
          <w:rFonts w:ascii="Arial" w:cs="Arial" w:eastAsia="Arial" w:hAnsi="Arial"/>
          <w:sz w:val="20"/>
          <w:szCs w:val="20"/>
        </w:rPr>
        <w:t xml:space="preserve">Goal 1 — HCP Education: Inform healthcare providers who prescribe CERVIMAB about: (a) the serious risks of immune-mediated adverse reactions, including immune-mediated pneumonitis, hepatitis, colitis, endocrinopathies, and nephritis; (b) the importance of early recognition of symptoms of immune-mediated AEs; (c) the appropriate management algorithm (withholding, dose modification, corticosteroid therapy, and permanent discontinuation criteria); (d) the importance of monitoring laboratory parameters per the CERVIMAB Prescribing Information.</w:t>
      </w:r>
    </w:p>
    <w:p>
      <w:pPr>
        <w:pStyle w:val="ListParagraph"/>
        <w:numPr>
          <w:ilvl w:val="0"/>
          <w:numId w:val="2"/>
        </w:numPr>
        <w:spacing w:before="60" w:after="60"/>
      </w:pPr>
      <w:r>
        <w:rPr>
          <w:rFonts w:ascii="Arial" w:cs="Arial" w:eastAsia="Arial" w:hAnsi="Arial"/>
          <w:sz w:val="20"/>
          <w:szCs w:val="20"/>
        </w:rPr>
        <w:t xml:space="preserve">Goal 2 — Patient Education: Ensure patients who receive CERVIMAB understand: (a) the risks of immune-mediated adverse reactions; (b) the specific symptoms that require immediate medical evaluation (dyspnea, persistent cough, severe diarrhea, jaundice, severe rash, fever); (c) the importance of not self-managing symptoms and seeking prompt medical care.</w:t>
      </w:r>
    </w:p>
    <w:p>
      <w:pPr>
        <w:pStyle w:val="ListParagraph"/>
        <w:numPr>
          <w:ilvl w:val="0"/>
          <w:numId w:val="2"/>
        </w:numPr>
        <w:spacing w:before="60" w:after="60"/>
      </w:pPr>
      <w:r>
        <w:rPr>
          <w:rFonts w:ascii="Arial" w:cs="Arial" w:eastAsia="Arial" w:hAnsi="Arial"/>
          <w:sz w:val="20"/>
          <w:szCs w:val="20"/>
        </w:rPr>
        <w:t xml:space="preserve">Goal 3 — Pharmacovigilance Enhancement: Facilitate early identification and reporting of serious imAEs through a structured safety surveillance framework, supporting ongoing benefit-risk monitoring.</w:t>
      </w:r>
    </w:p>
    <w:p>
      <w:r>
        <w:br w:type="page"/>
      </w:r>
    </w:p>
    <w:p>
      <w:pPr>
        <w:pStyle w:val="Heading1"/>
        <w:spacing w:before="320" w:after="120"/>
      </w:pPr>
      <w:r>
        <w:rPr>
          <w:rFonts w:ascii="Arial" w:cs="Arial" w:eastAsia="Arial" w:hAnsi="Arial"/>
          <w:b/>
          <w:bCs/>
          <w:color w:val="1F4E79"/>
          <w:sz w:val="36"/>
          <w:szCs w:val="36"/>
        </w:rPr>
        <w:t xml:space="preserve">3. REMS ELEMENTS</w:t>
      </w:r>
    </w:p>
    <w:p>
      <w:pPr>
        <w:pStyle w:val="Heading2"/>
        <w:spacing w:before="320" w:after="120"/>
      </w:pPr>
      <w:r>
        <w:rPr>
          <w:rFonts w:ascii="Arial" w:cs="Arial" w:eastAsia="Arial" w:hAnsi="Arial"/>
          <w:b/>
          <w:bCs/>
          <w:color w:val="1F4E79"/>
          <w:sz w:val="28"/>
          <w:szCs w:val="28"/>
        </w:rPr>
        <w:t xml:space="preserve">3.1 Element 1: Medication Guide</w:t>
      </w:r>
    </w:p>
    <w:p>
      <w:pPr>
        <w:spacing w:before="80" w:after="120" w:line="276"/>
        <w:jc w:val="both"/>
      </w:pPr>
      <w:r>
        <w:rPr>
          <w:rFonts w:ascii="Arial" w:cs="Arial" w:eastAsia="Arial" w:hAnsi="Arial"/>
          <w:b w:val="false"/>
          <w:bCs w:val="false"/>
          <w:i w:val="false"/>
          <w:iCs w:val="false"/>
          <w:color w:val="000000"/>
          <w:sz w:val="20"/>
          <w:szCs w:val="20"/>
        </w:rPr>
        <w:t xml:space="preserve">FDA requires a Medication Guide for CERVIMAB pursuant to 21 CFR Part 208, given that patient labeling could help prevent serious adverse outcomes. The CERVIMAB Medication Guide:</w:t>
      </w:r>
    </w:p>
    <w:p>
      <w:pPr>
        <w:pStyle w:val="ListParagraph"/>
        <w:numPr>
          <w:ilvl w:val="0"/>
          <w:numId w:val="3"/>
        </w:numPr>
        <w:spacing w:before="60" w:after="60"/>
      </w:pPr>
      <w:r>
        <w:rPr>
          <w:rFonts w:ascii="Arial" w:cs="Arial" w:eastAsia="Arial" w:hAnsi="Arial"/>
          <w:sz w:val="20"/>
          <w:szCs w:val="20"/>
        </w:rPr>
        <w:t xml:space="preserve">Is written at an 8th-grade reading level (validated by Fry Readability Scale)</w:t>
      </w:r>
    </w:p>
    <w:p>
      <w:pPr>
        <w:pStyle w:val="ListParagraph"/>
        <w:numPr>
          <w:ilvl w:val="0"/>
          <w:numId w:val="3"/>
        </w:numPr>
        <w:spacing w:before="60" w:after="60"/>
      </w:pPr>
      <w:r>
        <w:rPr>
          <w:rFonts w:ascii="Arial" w:cs="Arial" w:eastAsia="Arial" w:hAnsi="Arial"/>
          <w:sz w:val="20"/>
          <w:szCs w:val="20"/>
        </w:rPr>
        <w:t xml:space="preserve">Describes serious immune-mediated AEs in plain language and provides specific symptom checklists for patient self-monitoring</w:t>
      </w:r>
    </w:p>
    <w:p>
      <w:pPr>
        <w:pStyle w:val="ListParagraph"/>
        <w:numPr>
          <w:ilvl w:val="0"/>
          <w:numId w:val="3"/>
        </w:numPr>
        <w:spacing w:before="60" w:after="60"/>
      </w:pPr>
      <w:r>
        <w:rPr>
          <w:rFonts w:ascii="Arial" w:cs="Arial" w:eastAsia="Arial" w:hAnsi="Arial"/>
          <w:sz w:val="20"/>
          <w:szCs w:val="20"/>
        </w:rPr>
        <w:t xml:space="preserve">Is available in English and Spanish at launch; additional languages (Mandarin, Portuguese, Korean) within 6 months of launch</w:t>
      </w:r>
    </w:p>
    <w:p>
      <w:pPr>
        <w:pStyle w:val="ListParagraph"/>
        <w:numPr>
          <w:ilvl w:val="0"/>
          <w:numId w:val="3"/>
        </w:numPr>
        <w:spacing w:before="60" w:after="60"/>
      </w:pPr>
      <w:r>
        <w:rPr>
          <w:rFonts w:ascii="Arial" w:cs="Arial" w:eastAsia="Arial" w:hAnsi="Arial"/>
          <w:sz w:val="20"/>
          <w:szCs w:val="20"/>
        </w:rPr>
        <w:t xml:space="preserve">Will be provided to patients at each dispensing via specialty pharmacy network and hospital pharmacy</w:t>
      </w:r>
    </w:p>
    <w:p>
      <w:pPr>
        <w:pStyle w:val="ListParagraph"/>
        <w:numPr>
          <w:ilvl w:val="0"/>
          <w:numId w:val="3"/>
        </w:numPr>
        <w:spacing w:before="60" w:after="60"/>
      </w:pPr>
      <w:r>
        <w:rPr>
          <w:rFonts w:ascii="Arial" w:cs="Arial" w:eastAsia="Arial" w:hAnsi="Arial"/>
          <w:sz w:val="20"/>
          <w:szCs w:val="20"/>
        </w:rPr>
        <w:t xml:space="preserve">Is available for download at www.cervimab.com/REMS and via the HCP portal</w:t>
      </w:r>
    </w:p>
    <w:p>
      <w:pPr>
        <w:spacing w:before="80" w:after="120" w:line="276"/>
        <w:jc w:val="both"/>
      </w:pPr>
      <w:r>
        <w:rPr>
          <w:rFonts w:ascii="Arial" w:cs="Arial" w:eastAsia="Arial" w:hAnsi="Arial"/>
          <w:b w:val="false"/>
          <w:bCs w:val="false"/>
          <w:i w:val="false"/>
          <w:iCs w:val="false"/>
          <w:color w:val="000000"/>
          <w:sz w:val="20"/>
          <w:szCs w:val="20"/>
        </w:rPr>
        <w:t xml:space="preserve">The Medication Guide must be distributed to patients prior to every administration in the inpatient/outpatient infusion setting, and at each prescription dispensing for oral take-home kits (not applicable for CERVIMAB IV formulation). The revised Medication Guide text is attached as REMS Appendix A.</w:t>
      </w:r>
    </w:p>
    <w:p>
      <w:pPr>
        <w:pStyle w:val="Heading2"/>
        <w:spacing w:before="320" w:after="120"/>
      </w:pPr>
      <w:r>
        <w:rPr>
          <w:rFonts w:ascii="Arial" w:cs="Arial" w:eastAsia="Arial" w:hAnsi="Arial"/>
          <w:b/>
          <w:bCs/>
          <w:color w:val="1F4E79"/>
          <w:sz w:val="28"/>
          <w:szCs w:val="28"/>
        </w:rPr>
        <w:t xml:space="preserve">3.2 Element 2: Communication Plan (HCP-Targeted)</w:t>
      </w:r>
    </w:p>
    <w:p>
      <w:pPr>
        <w:spacing w:before="80" w:after="120" w:line="276"/>
        <w:jc w:val="both"/>
      </w:pPr>
      <w:r>
        <w:rPr>
          <w:rFonts w:ascii="Arial" w:cs="Arial" w:eastAsia="Arial" w:hAnsi="Arial"/>
          <w:b w:val="false"/>
          <w:bCs w:val="false"/>
          <w:i w:val="false"/>
          <w:iCs w:val="false"/>
          <w:color w:val="000000"/>
          <w:sz w:val="20"/>
          <w:szCs w:val="20"/>
        </w:rPr>
        <w:t xml:space="preserve">A Healthcare Provider Communication Plan is a required element of this REMS. The Communication Plan consists of a Dear Healthcare Provider (DHCP) letter to be sent to all oncologists, hematologists, gastroenterologists, pulmonologists, and hepatologists in the United States who are likely to encounter patients receiving CERVIMAB or managing imAEs. The DHCP letter addresses:</w:t>
      </w:r>
    </w:p>
    <w:p>
      <w:pPr>
        <w:pStyle w:val="ListParagraph"/>
        <w:numPr>
          <w:ilvl w:val="0"/>
          <w:numId w:val="3"/>
        </w:numPr>
        <w:spacing w:before="60" w:after="60"/>
      </w:pPr>
      <w:r>
        <w:rPr>
          <w:rFonts w:ascii="Arial" w:cs="Arial" w:eastAsia="Arial" w:hAnsi="Arial"/>
          <w:sz w:val="20"/>
          <w:szCs w:val="20"/>
        </w:rPr>
        <w:t xml:space="preserve">Summary of approved indication and patient selection criteria (dMMR/MSI-H testing requirement)</w:t>
      </w:r>
    </w:p>
    <w:p>
      <w:pPr>
        <w:pStyle w:val="ListParagraph"/>
        <w:numPr>
          <w:ilvl w:val="0"/>
          <w:numId w:val="3"/>
        </w:numPr>
        <w:spacing w:before="60" w:after="60"/>
      </w:pPr>
      <w:r>
        <w:rPr>
          <w:rFonts w:ascii="Arial" w:cs="Arial" w:eastAsia="Arial" w:hAnsi="Arial"/>
          <w:sz w:val="20"/>
          <w:szCs w:val="20"/>
        </w:rPr>
        <w:t xml:space="preserve">Serious immune-mediated AEs: incidence, severity, and outcomes in CERV-301</w:t>
      </w:r>
    </w:p>
    <w:p>
      <w:pPr>
        <w:pStyle w:val="ListParagraph"/>
        <w:numPr>
          <w:ilvl w:val="0"/>
          <w:numId w:val="3"/>
        </w:numPr>
        <w:spacing w:before="60" w:after="60"/>
      </w:pPr>
      <w:r>
        <w:rPr>
          <w:rFonts w:ascii="Arial" w:cs="Arial" w:eastAsia="Arial" w:hAnsi="Arial"/>
          <w:sz w:val="20"/>
          <w:szCs w:val="20"/>
        </w:rPr>
        <w:t xml:space="preserve">Early recognition: key symptoms and laboratory findings for each imAE category</w:t>
      </w:r>
    </w:p>
    <w:p>
      <w:pPr>
        <w:pStyle w:val="ListParagraph"/>
        <w:numPr>
          <w:ilvl w:val="0"/>
          <w:numId w:val="3"/>
        </w:numPr>
        <w:spacing w:before="60" w:after="60"/>
      </w:pPr>
      <w:r>
        <w:rPr>
          <w:rFonts w:ascii="Arial" w:cs="Arial" w:eastAsia="Arial" w:hAnsi="Arial"/>
          <w:sz w:val="20"/>
          <w:szCs w:val="20"/>
        </w:rPr>
        <w:t xml:space="preserve">Management algorithm: withhold/discontinue criteria; corticosteroid dosing; specialist referral guidance</w:t>
      </w:r>
    </w:p>
    <w:p>
      <w:pPr>
        <w:pStyle w:val="ListParagraph"/>
        <w:numPr>
          <w:ilvl w:val="0"/>
          <w:numId w:val="3"/>
        </w:numPr>
        <w:spacing w:before="60" w:after="60"/>
      </w:pPr>
      <w:r>
        <w:rPr>
          <w:rFonts w:ascii="Arial" w:cs="Arial" w:eastAsia="Arial" w:hAnsi="Arial"/>
          <w:sz w:val="20"/>
          <w:szCs w:val="20"/>
        </w:rPr>
        <w:t xml:space="preserve">Monitoring requirements: timing of LFTs, TSH, creatinine, and chest imaging as per PI</w:t>
      </w:r>
    </w:p>
    <w:p>
      <w:pPr>
        <w:pStyle w:val="ListParagraph"/>
        <w:numPr>
          <w:ilvl w:val="0"/>
          <w:numId w:val="3"/>
        </w:numPr>
        <w:spacing w:before="60" w:after="60"/>
      </w:pPr>
      <w:r>
        <w:rPr>
          <w:rFonts w:ascii="Arial" w:cs="Arial" w:eastAsia="Arial" w:hAnsi="Arial"/>
          <w:sz w:val="20"/>
          <w:szCs w:val="20"/>
        </w:rPr>
        <w:t xml:space="preserve">REMS training resources and how to access the HCP Education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Communication Type</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Target Audience</w:t>
            </w:r>
          </w:p>
        </w:tc>
        <w:tc>
          <w:tcPr>
            <w:tcW w:type="dxa" w:w="24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Timing</w:t>
            </w:r>
          </w:p>
        </w:tc>
        <w:tc>
          <w:tcPr>
            <w:tcW w:type="dxa" w:w="23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Channel</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DHCP Letter (Initial)</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Oncologists, hematologists, GI specialists, pulmonologists, hepatologists (est. 28,000 HCPs)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Within 30 days of NDA approval</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Direct mail + email + fax</w:t>
            </w:r>
          </w:p>
        </w:tc>
      </w:tr>
      <w:tr>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DHCP Letter (Year 1 Reminder)</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Same HCP population + new prescribers identified via IMS data</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12 months post-launch</w:t>
            </w:r>
          </w:p>
        </w:tc>
        <w:tc>
          <w:tcPr>
            <w:tcW w:type="dxa" w:w="2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Email + portal</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Safety Alert (triggered)</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All identified prescribers</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Triggered by signal detection (any emerging safety cluster)</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Email + fax within 48 hrs</w:t>
            </w:r>
          </w:p>
        </w:tc>
      </w:tr>
      <w:tr>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Annual REMS Update</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All prescribers on file</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Annual</w:t>
            </w:r>
          </w:p>
        </w:tc>
        <w:tc>
          <w:tcPr>
            <w:tcW w:type="dxa" w:w="2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Email + portal notification</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MSL Outreach (educational)</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High-volume prescribers (&gt;5 Rx/quarter)</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On-demand; quarterly follow-up</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In-person / virtual</w:t>
            </w:r>
          </w:p>
        </w:tc>
      </w:tr>
    </w:tbl>
    <w:p>
      <w:pPr>
        <w:spacing w:before="0" w:after="80"/>
      </w:pPr>
    </w:p>
    <w:p>
      <w:pPr>
        <w:pStyle w:val="Heading2"/>
        <w:spacing w:before="320" w:after="120"/>
      </w:pPr>
      <w:r>
        <w:rPr>
          <w:rFonts w:ascii="Arial" w:cs="Arial" w:eastAsia="Arial" w:hAnsi="Arial"/>
          <w:b/>
          <w:bCs/>
          <w:color w:val="1F4E79"/>
          <w:sz w:val="28"/>
          <w:szCs w:val="28"/>
        </w:rPr>
        <w:t xml:space="preserve">3.3 Element 3: HCP Education and Training Program</w:t>
      </w:r>
    </w:p>
    <w:p>
      <w:pPr>
        <w:spacing w:before="80" w:after="120" w:line="276"/>
        <w:jc w:val="both"/>
      </w:pPr>
      <w:r>
        <w:rPr>
          <w:rFonts w:ascii="Arial" w:cs="Arial" w:eastAsia="Arial" w:hAnsi="Arial"/>
          <w:b w:val="false"/>
          <w:bCs w:val="false"/>
          <w:i w:val="false"/>
          <w:iCs w:val="false"/>
          <w:color w:val="000000"/>
          <w:sz w:val="20"/>
          <w:szCs w:val="20"/>
        </w:rPr>
        <w:t xml:space="preserve">The Sponsor proposes a voluntary, accredited (CME/CE credit-eligible) online training program for HCPs. This program is not mandatory for prescribing but is strongly encouraged and will be promoted through the Communication Plan and MSL outreach. The HCP Training Program includes:</w:t>
      </w:r>
    </w:p>
    <w:p>
      <w:pPr>
        <w:pStyle w:val="ListParagraph"/>
        <w:numPr>
          <w:ilvl w:val="0"/>
          <w:numId w:val="3"/>
        </w:numPr>
        <w:spacing w:before="60" w:after="60"/>
      </w:pPr>
      <w:r>
        <w:rPr>
          <w:rFonts w:ascii="Arial" w:cs="Arial" w:eastAsia="Arial" w:hAnsi="Arial"/>
          <w:sz w:val="20"/>
          <w:szCs w:val="20"/>
        </w:rPr>
        <w:t xml:space="preserve">Module 1 (30 min): CERVIMAB Mechanism of Action, Clinical Data Summary (CERV-301), and Patient Selection</w:t>
      </w:r>
    </w:p>
    <w:p>
      <w:pPr>
        <w:pStyle w:val="ListParagraph"/>
        <w:numPr>
          <w:ilvl w:val="0"/>
          <w:numId w:val="3"/>
        </w:numPr>
        <w:spacing w:before="60" w:after="60"/>
      </w:pPr>
      <w:r>
        <w:rPr>
          <w:rFonts w:ascii="Arial" w:cs="Arial" w:eastAsia="Arial" w:hAnsi="Arial"/>
          <w:sz w:val="20"/>
          <w:szCs w:val="20"/>
        </w:rPr>
        <w:t xml:space="preserve">Module 2 (45 min): Immune-Mediated AE Recognition, Grading, and Management — Case-based learning format</w:t>
      </w:r>
    </w:p>
    <w:p>
      <w:pPr>
        <w:pStyle w:val="ListParagraph"/>
        <w:numPr>
          <w:ilvl w:val="0"/>
          <w:numId w:val="3"/>
        </w:numPr>
        <w:spacing w:before="60" w:after="60"/>
      </w:pPr>
      <w:r>
        <w:rPr>
          <w:rFonts w:ascii="Arial" w:cs="Arial" w:eastAsia="Arial" w:hAnsi="Arial"/>
          <w:sz w:val="20"/>
          <w:szCs w:val="20"/>
        </w:rPr>
        <w:t xml:space="preserve">Module 3 (20 min): REMS Requirements, Medication Guide Overview, and Patient Counseling</w:t>
      </w:r>
    </w:p>
    <w:p>
      <w:pPr>
        <w:pStyle w:val="ListParagraph"/>
        <w:numPr>
          <w:ilvl w:val="0"/>
          <w:numId w:val="3"/>
        </w:numPr>
        <w:spacing w:before="60" w:after="60"/>
      </w:pPr>
      <w:r>
        <w:rPr>
          <w:rFonts w:ascii="Arial" w:cs="Arial" w:eastAsia="Arial" w:hAnsi="Arial"/>
          <w:sz w:val="20"/>
          <w:szCs w:val="20"/>
        </w:rPr>
        <w:t xml:space="preserve">Post-module assessment: 80% passing threshold to receive CME/CE credit</w:t>
      </w:r>
    </w:p>
    <w:p>
      <w:pPr>
        <w:spacing w:before="80" w:after="120" w:line="276"/>
        <w:jc w:val="both"/>
      </w:pPr>
      <w:r>
        <w:rPr>
          <w:rFonts w:ascii="Arial" w:cs="Arial" w:eastAsia="Arial" w:hAnsi="Arial"/>
          <w:b w:val="false"/>
          <w:bCs w:val="false"/>
          <w:i w:val="false"/>
          <w:iCs w:val="false"/>
          <w:color w:val="000000"/>
          <w:sz w:val="20"/>
          <w:szCs w:val="20"/>
        </w:rPr>
        <w:t xml:space="preserve">Training materials are hosted on the secure CERVIMAB HCP portal (www.cervimabHCP.com). The portal will also provide downloadable HCP resources: imAE Quick Reference Card, Patient Monitoring Checklist, and Management Algorithm Decision Tree.</w:t>
      </w:r>
    </w:p>
    <w:p>
      <w:pPr>
        <w:pStyle w:val="Heading2"/>
        <w:spacing w:before="320" w:after="120"/>
      </w:pPr>
      <w:r>
        <w:rPr>
          <w:rFonts w:ascii="Arial" w:cs="Arial" w:eastAsia="Arial" w:hAnsi="Arial"/>
          <w:b/>
          <w:bCs/>
          <w:color w:val="1F4E79"/>
          <w:sz w:val="28"/>
          <w:szCs w:val="28"/>
        </w:rPr>
        <w:t xml:space="preserve">3.4 Element 4: Patient Wallet Card</w:t>
      </w:r>
    </w:p>
    <w:p>
      <w:pPr>
        <w:spacing w:before="80" w:after="120" w:line="276"/>
        <w:jc w:val="both"/>
      </w:pPr>
      <w:r>
        <w:rPr>
          <w:rFonts w:ascii="Arial" w:cs="Arial" w:eastAsia="Arial" w:hAnsi="Arial"/>
          <w:b w:val="false"/>
          <w:bCs w:val="false"/>
          <w:i w:val="false"/>
          <w:iCs w:val="false"/>
          <w:color w:val="000000"/>
          <w:sz w:val="20"/>
          <w:szCs w:val="20"/>
        </w:rPr>
        <w:t xml:space="preserve">A patient wallet card will be distributed with each Medication Guide. The wallet card includes:</w:t>
      </w:r>
    </w:p>
    <w:p>
      <w:pPr>
        <w:pStyle w:val="ListParagraph"/>
        <w:numPr>
          <w:ilvl w:val="0"/>
          <w:numId w:val="3"/>
        </w:numPr>
        <w:spacing w:before="60" w:after="60"/>
      </w:pPr>
      <w:r>
        <w:rPr>
          <w:rFonts w:ascii="Arial" w:cs="Arial" w:eastAsia="Arial" w:hAnsi="Arial"/>
          <w:sz w:val="20"/>
          <w:szCs w:val="20"/>
        </w:rPr>
        <w:t xml:space="preserve">Patient name and prescribing oncologist contact information (patient-completed)</w:t>
      </w:r>
    </w:p>
    <w:p>
      <w:pPr>
        <w:pStyle w:val="ListParagraph"/>
        <w:numPr>
          <w:ilvl w:val="0"/>
          <w:numId w:val="3"/>
        </w:numPr>
        <w:spacing w:before="60" w:after="60"/>
      </w:pPr>
      <w:r>
        <w:rPr>
          <w:rFonts w:ascii="Arial" w:cs="Arial" w:eastAsia="Arial" w:hAnsi="Arial"/>
          <w:sz w:val="20"/>
          <w:szCs w:val="20"/>
        </w:rPr>
        <w:t xml:space="preserve">Drug name, dose, and dosing schedule</w:t>
      </w:r>
    </w:p>
    <w:p>
      <w:pPr>
        <w:pStyle w:val="ListParagraph"/>
        <w:numPr>
          <w:ilvl w:val="0"/>
          <w:numId w:val="3"/>
        </w:numPr>
        <w:spacing w:before="60" w:after="60"/>
      </w:pPr>
      <w:r>
        <w:rPr>
          <w:rFonts w:ascii="Arial" w:cs="Arial" w:eastAsia="Arial" w:hAnsi="Arial"/>
          <w:sz w:val="20"/>
          <w:szCs w:val="20"/>
        </w:rPr>
        <w:t xml:space="preserve">Key symptoms requiring emergency evaluation (fever, shortness of breath, severe diarrhea, yellowing of skin/eyes, rash)</w:t>
      </w:r>
    </w:p>
    <w:p>
      <w:pPr>
        <w:pStyle w:val="ListParagraph"/>
        <w:numPr>
          <w:ilvl w:val="0"/>
          <w:numId w:val="3"/>
        </w:numPr>
        <w:spacing w:before="60" w:after="60"/>
      </w:pPr>
      <w:r>
        <w:rPr>
          <w:rFonts w:ascii="Arial" w:cs="Arial" w:eastAsia="Arial" w:hAnsi="Arial"/>
          <w:sz w:val="20"/>
          <w:szCs w:val="20"/>
        </w:rPr>
        <w:t xml:space="preserve">24/7 CERVIMAB Medical Information Hotline: 1-800-XXX-XXXX</w:t>
      </w:r>
    </w:p>
    <w:p>
      <w:pPr>
        <w:pStyle w:val="ListParagraph"/>
        <w:numPr>
          <w:ilvl w:val="0"/>
          <w:numId w:val="3"/>
        </w:numPr>
        <w:spacing w:before="60" w:after="60"/>
      </w:pPr>
      <w:r>
        <w:rPr>
          <w:rFonts w:ascii="Arial" w:cs="Arial" w:eastAsia="Arial" w:hAnsi="Arial"/>
          <w:sz w:val="20"/>
          <w:szCs w:val="20"/>
        </w:rPr>
        <w:t xml:space="preserve">CERVIMAB REMS program website: www.cervimab.com/REMS</w:t>
      </w:r>
    </w:p>
    <w:p>
      <w:r>
        <w:br w:type="page"/>
      </w:r>
    </w:p>
    <w:p>
      <w:pPr>
        <w:pStyle w:val="Heading1"/>
        <w:spacing w:before="320" w:after="120"/>
      </w:pPr>
      <w:r>
        <w:rPr>
          <w:rFonts w:ascii="Arial" w:cs="Arial" w:eastAsia="Arial" w:hAnsi="Arial"/>
          <w:b/>
          <w:bCs/>
          <w:color w:val="1F4E79"/>
          <w:sz w:val="36"/>
          <w:szCs w:val="36"/>
        </w:rPr>
        <w:t xml:space="preserve">4. REMS ASSESSMENT PLAN</w:t>
      </w:r>
    </w:p>
    <w:p>
      <w:pPr>
        <w:spacing w:before="80" w:after="120" w:line="276"/>
        <w:jc w:val="both"/>
      </w:pPr>
      <w:r>
        <w:rPr>
          <w:rFonts w:ascii="Arial" w:cs="Arial" w:eastAsia="Arial" w:hAnsi="Arial"/>
          <w:b w:val="false"/>
          <w:bCs w:val="false"/>
          <w:i w:val="false"/>
          <w:iCs w:val="false"/>
          <w:color w:val="000000"/>
          <w:sz w:val="20"/>
          <w:szCs w:val="20"/>
        </w:rPr>
        <w:t xml:space="preserve">FDA requires that the REMS include an assessment framework (21 CFR 315.80) to evaluate whether the REMS is meeting its goals. The Sponsor proposes the following assessment schedule and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Assessment</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Timing</w:t>
            </w:r>
          </w:p>
        </w:tc>
        <w:tc>
          <w:tcPr>
            <w:tcW w:type="dxa" w:w="47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Methodology and Metrics</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Year 1 Assessment</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18 months post-approval</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HCP survey (N≥200 randomly selected prescribers): knowledge assessment (REMS Goal 1); Medication Guide dispensing compliance rate; HCP training completion rate; serious imAE FAERS/MedWatch reporting rate comparison vs. historical PD-1 class data</w:t>
            </w:r>
          </w:p>
        </w:tc>
      </w:tr>
      <w:tr>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Year 3 Assessment</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36 months post-approval</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HCP knowledge survey update; patient survey (N≥150): Medication Guide receipt and comprehension (REMS Goal 2); imAE management time-to-treatment metrics from integrated safety database; REMS communication reach metrics</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Year 5 Assessment</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60 months post-approval</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Comprehensive REMS effectiveness assessment: all prior metrics; post-marketing pharmacovigilance integration; benefit-risk re-evaluation with real-world data</w:t>
            </w:r>
          </w:p>
        </w:tc>
      </w:tr>
      <w:tr>
        <w:tc>
          <w:tcPr>
            <w:tcW w:type="dxa" w:w="1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Ad Hoc Assessment (triggered)</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Triggered by safety signal</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Triggered if: ≥3 fatal imAE reports in 12-month rolling window; new imAE signal from post-marketing surveillance; FDA request</w:t>
            </w:r>
          </w:p>
        </w:tc>
      </w:tr>
    </w:tbl>
    <w:p>
      <w:pPr>
        <w:spacing w:before="0" w:after="80"/>
      </w:pPr>
    </w:p>
    <w:p>
      <w:pPr>
        <w:pStyle w:val="Heading2"/>
        <w:spacing w:before="320" w:after="120"/>
      </w:pPr>
      <w:r>
        <w:rPr>
          <w:rFonts w:ascii="Arial" w:cs="Arial" w:eastAsia="Arial" w:hAnsi="Arial"/>
          <w:b/>
          <w:bCs/>
          <w:color w:val="1F4E79"/>
          <w:sz w:val="28"/>
          <w:szCs w:val="28"/>
        </w:rPr>
        <w:t xml:space="preserve">4.1 Assessment Metrics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REMS Goal</w:t>
            </w:r>
          </w:p>
        </w:tc>
        <w:tc>
          <w:tcPr>
            <w:tcW w:type="dxa" w:w="29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Metric</w:t>
            </w:r>
          </w:p>
        </w:tc>
        <w:tc>
          <w:tcPr>
            <w:tcW w:type="dxa" w:w="30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Success Threshold</w:t>
            </w:r>
          </w:p>
        </w:tc>
      </w:tr>
      <w:tr>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Goal 1: HCP Education — imAE recognition</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 HCPs passing knowledge assessment (≥80% score)</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≥75% at Year 1; ≥85% at Year 3</w:t>
            </w:r>
          </w:p>
        </w:tc>
      </w:tr>
      <w:tr>
        <w:tc>
          <w:tcPr>
            <w:tcW w:type="dxa" w:w="3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Goal 1: HCP Education — management</w:t>
            </w:r>
          </w:p>
        </w:tc>
        <w:tc>
          <w:tcPr>
            <w:tcW w:type="dxa" w:w="29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 HCPs who report using corticosteroids for Grade 2+ imAE within 48 hrs of diagnosis (self-report survey)</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≥80% at Year 1</w:t>
            </w:r>
          </w:p>
        </w:tc>
      </w:tr>
      <w:tr>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Goal 2: Patient Education</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 patients confirming receipt and understanding of Medication Guide (patient survey, 5-item comprehension check)</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≥85% receipt; ≥70% comprehension at Year 3</w:t>
            </w:r>
          </w:p>
        </w:tc>
      </w:tr>
      <w:tr>
        <w:tc>
          <w:tcPr>
            <w:tcW w:type="dxa" w:w="3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Goal 2: Patient symptom reporting</w:t>
            </w:r>
          </w:p>
        </w:tc>
        <w:tc>
          <w:tcPr>
            <w:tcW w:type="dxa" w:w="29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 patients who report knowing ≥4 of 6 key imAE warning symptoms</w:t>
            </w:r>
          </w:p>
        </w:tc>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≥65% at Year 1; ≥75% at Year 3</w:t>
            </w:r>
          </w:p>
        </w:tc>
      </w:tr>
      <w:tr>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Goal 3: Pharmacovigilance</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Time to serious imAE reporting (date of event to MedWatch submission)</w:t>
            </w:r>
          </w:p>
        </w:tc>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Median ≤30 days; ≥90% within 90 days</w:t>
            </w:r>
          </w:p>
        </w:tc>
      </w:tr>
    </w:tbl>
    <w:p>
      <w:pPr>
        <w:spacing w:before="0" w:after="80"/>
      </w:pPr>
    </w:p>
    <w:p>
      <w:r>
        <w:br w:type="page"/>
      </w:r>
    </w:p>
    <w:p>
      <w:pPr>
        <w:pStyle w:val="Heading1"/>
        <w:spacing w:before="320" w:after="120"/>
      </w:pPr>
      <w:r>
        <w:rPr>
          <w:rFonts w:ascii="Arial" w:cs="Arial" w:eastAsia="Arial" w:hAnsi="Arial"/>
          <w:b/>
          <w:bCs/>
          <w:color w:val="1F4E79"/>
          <w:sz w:val="36"/>
          <w:szCs w:val="36"/>
        </w:rPr>
        <w:t xml:space="preserve">5. REMS IMPLEMENTATION PLAN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Milestone</w:t>
            </w:r>
          </w:p>
        </w:tc>
        <w:tc>
          <w:tcPr>
            <w:tcW w:type="dxa" w:w="47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Activity</w:t>
            </w:r>
          </w:p>
        </w:tc>
        <w:tc>
          <w:tcPr>
            <w:tcW w:type="dxa" w:w="18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Target Date</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Approval</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FDA formal approval of REMS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Per NDA approval date</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Day 0 — NDA Approval</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Specialty pharmacy network briefed; Medication Guide printing initiated; DHCP letter finalized and submitted to FDA for review</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NDA Approval Day</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Day 1–14</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DHCP letter distribution (email/fax to 28,000 HCPs); HCP portal go-live; Medication Guide available for download</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D+14</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Day 15–30</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First commercial drug shipments to specialty pharmacies; Patient Wallet Cards packaged with drug; Medication Guide distributed at first dispensing</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D+30</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Day 30–60</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HCP training modules live on portal; CME accreditation confirmed; MSL outreach initiated to high-volume prescribers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D+60</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Day 60–90</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DHCP letter direct mail follow-up; REMS status report submitted to FDA (enrollment/training metrics)</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D+90</w:t>
            </w:r>
          </w:p>
        </w:tc>
      </w:tr>
      <w:tr>
        <w:tc>
          <w:tcPr>
            <w:tcW w:type="dxa" w:w="2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Month 6</w:t>
            </w:r>
          </w:p>
        </w:tc>
        <w:tc>
          <w:tcPr>
            <w:tcW w:type="dxa" w:w="47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Spanish and additional language Medication Guides available; Year 1 Assessment preparation initiated</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Month 6</w:t>
            </w:r>
          </w:p>
        </w:tc>
      </w:tr>
      <w:tr>
        <w:tc>
          <w:tcPr>
            <w:tcW w:type="dxa" w:w="2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Month 18</w:t>
            </w:r>
          </w:p>
        </w:tc>
        <w:tc>
          <w:tcPr>
            <w:tcW w:type="dxa" w:w="47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Year 1 REMS Assessment Report submitted to FDA</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Month 18</w:t>
            </w:r>
          </w:p>
        </w:tc>
      </w:tr>
    </w:tbl>
    <w:p>
      <w:pPr>
        <w:spacing w:before="0" w:after="80"/>
      </w:pPr>
    </w:p>
    <w:p>
      <w:pPr>
        <w:pStyle w:val="Heading1"/>
        <w:spacing w:before="320" w:after="120"/>
      </w:pPr>
      <w:r>
        <w:rPr>
          <w:rFonts w:ascii="Arial" w:cs="Arial" w:eastAsia="Arial" w:hAnsi="Arial"/>
          <w:b/>
          <w:bCs/>
          <w:color w:val="1F4E79"/>
          <w:sz w:val="36"/>
          <w:szCs w:val="36"/>
        </w:rPr>
        <w:t xml:space="preserve">6. REMS TIMETABLE FOR SUBMISSION OF ASSESSMENTS</w:t>
      </w:r>
    </w:p>
    <w:p>
      <w:pPr>
        <w:spacing w:before="80" w:after="120" w:line="276"/>
        <w:jc w:val="both"/>
      </w:pPr>
      <w:r>
        <w:rPr>
          <w:rFonts w:ascii="Arial" w:cs="Arial" w:eastAsia="Arial" w:hAnsi="Arial"/>
          <w:b w:val="false"/>
          <w:bCs w:val="false"/>
          <w:i w:val="false"/>
          <w:iCs w:val="false"/>
          <w:color w:val="000000"/>
          <w:sz w:val="20"/>
          <w:szCs w:val="20"/>
        </w:rPr>
        <w:t xml:space="preserve">In accordance with 21 CFR 315.80, the Sponsor proposes the following timetable for submission of REMS assessment reports to FDA:</w:t>
      </w:r>
    </w:p>
    <w:p>
      <w:pPr>
        <w:pStyle w:val="ListParagraph"/>
        <w:numPr>
          <w:ilvl w:val="0"/>
          <w:numId w:val="3"/>
        </w:numPr>
        <w:spacing w:before="60" w:after="60"/>
      </w:pPr>
      <w:r>
        <w:rPr>
          <w:rFonts w:ascii="Arial" w:cs="Arial" w:eastAsia="Arial" w:hAnsi="Arial"/>
          <w:sz w:val="20"/>
          <w:szCs w:val="20"/>
        </w:rPr>
        <w:t xml:space="preserve">18-Month Assessment Report: 30 months after NDA approval date</w:t>
      </w:r>
    </w:p>
    <w:p>
      <w:pPr>
        <w:pStyle w:val="ListParagraph"/>
        <w:numPr>
          <w:ilvl w:val="0"/>
          <w:numId w:val="3"/>
        </w:numPr>
        <w:spacing w:before="60" w:after="60"/>
      </w:pPr>
      <w:r>
        <w:rPr>
          <w:rFonts w:ascii="Arial" w:cs="Arial" w:eastAsia="Arial" w:hAnsi="Arial"/>
          <w:sz w:val="20"/>
          <w:szCs w:val="20"/>
        </w:rPr>
        <w:t xml:space="preserve">36-Month Assessment Report: 48 months after NDA approval date</w:t>
      </w:r>
    </w:p>
    <w:p>
      <w:pPr>
        <w:pStyle w:val="ListParagraph"/>
        <w:numPr>
          <w:ilvl w:val="0"/>
          <w:numId w:val="3"/>
        </w:numPr>
        <w:spacing w:before="60" w:after="60"/>
      </w:pPr>
      <w:r>
        <w:rPr>
          <w:rFonts w:ascii="Arial" w:cs="Arial" w:eastAsia="Arial" w:hAnsi="Arial"/>
          <w:sz w:val="20"/>
          <w:szCs w:val="20"/>
        </w:rPr>
        <w:t xml:space="preserve">60-Month Assessment Report: 72 months after NDA approval date</w:t>
      </w:r>
    </w:p>
    <w:p>
      <w:pPr>
        <w:pStyle w:val="ListParagraph"/>
        <w:numPr>
          <w:ilvl w:val="0"/>
          <w:numId w:val="3"/>
        </w:numPr>
        <w:spacing w:before="60" w:after="60"/>
      </w:pPr>
      <w:r>
        <w:rPr>
          <w:rFonts w:ascii="Arial" w:cs="Arial" w:eastAsia="Arial" w:hAnsi="Arial"/>
          <w:sz w:val="20"/>
          <w:szCs w:val="20"/>
        </w:rPr>
        <w:t xml:space="preserve">Ad hoc reports: Within 30 days of triggering event</w:t>
      </w:r>
    </w:p>
    <w:p>
      <w:pPr>
        <w:pStyle w:val="Heading1"/>
        <w:spacing w:before="320" w:after="120"/>
      </w:pPr>
      <w:r>
        <w:rPr>
          <w:rFonts w:ascii="Arial" w:cs="Arial" w:eastAsia="Arial" w:hAnsi="Arial"/>
          <w:b/>
          <w:bCs/>
          <w:color w:val="1F4E79"/>
          <w:sz w:val="36"/>
          <w:szCs w:val="36"/>
        </w:rPr>
        <w:t xml:space="preserve">7. REMS SUPPORTING MATERIALS</w:t>
      </w:r>
    </w:p>
    <w:p>
      <w:pPr>
        <w:spacing w:before="80" w:after="120" w:line="276"/>
        <w:jc w:val="both"/>
      </w:pPr>
      <w:r>
        <w:rPr>
          <w:rFonts w:ascii="Arial" w:cs="Arial" w:eastAsia="Arial" w:hAnsi="Arial"/>
          <w:b w:val="false"/>
          <w:bCs w:val="false"/>
          <w:i w:val="false"/>
          <w:iCs w:val="false"/>
          <w:color w:val="000000"/>
          <w:sz w:val="20"/>
          <w:szCs w:val="20"/>
        </w:rPr>
        <w:t xml:space="preserve">The following materials are submitted as appendices to this REMS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Appendix</w:t>
            </w:r>
          </w:p>
        </w:tc>
        <w:tc>
          <w:tcPr>
            <w:tcW w:type="dxa" w:w="436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Document</w:t>
            </w:r>
          </w:p>
        </w:tc>
        <w:tc>
          <w:tcPr>
            <w:tcW w:type="dxa" w:w="3600"/>
            <w:gridSpan w:val="1"/>
            <w:tcBorders>
              <w:top w:val="single" w:color="AAAAAA" w:sz="4"/>
              <w:left w:val="single" w:color="AAAAAA" w:sz="4"/>
              <w:bottom w:val="single" w:color="AAAAAA" w:sz="4"/>
              <w:right w:val="single" w:color="AAAAAA" w:sz="4"/>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A</w:t>
            </w:r>
          </w:p>
        </w:tc>
        <w:tc>
          <w:tcPr>
            <w:tcW w:type="dxa" w:w="4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Revised Medication Guide</w:t>
            </w:r>
          </w:p>
        </w:tc>
        <w:tc>
          <w:tcPr>
            <w:tcW w:type="dxa" w:w="3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Patient-directed labeling (8th grade reading level; English; revised per CRL)</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B</w:t>
            </w:r>
          </w:p>
        </w:tc>
        <w:tc>
          <w:tcPr>
            <w:tcW w:type="dxa" w:w="4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Patient Wallet Card</w:t>
            </w:r>
          </w:p>
        </w:tc>
        <w:tc>
          <w:tcPr>
            <w:tcW w:type="dxa" w:w="3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Pocket-sized quick reference card; key warning symptoms; hotline number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C</w:t>
            </w:r>
          </w:p>
        </w:tc>
        <w:tc>
          <w:tcPr>
            <w:tcW w:type="dxa" w:w="4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DHCP Letter (Initial)</w:t>
            </w:r>
          </w:p>
        </w:tc>
        <w:tc>
          <w:tcPr>
            <w:tcW w:type="dxa" w:w="3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Dear Healthcare Provider letter — initial communication</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w:t>
            </w:r>
          </w:p>
        </w:tc>
        <w:tc>
          <w:tcPr>
            <w:tcW w:type="dxa" w:w="4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HCP Quick Reference Card</w:t>
            </w:r>
          </w:p>
        </w:tc>
        <w:tc>
          <w:tcPr>
            <w:tcW w:type="dxa" w:w="3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Laminated clinical quick reference: imAE management algorithm, dose modification table, monitoring schedule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E</w:t>
            </w:r>
          </w:p>
        </w:tc>
        <w:tc>
          <w:tcPr>
            <w:tcW w:type="dxa" w:w="4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HCP Training Module Outline</w:t>
            </w:r>
          </w:p>
        </w:tc>
        <w:tc>
          <w:tcPr>
            <w:tcW w:type="dxa" w:w="3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3-module outline with learning objectives, content summaries, assessment items</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F</w:t>
            </w:r>
          </w:p>
        </w:tc>
        <w:tc>
          <w:tcPr>
            <w:tcW w:type="dxa" w:w="4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Patient Monitoring Checklist</w:t>
            </w:r>
          </w:p>
        </w:tc>
        <w:tc>
          <w:tcPr>
            <w:tcW w:type="dxa" w:w="3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Visit-by-visit patient monitoring guide for prescribers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G</w:t>
            </w:r>
          </w:p>
        </w:tc>
        <w:tc>
          <w:tcPr>
            <w:tcW w:type="dxa" w:w="436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Assessment Survey Instruments</w:t>
            </w:r>
          </w:p>
        </w:tc>
        <w:tc>
          <w:tcPr>
            <w:tcW w:type="dxa" w:w="3600"/>
            <w:gridSpan w:val="1"/>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Draft HCP knowledge assessment (Year 1); patient comprehension survey (Year 3)</w:t>
            </w:r>
          </w:p>
        </w:tc>
      </w:tr>
      <w:tr>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H</w:t>
            </w:r>
          </w:p>
        </w:tc>
        <w:tc>
          <w:tcPr>
            <w:tcW w:type="dxa" w:w="436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REMS Vendor Contract Summary</w:t>
            </w:r>
          </w:p>
        </w:tc>
        <w:tc>
          <w:tcPr>
            <w:tcW w:type="dxa" w:w="3600"/>
            <w:gridSpan w:val="1"/>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9"/>
                <w:szCs w:val="19"/>
              </w:rPr>
              <w:t xml:space="preserve">[REDACTED] — contracted REMS Operations Center capabilities and SLA</w:t>
            </w:r>
          </w:p>
        </w:tc>
      </w:tr>
    </w:tbl>
    <w:p>
      <w:pPr>
        <w:spacing w:before="0" w:after="80"/>
      </w:pPr>
    </w:p>
    <w:p>
      <w:pPr>
        <w:spacing w:before="0" w:after="80"/>
      </w:pPr>
    </w:p>
    <w:p>
      <w:pPr>
        <w:pBdr>
          <w:bottom w:val="single" w:color="2E75B6" w:sz="6"/>
        </w:pBdr>
        <w:spacing w:before="160" w:after="160"/>
      </w:pPr>
    </w:p>
    <w:p>
      <w:pPr>
        <w:spacing w:before="80" w:after="120" w:line="276"/>
        <w:jc w:val="both"/>
      </w:pPr>
      <w:r>
        <w:rPr>
          <w:rFonts w:ascii="Arial" w:cs="Arial" w:eastAsia="Arial" w:hAnsi="Arial"/>
          <w:b w:val="false"/>
          <w:bCs w:val="false"/>
          <w:i w:val="false"/>
          <w:iCs w:val="false"/>
          <w:color w:val="000000"/>
          <w:sz w:val="20"/>
          <w:szCs w:val="20"/>
        </w:rPr>
        <w:t xml:space="preserve">Nexagen Biotherapeutics, Inc. is committed to the effective implementation and ongoing evaluation of this REMS to ensure that the benefits of CERVIMAB in patients with dMMR/MSI-H metastatic colorectal cancer are realized while serious immune-mediated risks are appropriately managed. The Sponsor welcomes further discussion with FDA on any aspect of this revised REMS proposal.</w:t>
      </w:r>
    </w:p>
    <w:p>
      <w:pPr>
        <w:spacing w:before="0" w:after="80"/>
      </w:pPr>
    </w:p>
    <w:p>
      <w:pPr>
        <w:spacing w:before="80" w:after="120" w:line="276"/>
        <w:jc w:val="both"/>
      </w:pPr>
      <w:r>
        <w:rPr>
          <w:rFonts w:ascii="Arial" w:cs="Arial" w:eastAsia="Arial" w:hAnsi="Arial"/>
          <w:b/>
          <w:bCs/>
          <w:i w:val="false"/>
          <w:iCs w:val="false"/>
          <w:color w:val="000000"/>
          <w:sz w:val="20"/>
          <w:szCs w:val="20"/>
        </w:rPr>
        <w:t xml:space="preserve">Submitted by:</w:t>
      </w:r>
    </w:p>
    <w:p>
      <w:pPr>
        <w:spacing w:before="0" w:after="80"/>
      </w:pPr>
    </w:p>
    <w:p>
      <w:pPr>
        <w:spacing w:before="80" w:after="120" w:line="276"/>
        <w:jc w:val="both"/>
      </w:pPr>
      <w:r>
        <w:rPr>
          <w:rFonts w:ascii="Arial" w:cs="Arial" w:eastAsia="Arial" w:hAnsi="Arial"/>
          <w:b w:val="false"/>
          <w:bCs w:val="false"/>
          <w:i w:val="false"/>
          <w:iCs w:val="false"/>
          <w:color w:val="000000"/>
          <w:sz w:val="20"/>
          <w:szCs w:val="20"/>
        </w:rPr>
        <w:t xml:space="preserve">Dr. [Name], MD</w:t>
      </w:r>
    </w:p>
    <w:p>
      <w:pPr>
        <w:spacing w:before="80" w:after="120" w:line="276"/>
        <w:jc w:val="both"/>
      </w:pPr>
      <w:r>
        <w:rPr>
          <w:rFonts w:ascii="Arial" w:cs="Arial" w:eastAsia="Arial" w:hAnsi="Arial"/>
          <w:b w:val="false"/>
          <w:bCs w:val="false"/>
          <w:i w:val="false"/>
          <w:iCs w:val="false"/>
          <w:color w:val="000000"/>
          <w:sz w:val="20"/>
          <w:szCs w:val="20"/>
        </w:rPr>
        <w:t xml:space="preserve">Vice President, Pharmacovigilance &amp; Risk Management</w:t>
      </w:r>
    </w:p>
    <w:p>
      <w:pPr>
        <w:spacing w:before="80" w:after="120" w:line="276"/>
        <w:jc w:val="both"/>
      </w:pPr>
      <w:r>
        <w:rPr>
          <w:rFonts w:ascii="Arial" w:cs="Arial" w:eastAsia="Arial" w:hAnsi="Arial"/>
          <w:b w:val="false"/>
          <w:bCs w:val="false"/>
          <w:i w:val="false"/>
          <w:iCs w:val="false"/>
          <w:color w:val="000000"/>
          <w:sz w:val="20"/>
          <w:szCs w:val="20"/>
        </w:rPr>
        <w:t xml:space="preserve">Nexagen Biotherapeutics, Inc.</w:t>
      </w:r>
    </w:p>
    <w:p>
      <w:pPr>
        <w:spacing w:before="80" w:after="120" w:line="276"/>
        <w:jc w:val="both"/>
      </w:pPr>
      <w:r>
        <w:rPr>
          <w:rFonts w:ascii="Arial" w:cs="Arial" w:eastAsia="Arial" w:hAnsi="Arial"/>
          <w:b w:val="false"/>
          <w:bCs w:val="false"/>
          <w:i w:val="false"/>
          <w:iCs w:val="false"/>
          <w:color w:val="000000"/>
          <w:sz w:val="20"/>
          <w:szCs w:val="20"/>
        </w:rPr>
        <w:t xml:space="preserve">Date: March 16,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spacing w:before="60" w:after="0"/>
    </w:pPr>
    <w:r>
      <w:rPr>
        <w:rFonts w:ascii="Arial" w:cs="Arial" w:eastAsia="Arial" w:hAnsi="Arial"/>
        <w:color w:val="999999"/>
        <w:sz w:val="16"/>
        <w:szCs w:val="16"/>
      </w:rPr>
      <w:t xml:space="preserve">CONFIDENTIAL — FOR REGULATORY PURPOSES ONLY</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spacing w:before="0" w:after="60"/>
    </w:pPr>
    <w:r>
      <w:rPr>
        <w:rFonts w:ascii="Arial" w:cs="Arial" w:eastAsia="Arial" w:hAnsi="Arial"/>
        <w:color w:val="2E75B6"/>
        <w:sz w:val="17"/>
        <w:szCs w:val="17"/>
      </w:rPr>
      <w:t xml:space="preserve">CERVIMAB (anti-PD-1) | dMMR/MSI-H mCRC</w:t>
    </w:r>
    <w:r>
      <w:rPr>
        <w:rFonts w:ascii="Arial" w:cs="Arial" w:eastAsia="Arial" w:hAnsi="Arial"/>
        <w:color w:val="777777"/>
        <w:sz w:val="17"/>
        <w:szCs w:val="17"/>
      </w:rPr>
      <w:t xml:space="preserve">	REMS Proposal — NDA 761XXX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 w:type="paragraph" w:styleId="Heading4">
    <w:name w:val="Heading 4"/>
    <w:basedOn w:val="Normal"/>
    <w:next w:val="Normal"/>
    <w:qFormat/>
    <w:pPr>
      <w:spacing w:before="140" w:after="6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2026-03-16T14:13:56.867Z</dcterms:created>
  <dcterms:modified xsi:type="dcterms:W3CDTF">2026-03-16T14:13:56.867Z</dcterms:modified>
</cp:coreProperties>
</file>

<file path=docProps/custom.xml><?xml version="1.0" encoding="utf-8"?>
<Properties xmlns="http://schemas.openxmlformats.org/officeDocument/2006/custom-properties" xmlns:vt="http://schemas.openxmlformats.org/officeDocument/2006/docPropsVTypes"/>
</file>